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gif" ContentType="image/gif"/>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As filed with the Securities and Exchange Commission on April 15, 2025.</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Registration No. 333-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UNITED STATES</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SECURITIES AND EXCHANGE COMMISSION</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Washington, D.C. 20549</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FORM S-1</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REGISTRATION STATEMENT UNDER THE SECURITIES ACT OF 1933</w:t>
      </w:r>
    </w:p>
    <w:p>
      <w:pPr>
        <w:pStyle w:val="TextBody"/>
        <w:bidi w:val="0"/>
        <w:spacing w:lineRule="atLeast" w:line="240" w:before="0" w:after="0"/>
        <w:jc w:val="left"/>
        <w:rPr>
          <w:rFonts w:ascii="Times New Roman;sans-serif" w:hAnsi="Times New Roman;sans-serif"/>
          <w:b/>
          <w:i w:val="false"/>
          <w:caps w:val="false"/>
          <w:smallCaps w:val="false"/>
          <w:strike w:val="false"/>
          <w:dstrike w:val="false"/>
          <w:sz w:val="24"/>
          <w:u w:val="none"/>
          <w:effect w:val="none"/>
        </w:rPr>
      </w:pPr>
      <w:r>
        <w:rPr>
          <w:rFonts w:ascii="Times New Roman;sans-serif" w:hAnsi="Times New Roman;sans-serif"/>
          <w:b/>
          <w:i w:val="false"/>
          <w:caps w:val="false"/>
          <w:smallCaps w:val="false"/>
          <w:strike w:val="false"/>
          <w:dstrike w:val="false"/>
          <w:sz w:val="24"/>
          <w:u w:val="none"/>
          <w:effect w:val="none"/>
        </w:rPr>
        <w:t>INNVENTURE, INC.</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(Exact Name of Registrant as Specified in its Charter)</w:t>
      </w:r>
    </w:p>
    <w:tbl>
      <w:tblPr>
        <w:tblW w:w="5868" w:type="dxa"/>
        <w:jc w:val="left"/>
        <w:tblInd w:w="0" w:type="dxa"/>
        <w:tblLayout w:type="fixed"/>
        <w:tblCellMar>
          <w:top w:w="28" w:type="dxa"/>
          <w:left w:w="28" w:type="dxa"/>
          <w:bottom w:w="28" w:type="dxa"/>
          <w:right w:w="28" w:type="dxa"/>
        </w:tblCellMar>
      </w:tblPr>
      <w:tblGrid>
        <w:gridCol w:w="2236"/>
        <w:gridCol w:w="2176"/>
        <w:gridCol w:w="1456"/>
      </w:tblGrid>
      <w:tr>
        <w:trPr/>
        <w:tc>
          <w:tcPr>
            <w:tcW w:w="223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lineRule="atLeast" w:line="180" w:before="0" w:after="0"/>
              <w:jc w:val="left"/>
              <w:rPr>
                <w:rFonts w:ascii="Times New Roman;sans-serif" w:hAnsi="Times New Roman;sans-serif"/>
                <w:b/>
                <w:i w:val="false"/>
                <w:caps w:val="false"/>
                <w:smallCaps w:val="false"/>
                <w:strike w:val="false"/>
                <w:dstrike w:val="false"/>
                <w:color w:val="000000"/>
                <w:sz w:val="18"/>
                <w:u w:val="none"/>
                <w:effect w:val="none"/>
              </w:rPr>
            </w:pPr>
            <w:r>
              <w:rPr>
                <w:rFonts w:ascii="Times New Roman;sans-serif" w:hAnsi="Times New Roman;sans-serif"/>
                <w:b/>
                <w:i w:val="false"/>
                <w:caps w:val="false"/>
                <w:smallCaps w:val="false"/>
                <w:strike w:val="false"/>
                <w:dstrike w:val="false"/>
                <w:color w:val="000000"/>
                <w:sz w:val="18"/>
                <w:u w:val="none"/>
                <w:effect w:val="none"/>
              </w:rPr>
              <w:t>Delaware</w:t>
            </w:r>
          </w:p>
        </w:tc>
        <w:tc>
          <w:tcPr>
            <w:tcW w:w="2176" w:type="dxa"/>
            <w:tcBorders/>
            <w:vAlign w:val="center"/>
          </w:tcPr>
          <w:p>
            <w:pPr>
              <w:pStyle w:val="TableContents"/>
              <w:bidi w:val="0"/>
              <w:spacing w:lineRule="atLeast" w:line="180" w:before="0" w:after="0"/>
              <w:jc w:val="left"/>
              <w:rPr>
                <w:rFonts w:ascii="Times New Roman;sans-serif" w:hAnsi="Times New Roman;sans-serif"/>
                <w:b/>
                <w:i w:val="false"/>
                <w:caps w:val="false"/>
                <w:smallCaps w:val="false"/>
                <w:strike w:val="false"/>
                <w:dstrike w:val="false"/>
                <w:color w:val="000000"/>
                <w:sz w:val="18"/>
                <w:u w:val="none"/>
                <w:effect w:val="none"/>
              </w:rPr>
            </w:pPr>
            <w:r>
              <w:rPr>
                <w:rFonts w:ascii="Times New Roman;sans-serif" w:hAnsi="Times New Roman;sans-serif"/>
                <w:b/>
                <w:i w:val="false"/>
                <w:caps w:val="false"/>
                <w:smallCaps w:val="false"/>
                <w:strike w:val="false"/>
                <w:dstrike w:val="false"/>
                <w:color w:val="000000"/>
                <w:sz w:val="18"/>
                <w:u w:val="none"/>
                <w:effect w:val="none"/>
              </w:rPr>
              <w:t>6770</w:t>
            </w:r>
          </w:p>
        </w:tc>
        <w:tc>
          <w:tcPr>
            <w:tcW w:w="1456" w:type="dxa"/>
            <w:tcBorders/>
            <w:vAlign w:val="center"/>
          </w:tcPr>
          <w:p>
            <w:pPr>
              <w:pStyle w:val="TableContents"/>
              <w:bidi w:val="0"/>
              <w:spacing w:lineRule="atLeast" w:line="180" w:before="0" w:after="0"/>
              <w:jc w:val="left"/>
              <w:rPr>
                <w:rFonts w:ascii="Times New Roman;sans-serif" w:hAnsi="Times New Roman;sans-serif"/>
                <w:b/>
                <w:i w:val="false"/>
                <w:caps w:val="false"/>
                <w:smallCaps w:val="false"/>
                <w:strike w:val="false"/>
                <w:dstrike w:val="false"/>
                <w:color w:val="000000"/>
                <w:sz w:val="18"/>
                <w:u w:val="none"/>
                <w:effect w:val="none"/>
              </w:rPr>
            </w:pPr>
            <w:r>
              <w:rPr>
                <w:rFonts w:ascii="Times New Roman;sans-serif" w:hAnsi="Times New Roman;sans-serif"/>
                <w:b/>
                <w:i w:val="false"/>
                <w:caps w:val="false"/>
                <w:smallCaps w:val="false"/>
                <w:strike w:val="false"/>
                <w:dstrike w:val="false"/>
                <w:color w:val="000000"/>
                <w:sz w:val="18"/>
                <w:u w:val="none"/>
                <w:effect w:val="none"/>
              </w:rPr>
              <w:t>93-4440048</w:t>
            </w:r>
          </w:p>
        </w:tc>
      </w:tr>
      <w:tr>
        <w:trPr/>
        <w:tc>
          <w:tcPr>
            <w:tcW w:w="2236" w:type="dxa"/>
            <w:tcBorders/>
            <w:vAlign w:val="center"/>
          </w:tcPr>
          <w:p>
            <w:pPr>
              <w:pStyle w:val="TableContents"/>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 xml:space="preserve">(State or other jurisdiction of </w:t>
            </w:r>
          </w:p>
          <w:p>
            <w:pPr>
              <w:pStyle w:val="TableContents"/>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incorporation or organization)</w:t>
            </w:r>
          </w:p>
        </w:tc>
        <w:tc>
          <w:tcPr>
            <w:tcW w:w="2176" w:type="dxa"/>
            <w:tcBorders/>
            <w:vAlign w:val="center"/>
          </w:tcPr>
          <w:p>
            <w:pPr>
              <w:pStyle w:val="TableContents"/>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(Primary Standard Industrial</w:t>
            </w:r>
          </w:p>
          <w:p>
            <w:pPr>
              <w:pStyle w:val="TableContents"/>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Classification Code Number)</w:t>
            </w:r>
          </w:p>
        </w:tc>
        <w:tc>
          <w:tcPr>
            <w:tcW w:w="1456" w:type="dxa"/>
            <w:tcBorders/>
            <w:vAlign w:val="center"/>
          </w:tcPr>
          <w:p>
            <w:pPr>
              <w:pStyle w:val="TableContents"/>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(I.R.S. Employer</w:t>
            </w:r>
          </w:p>
          <w:p>
            <w:pPr>
              <w:pStyle w:val="TableContents"/>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Identification No.)</w:t>
            </w:r>
          </w:p>
        </w:tc>
      </w:tr>
    </w:tbl>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6900 Tavistock Lakes Blvd, Suite 400</w:t>
      </w:r>
    </w:p>
    <w:p>
      <w:pPr>
        <w:pStyle w:val="TextBody"/>
        <w:bidi w:val="0"/>
        <w:spacing w:lineRule="atLeast" w:line="180" w:before="0" w:after="0"/>
        <w:jc w:val="left"/>
        <w:rPr>
          <w:sz w:val="24"/>
        </w:rPr>
      </w:pPr>
      <w:r>
        <w:rPr>
          <w:rFonts w:ascii="Times New Roman;sans-serif" w:hAnsi="Times New Roman;sans-serif"/>
          <w:b/>
          <w:i w:val="false"/>
          <w:caps w:val="false"/>
          <w:smallCaps w:val="false"/>
          <w:strike w:val="false"/>
          <w:dstrike w:val="false"/>
          <w:sz w:val="18"/>
          <w:u w:val="none"/>
          <w:effect w:val="none"/>
        </w:rPr>
        <w:t>Orlando, Florida</w:t>
      </w:r>
      <w:r>
        <w:rPr>
          <w:caps w:val="false"/>
          <w:smallCaps w:val="false"/>
          <w:strike w:val="false"/>
          <w:dstrike w:val="false"/>
          <w:sz w:val="24"/>
          <w:u w:val="none"/>
          <w:effect w:val="none"/>
        </w:rPr>
        <w:t xml:space="preserve"> </w:t>
      </w:r>
      <w:r>
        <w:rPr>
          <w:rFonts w:ascii="Times New Roman;sans-serif" w:hAnsi="Times New Roman;sans-serif"/>
          <w:b/>
          <w:i w:val="false"/>
          <w:caps w:val="false"/>
          <w:smallCaps w:val="false"/>
          <w:strike w:val="false"/>
          <w:dstrike w:val="false"/>
          <w:sz w:val="18"/>
          <w:u w:val="none"/>
          <w:effect w:val="none"/>
        </w:rPr>
        <w:t>32827</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(321) 209-6787</w:t>
      </w:r>
    </w:p>
    <w:p>
      <w:pPr>
        <w:pStyle w:val="TextBody"/>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(Address, Including Zip Code, and Telephone Number, Including Area Code, of Registrant’s Principal Executive Offices)</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Gregory W. Haskell</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Innventure, Inc.</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6900 Tavistock Lakes Blvd, Suite 400</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Orlando, Florida 32827</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(321) 209-6787</w:t>
      </w:r>
    </w:p>
    <w:p>
      <w:pPr>
        <w:pStyle w:val="TextBody"/>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(Name, Address, Including Zip Code, and Telephone Number, Including Area Code, of Agent for Service)</w:t>
      </w:r>
    </w:p>
    <w:p>
      <w:pPr>
        <w:pStyle w:val="TextBody"/>
        <w:bidi w:val="0"/>
        <w:spacing w:lineRule="atLeast" w:line="180" w:before="0" w:after="0"/>
        <w:jc w:val="left"/>
        <w:rPr>
          <w:rFonts w:ascii="Times New Roman;sans-serif" w:hAnsi="Times New Roman;sans-serif"/>
          <w:b/>
          <w:i/>
          <w:strike w:val="false"/>
          <w:dstrike w:val="false"/>
          <w:sz w:val="18"/>
          <w:u w:val="none"/>
          <w:effect w:val="none"/>
        </w:rPr>
      </w:pPr>
      <w:r>
        <w:rPr>
          <w:rFonts w:ascii="Times New Roman;sans-serif" w:hAnsi="Times New Roman;sans-serif"/>
          <w:b/>
          <w:i/>
          <w:strike w:val="false"/>
          <w:dstrike w:val="false"/>
          <w:sz w:val="18"/>
          <w:u w:val="none"/>
          <w:effect w:val="none"/>
        </w:rPr>
        <w:t>Copies to:</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Joel T. May</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Jeremy W. Cleveland</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Thomas L. Short</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Jones Day</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1221 Peachtree Street, N.E., Suite 400</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Atlanta, Georgia 30361</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Tel: (404) 521-3939</w:t>
      </w:r>
    </w:p>
    <w:p>
      <w:pPr>
        <w:pStyle w:val="TextBody"/>
        <w:bidi w:val="0"/>
        <w:spacing w:lineRule="atLeast" w:line="180" w:before="0" w:after="0"/>
        <w:jc w:val="left"/>
        <w:rPr>
          <w:rFonts w:ascii="Times New Roman;sans-serif" w:hAnsi="Times New Roman;sans-serif"/>
          <w:b w:val="false"/>
          <w:i w:val="false"/>
          <w:caps w:val="false"/>
          <w:smallCaps w:val="false"/>
          <w:strike w:val="false"/>
          <w:dstrike w:val="false"/>
          <w:sz w:val="18"/>
          <w:u w:val="none"/>
          <w:effect w:val="none"/>
        </w:rPr>
      </w:pPr>
      <w:r>
        <w:rPr>
          <w:rFonts w:ascii="Times New Roman;sans-serif" w:hAnsi="Times New Roman;sans-serif"/>
          <w:b w:val="false"/>
          <w:i w:val="false"/>
          <w:caps w:val="false"/>
          <w:smallCaps w:val="false"/>
          <w:strike w:val="false"/>
          <w:dstrike w:val="false"/>
          <w:sz w:val="18"/>
          <w:u w:val="none"/>
          <w:effect w:val="none"/>
        </w:rPr>
        <w:t>Approximate date of commencement of proposed sale to the public:</w:t>
      </w:r>
    </w:p>
    <w:p>
      <w:pPr>
        <w:pStyle w:val="TextBody"/>
        <w:bidi w:val="0"/>
        <w:spacing w:lineRule="atLeast" w:line="180" w:before="0" w:after="0"/>
        <w:jc w:val="left"/>
        <w:rPr>
          <w:rFonts w:ascii="Times New Roman;sans-serif" w:hAnsi="Times New Roman;sans-serif"/>
          <w:b/>
          <w:i w:val="false"/>
          <w:caps w:val="false"/>
          <w:smallCaps w:val="false"/>
          <w:strike w:val="false"/>
          <w:dstrike w:val="false"/>
          <w:sz w:val="18"/>
          <w:u w:val="none"/>
          <w:effect w:val="none"/>
        </w:rPr>
      </w:pPr>
      <w:r>
        <w:rPr>
          <w:rFonts w:ascii="Times New Roman;sans-serif" w:hAnsi="Times New Roman;sans-serif"/>
          <w:b/>
          <w:i w:val="false"/>
          <w:caps w:val="false"/>
          <w:smallCaps w:val="false"/>
          <w:strike w:val="false"/>
          <w:dstrike w:val="false"/>
          <w:sz w:val="18"/>
          <w:u w:val="none"/>
          <w:effect w:val="none"/>
        </w:rPr>
        <w:t>From time to time after the effective date hereof.</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If any of the securities being registered on this Form are to be offered on a delayed or continuous basis pursuant to Rule 415 under the Securities Act of 1933, check the following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box.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If this Form is filed to register additional securities for an offering pursuant to Rule 462(b) under the Securities Act, check the following box and list the Securities Act registration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statement number of the earlier effective registration statement for the same offering.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If this Form is a post-effective amendment filed pursuant to Rule 462(c) under the Securities Act, check the following box and list the Securities Act registration statement number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of the earlier effective registration statement for the same offering.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If this Form is a post-effective amendment filed pursuant to Rule 462(d) under the Securities Act, check the following box and list the Securities Act registration statement number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of the earlier effective registration statement for the same offering.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Indicate by check mark whether the registrant is a large accelerated filer, an accelerated filer, a non-accelerated filer, a smaller reporting company or an emerging growth company.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See the definitions of “large accelerated filer,” “accelerated filer,” “smaller reporting company” and “emerging growth company” in Rule 12b-2 of the Exchange Act.</w:t>
      </w:r>
    </w:p>
    <w:tbl>
      <w:tblPr>
        <w:tblW w:w="4444" w:type="dxa"/>
        <w:jc w:val="left"/>
        <w:tblInd w:w="0" w:type="dxa"/>
        <w:tblLayout w:type="fixed"/>
        <w:tblCellMar>
          <w:top w:w="28" w:type="dxa"/>
          <w:left w:w="28" w:type="dxa"/>
          <w:bottom w:w="28" w:type="dxa"/>
          <w:right w:w="28" w:type="dxa"/>
        </w:tblCellMar>
      </w:tblPr>
      <w:tblGrid>
        <w:gridCol w:w="1711"/>
        <w:gridCol w:w="316"/>
        <w:gridCol w:w="2056"/>
        <w:gridCol w:w="361"/>
      </w:tblGrid>
      <w:tr>
        <w:trPr/>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Large accelerated filer </w:t>
            </w:r>
          </w:p>
        </w:tc>
        <w:tc>
          <w:tcPr>
            <w:tcW w:w="316" w:type="dxa"/>
            <w:tcBorders/>
            <w:vAlign w:val="center"/>
          </w:tcPr>
          <w:p>
            <w:pPr>
              <w:pStyle w:val="TableContents"/>
              <w:bidi w:val="0"/>
              <w:spacing w:lineRule="atLeast" w:line="160"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2056" w:type="dxa"/>
            <w:tcBorders/>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Accelerated filer </w:t>
            </w:r>
          </w:p>
        </w:tc>
        <w:tc>
          <w:tcPr>
            <w:tcW w:w="361" w:type="dxa"/>
            <w:tcBorders/>
            <w:vAlign w:val="center"/>
          </w:tcPr>
          <w:p>
            <w:pPr>
              <w:pStyle w:val="TableContents"/>
              <w:bidi w:val="0"/>
              <w:spacing w:lineRule="atLeast" w:line="160"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r>
      <w:tr>
        <w:trPr/>
        <w:tc>
          <w:tcPr>
            <w:tcW w:w="1711" w:type="dxa"/>
            <w:tcBorders/>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Non-accelerated filer </w:t>
            </w:r>
          </w:p>
        </w:tc>
        <w:tc>
          <w:tcPr>
            <w:tcW w:w="316" w:type="dxa"/>
            <w:tcBorders/>
            <w:vAlign w:val="center"/>
          </w:tcPr>
          <w:p>
            <w:pPr>
              <w:pStyle w:val="TableContents"/>
              <w:bidi w:val="0"/>
              <w:spacing w:lineRule="atLeast" w:line="160"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2056" w:type="dxa"/>
            <w:tcBorders/>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Smaller reporting company </w:t>
            </w:r>
          </w:p>
        </w:tc>
        <w:tc>
          <w:tcPr>
            <w:tcW w:w="361" w:type="dxa"/>
            <w:tcBorders/>
            <w:vAlign w:val="center"/>
          </w:tcPr>
          <w:p>
            <w:pPr>
              <w:pStyle w:val="TableContents"/>
              <w:bidi w:val="0"/>
              <w:spacing w:lineRule="atLeast" w:line="160"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Emerging growth company</w:t>
            </w:r>
          </w:p>
        </w:tc>
        <w:tc>
          <w:tcPr>
            <w:tcW w:w="361" w:type="dxa"/>
            <w:tcBorders/>
            <w:vAlign w:val="center"/>
          </w:tcPr>
          <w:p>
            <w:pPr>
              <w:pStyle w:val="TableContents"/>
              <w:bidi w:val="0"/>
              <w:spacing w:lineRule="atLeast" w:line="160"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If an emerging growth company, indicate by check mark if the registrant has elected not to use the extended transition period for complying with any new or revised financial </w:t>
      </w:r>
    </w:p>
    <w:p>
      <w:pPr>
        <w:pStyle w:val="TextBody"/>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 xml:space="preserve">accounting standards provided pursuant to Section 7(a)(2)(B) of the Securities Act. </w:t>
      </w:r>
      <w:r>
        <w:rPr>
          <w:caps w:val="false"/>
          <w:smallCaps w:val="false"/>
          <w:strike w:val="false"/>
          <w:dstrike w:val="false"/>
          <w:sz w:val="24"/>
          <w:u w:val="none"/>
          <w:effect w:val="none"/>
        </w:rPr>
        <w:t>☐</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EXPLANATORY NOTE AND STATEMENT PURSUANT TO RULE 429</w:t>
      </w:r>
    </w:p>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Pursuant to Rule 429 under the Securities Act, the prospectus contained in this Registration Statement on Form S-1 (referred to herein as the Registration Statement) </w:t>
      </w:r>
    </w:p>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will be used as a combined prospectus in connection with this Registration Statement and the registrant’s Registration Statement on Form S-4 (File No. 333-276714), that was </w:t>
      </w:r>
    </w:p>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originally declared effective by the Securities and Exchange Commission on September 10, 2024 (as amended, the “Prior Registration Statement”). Accordingly, this </w:t>
      </w:r>
    </w:p>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Registration Statement also constitutes Post-Effective Amendment No. 1 on Form S-1 to the Prior Registration Statement. Such Post-Effective Amendment will become </w:t>
      </w:r>
    </w:p>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effective concurrently with the effectiveness of this Registration Statement in accordance with Section 8(c) of the Securities Act.</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The registrant hereby amends this Registration Statement on such date or dates as may be necessary to delay its effective date until the registrant shall file a further </w:t>
      </w:r>
    </w:p>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amendment which specifically states that this Registration Statement shall thereafter become effective in accordance with Section 8(a) of the Securities Act of 1933, as </w:t>
      </w:r>
    </w:p>
    <w:p>
      <w:pPr>
        <w:pStyle w:val="TextBody"/>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amended, or until the Registration Statement shall become effective on such date as the Securities and Exchange Commission, acting pursuant to Section 8(a), may determine.</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color w:val="F1665F"/>
          <w:sz w:val="20"/>
          <w:u w:val="none"/>
          <w:effect w:val="none"/>
        </w:rPr>
      </w:pPr>
      <w:r>
        <w:rPr>
          <w:rFonts w:ascii="Times New Roman;sans-serif" w:hAnsi="Times New Roman;sans-serif"/>
          <w:b/>
          <w:i w:val="false"/>
          <w:caps w:val="false"/>
          <w:smallCaps w:val="false"/>
          <w:strike w:val="false"/>
          <w:dstrike w:val="false"/>
          <w:color w:val="F1665F"/>
          <w:sz w:val="20"/>
          <w:u w:val="none"/>
          <w:effect w:val="none"/>
        </w:rPr>
        <w:t xml:space="preserve">The information contained in this preliminary prospectus is not complete and may be changed. These securities may not be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color w:val="F1665F"/>
          <w:sz w:val="20"/>
          <w:u w:val="none"/>
          <w:effect w:val="none"/>
        </w:rPr>
      </w:pPr>
      <w:r>
        <w:rPr>
          <w:rFonts w:ascii="Times New Roman;sans-serif" w:hAnsi="Times New Roman;sans-serif"/>
          <w:b/>
          <w:i w:val="false"/>
          <w:caps w:val="false"/>
          <w:smallCaps w:val="false"/>
          <w:strike w:val="false"/>
          <w:dstrike w:val="false"/>
          <w:color w:val="F1665F"/>
          <w:sz w:val="20"/>
          <w:u w:val="none"/>
          <w:effect w:val="none"/>
        </w:rPr>
        <w:t xml:space="preserve">sold until the registration statement filed with the Securities and Exchange Commission is effective. This preliminary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color w:val="F1665F"/>
          <w:sz w:val="20"/>
          <w:u w:val="none"/>
          <w:effect w:val="none"/>
        </w:rPr>
      </w:pPr>
      <w:r>
        <w:rPr>
          <w:rFonts w:ascii="Times New Roman;sans-serif" w:hAnsi="Times New Roman;sans-serif"/>
          <w:b/>
          <w:i w:val="false"/>
          <w:caps w:val="false"/>
          <w:smallCaps w:val="false"/>
          <w:strike w:val="false"/>
          <w:dstrike w:val="false"/>
          <w:color w:val="F1665F"/>
          <w:sz w:val="20"/>
          <w:u w:val="none"/>
          <w:effect w:val="none"/>
        </w:rPr>
        <w:t xml:space="preserve">prospectus is not an offer to sell these securities and it is not soliciting an offer to buy these securities in any state where the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color w:val="F1665F"/>
          <w:sz w:val="20"/>
          <w:u w:val="none"/>
          <w:effect w:val="none"/>
        </w:rPr>
      </w:pPr>
      <w:r>
        <w:rPr>
          <w:rFonts w:ascii="Times New Roman;sans-serif" w:hAnsi="Times New Roman;sans-serif"/>
          <w:b/>
          <w:i w:val="false"/>
          <w:caps w:val="false"/>
          <w:smallCaps w:val="false"/>
          <w:strike w:val="false"/>
          <w:dstrike w:val="false"/>
          <w:color w:val="F1665F"/>
          <w:sz w:val="20"/>
          <w:u w:val="none"/>
          <w:effect w:val="none"/>
        </w:rPr>
        <w:t>offer or sale is not permitted.</w:t>
      </w:r>
    </w:p>
    <w:tbl>
      <w:tblPr>
        <w:tblW w:w="7788" w:type="dxa"/>
        <w:jc w:val="left"/>
        <w:tblInd w:w="0" w:type="dxa"/>
        <w:tblLayout w:type="fixed"/>
        <w:tblCellMar>
          <w:top w:w="28" w:type="dxa"/>
          <w:left w:w="28" w:type="dxa"/>
          <w:bottom w:w="28" w:type="dxa"/>
          <w:right w:w="28" w:type="dxa"/>
        </w:tblCellMar>
      </w:tblPr>
      <w:tblGrid>
        <w:gridCol w:w="2836"/>
        <w:gridCol w:w="2716"/>
        <w:gridCol w:w="2236"/>
      </w:tblGrid>
      <w:tr>
        <w:trPr/>
        <w:tc>
          <w:tcPr>
            <w:tcW w:w="28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F1665F"/>
                <w:sz w:val="20"/>
                <w:u w:val="none"/>
                <w:effect w:val="none"/>
              </w:rPr>
            </w:pPr>
            <w:r>
              <w:rPr>
                <w:rFonts w:ascii="Times New Roman;sans-serif" w:hAnsi="Times New Roman;sans-serif"/>
                <w:b/>
                <w:i w:val="false"/>
                <w:caps w:val="false"/>
                <w:smallCaps w:val="false"/>
                <w:strike w:val="false"/>
                <w:dstrike w:val="false"/>
                <w:color w:val="F1665F"/>
                <w:sz w:val="20"/>
                <w:u w:val="none"/>
                <w:effect w:val="none"/>
              </w:rPr>
              <w:t>PRELIMINARY PROSPECTUS</w:t>
            </w:r>
          </w:p>
        </w:tc>
        <w:tc>
          <w:tcPr>
            <w:tcW w:w="271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F1665F"/>
                <w:sz w:val="20"/>
                <w:u w:val="none"/>
                <w:effect w:val="none"/>
              </w:rPr>
            </w:pPr>
            <w:r>
              <w:rPr>
                <w:rFonts w:ascii="Times New Roman;sans-serif" w:hAnsi="Times New Roman;sans-serif"/>
                <w:b/>
                <w:i w:val="false"/>
                <w:caps w:val="false"/>
                <w:smallCaps w:val="false"/>
                <w:strike w:val="false"/>
                <w:dstrike w:val="false"/>
                <w:color w:val="F1665F"/>
                <w:sz w:val="20"/>
                <w:u w:val="none"/>
                <w:effect w:val="none"/>
              </w:rPr>
              <w:t>SUBJECT TO COMPLETION</w:t>
            </w:r>
          </w:p>
        </w:tc>
        <w:tc>
          <w:tcPr>
            <w:tcW w:w="223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F1665F"/>
                <w:sz w:val="20"/>
                <w:u w:val="none"/>
                <w:effect w:val="none"/>
              </w:rPr>
            </w:pPr>
            <w:r>
              <w:rPr>
                <w:rFonts w:ascii="Times New Roman;sans-serif" w:hAnsi="Times New Roman;sans-serif"/>
                <w:b/>
                <w:i w:val="false"/>
                <w:caps w:val="false"/>
                <w:smallCaps w:val="false"/>
                <w:strike w:val="false"/>
                <w:dstrike w:val="false"/>
                <w:color w:val="F1665F"/>
                <w:sz w:val="20"/>
                <w:u w:val="none"/>
                <w:effect w:val="none"/>
              </w:rPr>
              <w:t>DATED APRIL 15, 2025</w:t>
            </w:r>
          </w:p>
        </w:tc>
      </w:tr>
    </w:tbl>
    <w:p>
      <w:pPr>
        <w:pStyle w:val="TextBody"/>
        <w:bidi w:val="0"/>
        <w:spacing w:lineRule="atLeast" w:line="320" w:before="0" w:after="0"/>
        <w:jc w:val="left"/>
        <w:rPr>
          <w:rFonts w:ascii="Times New Roman;sans-serif" w:hAnsi="Times New Roman;sans-serif"/>
          <w:b/>
          <w:i w:val="false"/>
          <w:caps w:val="false"/>
          <w:smallCaps w:val="false"/>
          <w:strike w:val="false"/>
          <w:dstrike w:val="false"/>
          <w:sz w:val="32"/>
          <w:u w:val="none"/>
          <w:effect w:val="none"/>
        </w:rPr>
      </w:pPr>
      <w:r>
        <w:rPr>
          <w:rFonts w:ascii="Times New Roman;sans-serif" w:hAnsi="Times New Roman;sans-serif"/>
          <w:b/>
          <w:i w:val="false"/>
          <w:caps w:val="false"/>
          <w:smallCaps w:val="false"/>
          <w:strike w:val="false"/>
          <w:dstrike w:val="false"/>
          <w:sz w:val="32"/>
          <w:u w:val="none"/>
          <w:effect w:val="none"/>
        </w:rPr>
        <w:t>INNVENTURE, INC.</w:t>
      </w:r>
    </w:p>
    <w:p>
      <w:pPr>
        <w:pStyle w:val="TextBody"/>
        <w:bidi w:val="0"/>
        <w:spacing w:lineRule="atLeast" w:line="360" w:before="0" w:after="0"/>
        <w:jc w:val="left"/>
        <w:rPr>
          <w:rFonts w:ascii="Times New Roman;sans-serif" w:hAnsi="Times New Roman;sans-serif"/>
          <w:b/>
          <w:i w:val="false"/>
          <w:caps w:val="false"/>
          <w:smallCaps w:val="false"/>
          <w:strike w:val="false"/>
          <w:dstrike w:val="false"/>
          <w:sz w:val="36"/>
          <w:u w:val="none"/>
          <w:effect w:val="none"/>
        </w:rPr>
      </w:pPr>
      <w:r>
        <w:rPr>
          <w:rFonts w:ascii="Times New Roman;sans-serif" w:hAnsi="Times New Roman;sans-serif"/>
          <w:b/>
          <w:i w:val="false"/>
          <w:caps w:val="false"/>
          <w:smallCaps w:val="false"/>
          <w:strike w:val="false"/>
          <w:dstrike w:val="false"/>
          <w:sz w:val="36"/>
          <w:u w:val="none"/>
          <w:effect w:val="none"/>
        </w:rPr>
        <w:t>34,352,677 Shares of Common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This prospectus relates to offer and sale from time to time by the selling securityholders named in this prospectus (each a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Selling Stockholder” and collectively, the “Selling Stockholders”), or their permitted transferees, of up to 15,965,989 shares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par value $0.0001 per share (“Common Stock”), of Innventure, Inc., a Delaware corporation, which includes (i) up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8,480,518 shares of Common Stock that may be issued upon conversion of Series C Preferred Stock (as defined below),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(ii) 85,471 shares of Common Stock issued to Ducera Partners LLC and its affiliates (“Ducera”) pursuant to the terms of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engagement letter (the “Ducera Engagement Letter”), (iii) up to 3,000,000 shares of Common Stock that may be issued upon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conversion of convertible debentures (the “Convertible Debentures”) issued and issuable to YA II PN, Ltd., a Cayman Islands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exempted company (“Yorkville”) pursuant to that certain securities purchase agreement (“Securities Purchase Agreement”), 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March 25, 2025, entered into with Yorkville, (iv) up to 4,100,000 shares of Common Stock that we may issue and sell to Yorkville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from time to time pursuant to the Standby Equity Purchase Agreement (the “SEPA”), dated October 24, 2023, entered into with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Yorkville without exceeding the Exchange Cap (as defined herein), and (v) 300,000 shares of Common Stock that may be issued upon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exercise of warrants (the “2025 WTI Warrants”) to purchase Common Stock held by WTI Fund X, LLC and WTI Fund XI, LLC </w:t>
      </w:r>
    </w:p>
    <w:p>
      <w:pPr>
        <w:pStyle w:val="TextBody"/>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(together, the “WTI Holders”). For more information on the Selling Stockholders, see the section entitled “</w:t>
      </w:r>
      <w:hyperlink w:anchor="icb9447fcda9c419b80559940834d4a66_927">
        <w:r>
          <w:rPr>
            <w:rStyle w:val="InternetLink"/>
            <w:rFonts w:ascii="Times New Roman;sans-serif" w:hAnsi="Times New Roman;sans-serif"/>
            <w:b w:val="false"/>
            <w:i w:val="false"/>
            <w:caps w:val="false"/>
            <w:smallCaps w:val="false"/>
            <w:color w:val="0000FF"/>
            <w:sz w:val="20"/>
            <w:u w:val="single"/>
          </w:rPr>
          <w:t>Selling Stockholders</w:t>
        </w:r>
      </w:hyperlink>
      <w:r>
        <w:rPr>
          <w:rFonts w:ascii="Times New Roman;sans-serif" w:hAnsi="Times New Roman;sans-serif"/>
          <w:b w:val="false"/>
          <w:i w:val="false"/>
          <w:caps w:val="false"/>
          <w:smallCaps w:val="false"/>
          <w:strike w:val="false"/>
          <w:dstrike w:val="false"/>
          <w:sz w:val="20"/>
          <w:u w:val="none"/>
          <w:effect w:val="none"/>
        </w:rPr>
        <w: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This prospectus also relates to the issuance by us of up to an aggregate of 18,386,688 shares of Common Stock issuable upon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exercise of warrants to purchase shares of our Common Stock, at an exercise price of $11.50 per share, that were converted from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Learn CW Warrants (as defined in this prospectus) in connection with the Business Combination (the “Innventure Warrants”). We will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receive the proceeds from any exercise of any Innventure Warrants for cash, which amount of aggregate proceeds, assuming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exercise of all Innventure Warrants, would be $214.4 million. To the extent the Innventure Warrants are exercised on a cashless basis,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will not receive any proceeds in connection with such exercise. We believe the likelihood that warrant holders will exercise their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 Warrants, and therefore the amount of cash proceeds that we would receive, is dependent upon the market price of our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If the Innventure Warrants are “out of the money,” meaning the exercise price is higher than the market price of our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Common Stock, the holders thereof are not likely to exercise such Innventure Warrants.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Selling Stockholders may offer, sell or distribute all or a portion of the securities hereby registered publicly or through private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transactions at prevailing market prices, prices related to prevailing market prices or at negotiated prices. We will not receive any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proceeds from such sales of the shares of our Common Stock by the Selling Stockholders. However, we may receive (i) up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$75.0 million in aggregate gross proceeds from sales of shares of Common Stock to Yorkville pursuant to the SEPA, from time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time in our discretion after the date of the registration statement that includes this prospectus and subject to satisfaction of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conditions in the SEPA, and (ii) de minimis gross proceeds upon exercise of the 2025 WTI Warrants, to the extent such warrants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exercised for cash. To the extent the 2025 WTI Warrants are exercised on a cashless basis, we will not receive any proceeds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connection with such exercise. We will bear all costs, expenses and fees in connection with the registration of our Common Stock.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Selling Stockholders will bear all commissions, discounts and certain other limited expenses, if any, attributable to their respective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sales of our Common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Our registration of the securities covered by this prospectus does not mean that either we or the Selling Stockholders will issue,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offer or sell, as applicable, any of the securities. The Selling Stockholders may offer and sell the securities covered by this prospectus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a number of different ways and at varying prices. We provide more information about how the Selling Stockholders may sell the </w:t>
      </w:r>
    </w:p>
    <w:p>
      <w:pPr>
        <w:pStyle w:val="TextBody"/>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shares in the section entitled “</w:t>
      </w:r>
      <w:hyperlink w:anchor="icb9447fcda9c419b80559940834d4a66_963">
        <w:r>
          <w:rPr>
            <w:rStyle w:val="InternetLink"/>
            <w:rFonts w:ascii="Times New Roman;sans-serif" w:hAnsi="Times New Roman;sans-serif"/>
            <w:b w:val="false"/>
            <w:i/>
            <w:color w:val="0000FF"/>
            <w:sz w:val="20"/>
            <w:u w:val="single"/>
          </w:rPr>
          <w:t>Plan of Distribution</w:t>
        </w:r>
      </w:hyperlink>
      <w:r>
        <w:rPr>
          <w:rFonts w:ascii="Times New Roman;sans-serif" w:hAnsi="Times New Roman;sans-serif"/>
          <w:b w:val="false"/>
          <w:i/>
          <w:strike w:val="false"/>
          <w:dstrike w:val="false"/>
          <w:sz w:val="20"/>
          <w:u w:val="none"/>
          <w:effect w:val="none"/>
        </w:rPr>
        <w:t>.</w:t>
      </w:r>
      <w:r>
        <w:rPr>
          <w:caps w:val="false"/>
          <w:smallCaps w:val="false"/>
          <w:strike w:val="false"/>
          <w:dstrike w:val="false"/>
          <w:sz w:val="24"/>
          <w:u w:val="none"/>
          <w:effect w:val="none"/>
        </w:rPr>
        <w: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Our Common Stock is listed on the Nasdaq Global Market (“NASDAQ”) under the symbol “INV.” On April 14, 2025, the last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reported sales price of our Common Stock was $3.65 per share.</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 xml:space="preserve">We are an “emerging growth company” as defined under the U.S. federal securities laws and, as such, have elected to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comply with certain reduced public company reporting requirements.</w:t>
      </w:r>
    </w:p>
    <w:p>
      <w:pPr>
        <w:pStyle w:val="TextBody"/>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Investing in our Common Stock is highly speculative and involves a high degree of risk. See “</w:t>
      </w:r>
      <w:hyperlink w:anchor="icb9447fcda9c419b80559940834d4a66_674">
        <w:r>
          <w:rPr>
            <w:rStyle w:val="InternetLink"/>
            <w:rFonts w:ascii="Times New Roman;sans-serif" w:hAnsi="Times New Roman;sans-serif"/>
            <w:b/>
            <w:i w:val="false"/>
            <w:caps w:val="false"/>
            <w:smallCaps w:val="false"/>
            <w:color w:val="0000FF"/>
            <w:sz w:val="20"/>
            <w:u w:val="single"/>
          </w:rPr>
          <w:t>Risk Factors</w:t>
        </w:r>
      </w:hyperlink>
      <w:r>
        <w:rPr>
          <w:caps w:val="false"/>
          <w:smallCaps w:val="false"/>
          <w:strike w:val="false"/>
          <w:dstrike w:val="false"/>
          <w:sz w:val="24"/>
          <w:u w:val="none"/>
          <w:effect w:val="none"/>
        </w:rPr>
        <w:t xml:space="preserve">” </w:t>
      </w:r>
      <w:r>
        <w:rPr>
          <w:rFonts w:ascii="Times New Roman;sans-serif" w:hAnsi="Times New Roman;sans-serif"/>
          <w:b/>
          <w:i w:val="false"/>
          <w:caps w:val="false"/>
          <w:smallCaps w:val="false"/>
          <w:strike w:val="false"/>
          <w:dstrike w:val="false"/>
          <w:sz w:val="20"/>
          <w:u w:val="none"/>
          <w:effect w:val="none"/>
        </w:rPr>
        <w:t xml:space="preserve">beginning on </w:t>
      </w:r>
    </w:p>
    <w:p>
      <w:pPr>
        <w:pStyle w:val="TextBody"/>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page </w:t>
      </w:r>
      <w:hyperlink w:anchor="icb9447fcda9c419b80559940834d4a66_674">
        <w:r>
          <w:rPr>
            <w:rStyle w:val="InternetLink"/>
            <w:rFonts w:ascii="Times New Roman;sans-serif" w:hAnsi="Times New Roman;sans-serif"/>
            <w:b/>
            <w:i w:val="false"/>
            <w:caps w:val="false"/>
            <w:smallCaps w:val="false"/>
            <w:color w:val="0000FF"/>
            <w:sz w:val="20"/>
            <w:u w:val="single"/>
          </w:rPr>
          <w:t>11</w:t>
        </w:r>
      </w:hyperlink>
      <w:r>
        <w:rPr>
          <w:rFonts w:ascii="Times New Roman;sans-serif" w:hAnsi="Times New Roman;sans-serif"/>
          <w:b/>
          <w:i w:val="false"/>
          <w:caps w:val="false"/>
          <w:smallCaps w:val="false"/>
          <w:strike w:val="false"/>
          <w:dstrike w:val="false"/>
          <w:sz w:val="20"/>
          <w:u w:val="none"/>
          <w:effect w:val="none"/>
        </w:rPr>
        <w:t>.</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 xml:space="preserve">Neither the Securities and Exchange Commission nor any state securities commission has approved or disapproved of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 xml:space="preserve">these securities or determined if this prospectus is truthful or complete. Any representation to the contrary is a criminal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offense.</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The date of this prospectus is                          ,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TABLE OF CONTENTS</w:t>
      </w:r>
    </w:p>
    <w:tbl>
      <w:tblPr>
        <w:tblW w:w="8777" w:type="dxa"/>
        <w:jc w:val="left"/>
        <w:tblInd w:w="0" w:type="dxa"/>
        <w:tblLayout w:type="fixed"/>
        <w:tblCellMar>
          <w:top w:w="28" w:type="dxa"/>
          <w:left w:w="28" w:type="dxa"/>
          <w:bottom w:w="28" w:type="dxa"/>
          <w:right w:w="28" w:type="dxa"/>
        </w:tblCellMar>
      </w:tblPr>
      <w:tblGrid>
        <w:gridCol w:w="8266"/>
        <w:gridCol w:w="511"/>
      </w:tblGrid>
      <w:tr>
        <w:trPr/>
        <w:tc>
          <w:tcPr>
            <w:tcW w:w="82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Page</w:t>
            </w:r>
          </w:p>
        </w:tc>
      </w:tr>
      <w:tr>
        <w:trPr/>
        <w:tc>
          <w:tcPr>
            <w:tcW w:w="8266" w:type="dxa"/>
            <w:tcBorders/>
            <w:vAlign w:val="center"/>
          </w:tcPr>
          <w:p>
            <w:pPr>
              <w:pStyle w:val="TableContents"/>
              <w:bidi w:val="0"/>
              <w:spacing w:lineRule="atLeast" w:line="200" w:before="0" w:after="0"/>
              <w:jc w:val="left"/>
              <w:rPr/>
            </w:pPr>
            <w:hyperlink w:anchor="icb9447fcda9c419b80559940834d4a66_753">
              <w:r>
                <w:rPr>
                  <w:rStyle w:val="InternetLink"/>
                  <w:rFonts w:ascii="Times New Roman;sans-serif" w:hAnsi="Times New Roman;sans-serif"/>
                  <w:b w:val="false"/>
                  <w:i w:val="false"/>
                  <w:caps w:val="false"/>
                  <w:smallCaps w:val="false"/>
                  <w:color w:val="0000FF"/>
                  <w:sz w:val="20"/>
                  <w:u w:val="single"/>
                </w:rPr>
                <w:t>ABOUT THIS PROSPECTUS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hyperlink w:anchor="icb9447fcda9c419b80559940834d4a66_753">
              <w:r>
                <w:rPr>
                  <w:rStyle w:val="InternetLink"/>
                  <w:rFonts w:ascii="Times New Roman;sans-serif" w:hAnsi="Times New Roman;sans-serif"/>
                  <w:b w:val="false"/>
                  <w:i w:val="false"/>
                  <w:caps w:val="false"/>
                  <w:smallCaps w:val="false"/>
                  <w:color w:val="0000FF"/>
                  <w:sz w:val="20"/>
                  <w:u w:val="single"/>
                </w:rPr>
                <w:t>i</w:t>
              </w:r>
            </w:hyperlink>
          </w:p>
        </w:tc>
      </w:tr>
      <w:tr>
        <w:trPr/>
        <w:tc>
          <w:tcPr>
            <w:tcW w:w="8266" w:type="dxa"/>
            <w:tcBorders/>
            <w:vAlign w:val="center"/>
          </w:tcPr>
          <w:p>
            <w:pPr>
              <w:pStyle w:val="TableContents"/>
              <w:bidi w:val="0"/>
              <w:spacing w:lineRule="atLeast" w:line="200" w:before="0" w:after="0"/>
              <w:jc w:val="left"/>
              <w:rPr/>
            </w:pPr>
            <w:hyperlink w:anchor="icb9447fcda9c419b80559940834d4a66_705">
              <w:r>
                <w:rPr>
                  <w:rStyle w:val="InternetLink"/>
                  <w:rFonts w:ascii="Times New Roman;sans-serif" w:hAnsi="Times New Roman;sans-serif"/>
                  <w:b w:val="false"/>
                  <w:i w:val="false"/>
                  <w:caps w:val="false"/>
                  <w:smallCaps w:val="false"/>
                  <w:color w:val="0000FF"/>
                  <w:sz w:val="20"/>
                  <w:u w:val="single"/>
                </w:rPr>
                <w:t>CAUTIONARY STATEMENT REGARDING FORWARD-LOOKING STATEMENTS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705">
              <w:r>
                <w:rPr>
                  <w:rStyle w:val="InternetLink"/>
                  <w:rFonts w:ascii="Times New Roman;sans-serif" w:hAnsi="Times New Roman;sans-serif"/>
                  <w:b w:val="false"/>
                  <w:i w:val="false"/>
                  <w:caps w:val="false"/>
                  <w:smallCaps w:val="false"/>
                  <w:color w:val="0000FF"/>
                  <w:sz w:val="20"/>
                  <w:u w:val="single"/>
                </w:rPr>
                <w:t>iii</w:t>
              </w:r>
            </w:hyperlink>
          </w:p>
        </w:tc>
      </w:tr>
      <w:tr>
        <w:trPr/>
        <w:tc>
          <w:tcPr>
            <w:tcW w:w="8266" w:type="dxa"/>
            <w:tcBorders/>
            <w:vAlign w:val="center"/>
          </w:tcPr>
          <w:p>
            <w:pPr>
              <w:pStyle w:val="TableContents"/>
              <w:bidi w:val="0"/>
              <w:spacing w:lineRule="atLeast" w:line="200" w:before="0" w:after="0"/>
              <w:jc w:val="left"/>
              <w:rPr/>
            </w:pPr>
            <w:hyperlink w:anchor="icb9447fcda9c419b80559940834d4a66_729">
              <w:r>
                <w:rPr>
                  <w:rStyle w:val="InternetLink"/>
                  <w:rFonts w:ascii="Times New Roman;sans-serif" w:hAnsi="Times New Roman;sans-serif"/>
                  <w:b w:val="false"/>
                  <w:i w:val="false"/>
                  <w:caps w:val="false"/>
                  <w:smallCaps w:val="false"/>
                  <w:color w:val="0000FF"/>
                  <w:sz w:val="20"/>
                  <w:u w:val="single"/>
                </w:rPr>
                <w:t>PROSPECTUS SUMMARY</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729">
              <w:r>
                <w:rPr>
                  <w:rStyle w:val="InternetLink"/>
                  <w:rFonts w:ascii="Times New Roman;sans-serif" w:hAnsi="Times New Roman;sans-serif"/>
                  <w:b w:val="false"/>
                  <w:i w:val="false"/>
                  <w:caps w:val="false"/>
                  <w:smallCaps w:val="false"/>
                  <w:color w:val="0000FF"/>
                  <w:sz w:val="20"/>
                  <w:u w:val="single"/>
                </w:rPr>
                <w:t>1</w:t>
              </w:r>
            </w:hyperlink>
          </w:p>
        </w:tc>
      </w:tr>
      <w:tr>
        <w:trPr/>
        <w:tc>
          <w:tcPr>
            <w:tcW w:w="8266" w:type="dxa"/>
            <w:tcBorders/>
            <w:vAlign w:val="center"/>
          </w:tcPr>
          <w:p>
            <w:pPr>
              <w:pStyle w:val="TableContents"/>
              <w:bidi w:val="0"/>
              <w:spacing w:lineRule="atLeast" w:line="200" w:before="0" w:after="0"/>
              <w:jc w:val="left"/>
              <w:rPr/>
            </w:pPr>
            <w:hyperlink w:anchor="icb9447fcda9c419b80559940834d4a66_674">
              <w:r>
                <w:rPr>
                  <w:rStyle w:val="InternetLink"/>
                  <w:rFonts w:ascii="Times New Roman;sans-serif" w:hAnsi="Times New Roman;sans-serif"/>
                  <w:b w:val="false"/>
                  <w:i w:val="false"/>
                  <w:caps w:val="false"/>
                  <w:smallCaps w:val="false"/>
                  <w:color w:val="0000FF"/>
                  <w:sz w:val="20"/>
                  <w:u w:val="single"/>
                </w:rPr>
                <w:t>RISK FACTORS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674">
              <w:r>
                <w:rPr>
                  <w:rStyle w:val="InternetLink"/>
                  <w:rFonts w:ascii="Times New Roman;sans-serif" w:hAnsi="Times New Roman;sans-serif"/>
                  <w:b w:val="false"/>
                  <w:i w:val="false"/>
                  <w:caps w:val="false"/>
                  <w:smallCaps w:val="false"/>
                  <w:color w:val="0000FF"/>
                  <w:sz w:val="20"/>
                  <w:u w:val="single"/>
                </w:rPr>
                <w:t>11</w:t>
              </w:r>
            </w:hyperlink>
          </w:p>
        </w:tc>
      </w:tr>
      <w:tr>
        <w:trPr/>
        <w:tc>
          <w:tcPr>
            <w:tcW w:w="8266" w:type="dxa"/>
            <w:tcBorders/>
            <w:vAlign w:val="center"/>
          </w:tcPr>
          <w:p>
            <w:pPr>
              <w:pStyle w:val="TableContents"/>
              <w:bidi w:val="0"/>
              <w:spacing w:lineRule="atLeast" w:line="200" w:before="0" w:after="0"/>
              <w:jc w:val="left"/>
              <w:rPr/>
            </w:pPr>
            <w:hyperlink w:anchor="icb9447fcda9c419b80559940834d4a66_648">
              <w:r>
                <w:rPr>
                  <w:rStyle w:val="InternetLink"/>
                  <w:rFonts w:ascii="Times New Roman;sans-serif" w:hAnsi="Times New Roman;sans-serif"/>
                  <w:b w:val="false"/>
                  <w:i w:val="false"/>
                  <w:caps w:val="false"/>
                  <w:smallCaps w:val="false"/>
                  <w:color w:val="0000FF"/>
                  <w:sz w:val="20"/>
                  <w:u w:val="single"/>
                </w:rPr>
                <w:t>USE OF PROCEEDS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648">
              <w:r>
                <w:rPr>
                  <w:rStyle w:val="InternetLink"/>
                  <w:rFonts w:ascii="Times New Roman;sans-serif" w:hAnsi="Times New Roman;sans-serif"/>
                  <w:b w:val="false"/>
                  <w:i w:val="false"/>
                  <w:caps w:val="false"/>
                  <w:smallCaps w:val="false"/>
                  <w:color w:val="0000FF"/>
                  <w:sz w:val="20"/>
                  <w:u w:val="single"/>
                </w:rPr>
                <w:t>31</w:t>
              </w:r>
            </w:hyperlink>
          </w:p>
        </w:tc>
      </w:tr>
      <w:tr>
        <w:trPr/>
        <w:tc>
          <w:tcPr>
            <w:tcW w:w="8266" w:type="dxa"/>
            <w:tcBorders/>
            <w:vAlign w:val="center"/>
          </w:tcPr>
          <w:p>
            <w:pPr>
              <w:pStyle w:val="TableContents"/>
              <w:bidi w:val="0"/>
              <w:spacing w:lineRule="atLeast" w:line="200" w:before="0" w:after="0"/>
              <w:jc w:val="left"/>
              <w:rPr/>
            </w:pPr>
            <w:hyperlink w:anchor="icb9447fcda9c419b80559940834d4a66_628">
              <w:r>
                <w:rPr>
                  <w:rStyle w:val="InternetLink"/>
                  <w:rFonts w:ascii="Times New Roman;sans-serif" w:hAnsi="Times New Roman;sans-serif"/>
                  <w:b w:val="false"/>
                  <w:i w:val="false"/>
                  <w:caps w:val="false"/>
                  <w:smallCaps w:val="false"/>
                  <w:color w:val="0000FF"/>
                  <w:sz w:val="20"/>
                  <w:u w:val="single"/>
                </w:rPr>
                <w:t xml:space="preserve">MANAGEMENT’S DISCUSSION AND ANALYSIS OF FINANCIAL CONDITION AND RESULTS </w:t>
              </w:r>
            </w:hyperlink>
          </w:p>
          <w:p>
            <w:pPr>
              <w:pStyle w:val="TableContents"/>
              <w:bidi w:val="0"/>
              <w:spacing w:lineRule="atLeast" w:line="200" w:before="0" w:after="0"/>
              <w:jc w:val="left"/>
              <w:rPr/>
            </w:pPr>
            <w:hyperlink w:anchor="icb9447fcda9c419b80559940834d4a66_628">
              <w:r>
                <w:rPr>
                  <w:rStyle w:val="InternetLink"/>
                  <w:rFonts w:ascii="Times New Roman;sans-serif" w:hAnsi="Times New Roman;sans-serif"/>
                  <w:b w:val="false"/>
                  <w:i w:val="false"/>
                  <w:caps w:val="false"/>
                  <w:smallCaps w:val="false"/>
                  <w:color w:val="0000FF"/>
                  <w:sz w:val="20"/>
                  <w:u w:val="single"/>
                </w:rPr>
                <w:t>OF OPERATIONS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628">
              <w:r>
                <w:rPr>
                  <w:rStyle w:val="InternetLink"/>
                  <w:rFonts w:ascii="Times New Roman;sans-serif" w:hAnsi="Times New Roman;sans-serif"/>
                  <w:b w:val="false"/>
                  <w:i w:val="false"/>
                  <w:caps w:val="false"/>
                  <w:smallCaps w:val="false"/>
                  <w:color w:val="0000FF"/>
                  <w:sz w:val="20"/>
                  <w:u w:val="single"/>
                </w:rPr>
                <w:t>32</w:t>
              </w:r>
            </w:hyperlink>
          </w:p>
        </w:tc>
      </w:tr>
      <w:tr>
        <w:trPr/>
        <w:tc>
          <w:tcPr>
            <w:tcW w:w="8266" w:type="dxa"/>
            <w:tcBorders/>
            <w:vAlign w:val="center"/>
          </w:tcPr>
          <w:p>
            <w:pPr>
              <w:pStyle w:val="TableContents"/>
              <w:bidi w:val="0"/>
              <w:spacing w:lineRule="atLeast" w:line="200" w:before="0" w:after="0"/>
              <w:jc w:val="left"/>
              <w:rPr/>
            </w:pPr>
            <w:hyperlink w:anchor="icb9447fcda9c419b80559940834d4a66_1190">
              <w:r>
                <w:rPr>
                  <w:rStyle w:val="InternetLink"/>
                  <w:rFonts w:ascii="Times New Roman;sans-serif" w:hAnsi="Times New Roman;sans-serif"/>
                  <w:b w:val="false"/>
                  <w:i w:val="false"/>
                  <w:caps w:val="false"/>
                  <w:smallCaps w:val="false"/>
                  <w:color w:val="0000FF"/>
                  <w:sz w:val="20"/>
                  <w:u w:val="single"/>
                </w:rPr>
                <w:t>BUSINESS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1190">
              <w:r>
                <w:rPr>
                  <w:rStyle w:val="InternetLink"/>
                  <w:rFonts w:ascii="Times New Roman;sans-serif" w:hAnsi="Times New Roman;sans-serif"/>
                  <w:b w:val="false"/>
                  <w:i w:val="false"/>
                  <w:caps w:val="false"/>
                  <w:smallCaps w:val="false"/>
                  <w:color w:val="0000FF"/>
                  <w:sz w:val="20"/>
                  <w:u w:val="single"/>
                </w:rPr>
                <w:t>43</w:t>
              </w:r>
            </w:hyperlink>
          </w:p>
        </w:tc>
      </w:tr>
      <w:tr>
        <w:trPr/>
        <w:tc>
          <w:tcPr>
            <w:tcW w:w="8266" w:type="dxa"/>
            <w:tcBorders/>
            <w:vAlign w:val="center"/>
          </w:tcPr>
          <w:p>
            <w:pPr>
              <w:pStyle w:val="TableContents"/>
              <w:bidi w:val="0"/>
              <w:spacing w:lineRule="atLeast" w:line="200" w:before="0" w:after="0"/>
              <w:jc w:val="left"/>
              <w:rPr/>
            </w:pPr>
            <w:hyperlink w:anchor="icb9447fcda9c419b80559940834d4a66_1172">
              <w:r>
                <w:rPr>
                  <w:rStyle w:val="InternetLink"/>
                  <w:rFonts w:ascii="Times New Roman;sans-serif" w:hAnsi="Times New Roman;sans-serif"/>
                  <w:b w:val="false"/>
                  <w:i w:val="false"/>
                  <w:caps w:val="false"/>
                  <w:smallCaps w:val="false"/>
                  <w:color w:val="0000FF"/>
                  <w:sz w:val="20"/>
                  <w:u w:val="single"/>
                </w:rPr>
                <w:t>MANAGEMENT</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1172">
              <w:r>
                <w:rPr>
                  <w:rStyle w:val="InternetLink"/>
                  <w:rFonts w:ascii="Times New Roman;sans-serif" w:hAnsi="Times New Roman;sans-serif"/>
                  <w:b w:val="false"/>
                  <w:i w:val="false"/>
                  <w:caps w:val="false"/>
                  <w:smallCaps w:val="false"/>
                  <w:color w:val="0000FF"/>
                  <w:sz w:val="20"/>
                  <w:u w:val="single"/>
                </w:rPr>
                <w:t>59</w:t>
              </w:r>
            </w:hyperlink>
          </w:p>
        </w:tc>
      </w:tr>
      <w:tr>
        <w:trPr/>
        <w:tc>
          <w:tcPr>
            <w:tcW w:w="8266" w:type="dxa"/>
            <w:tcBorders/>
            <w:vAlign w:val="center"/>
          </w:tcPr>
          <w:p>
            <w:pPr>
              <w:pStyle w:val="TableContents"/>
              <w:bidi w:val="0"/>
              <w:spacing w:lineRule="atLeast" w:line="200" w:before="0" w:after="0"/>
              <w:jc w:val="left"/>
              <w:rPr/>
            </w:pPr>
            <w:hyperlink w:anchor="icb9447fcda9c419b80559940834d4a66_1150">
              <w:r>
                <w:rPr>
                  <w:rStyle w:val="InternetLink"/>
                  <w:rFonts w:ascii="Times New Roman;sans-serif" w:hAnsi="Times New Roman;sans-serif"/>
                  <w:b w:val="false"/>
                  <w:i w:val="false"/>
                  <w:caps w:val="false"/>
                  <w:smallCaps w:val="false"/>
                  <w:color w:val="0000FF"/>
                  <w:sz w:val="20"/>
                  <w:u w:val="single"/>
                </w:rPr>
                <w:t>EXECUTIVE AND DIRECTOR COMPENSATION OF INNVENTURE</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1150">
              <w:r>
                <w:rPr>
                  <w:rStyle w:val="InternetLink"/>
                  <w:rFonts w:ascii="Times New Roman;sans-serif" w:hAnsi="Times New Roman;sans-serif"/>
                  <w:b w:val="false"/>
                  <w:i w:val="false"/>
                  <w:caps w:val="false"/>
                  <w:smallCaps w:val="false"/>
                  <w:color w:val="0000FF"/>
                  <w:sz w:val="20"/>
                  <w:u w:val="single"/>
                </w:rPr>
                <w:t>65</w:t>
              </w:r>
            </w:hyperlink>
          </w:p>
        </w:tc>
      </w:tr>
      <w:tr>
        <w:trPr/>
        <w:tc>
          <w:tcPr>
            <w:tcW w:w="8266" w:type="dxa"/>
            <w:tcBorders/>
            <w:vAlign w:val="center"/>
          </w:tcPr>
          <w:p>
            <w:pPr>
              <w:pStyle w:val="TableContents"/>
              <w:bidi w:val="0"/>
              <w:spacing w:lineRule="atLeast" w:line="200" w:before="0" w:after="0"/>
              <w:jc w:val="left"/>
              <w:rPr/>
            </w:pPr>
            <w:hyperlink w:anchor="icb9447fcda9c419b80559940834d4a66_1131">
              <w:r>
                <w:rPr>
                  <w:rStyle w:val="InternetLink"/>
                  <w:rFonts w:ascii="Times New Roman;sans-serif" w:hAnsi="Times New Roman;sans-serif"/>
                  <w:b w:val="false"/>
                  <w:i w:val="false"/>
                  <w:caps w:val="false"/>
                  <w:smallCaps w:val="false"/>
                  <w:color w:val="0000FF"/>
                  <w:sz w:val="20"/>
                  <w:u w:val="single"/>
                </w:rPr>
                <w:t>CERTAIN RELATIONSHIPS AND RELATED PARTY TRANSACTIONS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1131">
              <w:r>
                <w:rPr>
                  <w:rStyle w:val="InternetLink"/>
                  <w:rFonts w:ascii="Times New Roman;sans-serif" w:hAnsi="Times New Roman;sans-serif"/>
                  <w:b w:val="false"/>
                  <w:i w:val="false"/>
                  <w:caps w:val="false"/>
                  <w:smallCaps w:val="false"/>
                  <w:color w:val="0000FF"/>
                  <w:sz w:val="20"/>
                  <w:u w:val="single"/>
                </w:rPr>
                <w:t>73</w:t>
              </w:r>
            </w:hyperlink>
          </w:p>
        </w:tc>
      </w:tr>
      <w:tr>
        <w:trPr/>
        <w:tc>
          <w:tcPr>
            <w:tcW w:w="8266" w:type="dxa"/>
            <w:tcBorders/>
            <w:vAlign w:val="center"/>
          </w:tcPr>
          <w:p>
            <w:pPr>
              <w:pStyle w:val="TableContents"/>
              <w:bidi w:val="0"/>
              <w:spacing w:lineRule="atLeast" w:line="200" w:before="0" w:after="0"/>
              <w:jc w:val="left"/>
              <w:rPr/>
            </w:pPr>
            <w:hyperlink w:anchor="icb9447fcda9c419b80559940834d4a66_1113">
              <w:r>
                <w:rPr>
                  <w:rStyle w:val="InternetLink"/>
                  <w:rFonts w:ascii="Times New Roman;sans-serif" w:hAnsi="Times New Roman;sans-serif"/>
                  <w:b w:val="false"/>
                  <w:i w:val="false"/>
                  <w:caps w:val="false"/>
                  <w:smallCaps w:val="false"/>
                  <w:color w:val="0000FF"/>
                  <w:sz w:val="20"/>
                  <w:u w:val="single"/>
                </w:rPr>
                <w:t>DESCRIPTION OF SECURITIES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1113">
              <w:r>
                <w:rPr>
                  <w:rStyle w:val="InternetLink"/>
                  <w:rFonts w:ascii="Times New Roman;sans-serif" w:hAnsi="Times New Roman;sans-serif"/>
                  <w:b w:val="false"/>
                  <w:i w:val="false"/>
                  <w:caps w:val="false"/>
                  <w:smallCaps w:val="false"/>
                  <w:color w:val="0000FF"/>
                  <w:sz w:val="20"/>
                  <w:u w:val="single"/>
                </w:rPr>
                <w:t>81</w:t>
              </w:r>
            </w:hyperlink>
          </w:p>
        </w:tc>
      </w:tr>
      <w:tr>
        <w:trPr/>
        <w:tc>
          <w:tcPr>
            <w:tcW w:w="8266" w:type="dxa"/>
            <w:tcBorders/>
            <w:vAlign w:val="center"/>
          </w:tcPr>
          <w:p>
            <w:pPr>
              <w:pStyle w:val="TableContents"/>
              <w:bidi w:val="0"/>
              <w:spacing w:lineRule="atLeast" w:line="200" w:before="0" w:after="0"/>
              <w:jc w:val="left"/>
              <w:rPr/>
            </w:pPr>
            <w:hyperlink w:anchor="icb9447fcda9c419b80559940834d4a66_891">
              <w:r>
                <w:rPr>
                  <w:rStyle w:val="InternetLink"/>
                  <w:rFonts w:ascii="Times New Roman;sans-serif" w:hAnsi="Times New Roman;sans-serif"/>
                  <w:b w:val="false"/>
                  <w:i w:val="false"/>
                  <w:caps w:val="false"/>
                  <w:smallCaps w:val="false"/>
                  <w:color w:val="0000FF"/>
                  <w:sz w:val="20"/>
                  <w:u w:val="single"/>
                </w:rPr>
                <w:t>DESCRIPTION OF INNVENTURE WARRANTS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891">
              <w:r>
                <w:rPr>
                  <w:rStyle w:val="InternetLink"/>
                  <w:rFonts w:ascii="Times New Roman;sans-serif" w:hAnsi="Times New Roman;sans-serif"/>
                  <w:b w:val="false"/>
                  <w:i w:val="false"/>
                  <w:caps w:val="false"/>
                  <w:smallCaps w:val="false"/>
                  <w:color w:val="0000FF"/>
                  <w:sz w:val="20"/>
                  <w:u w:val="single"/>
                </w:rPr>
                <w:t>87</w:t>
              </w:r>
            </w:hyperlink>
          </w:p>
        </w:tc>
      </w:tr>
      <w:tr>
        <w:trPr/>
        <w:tc>
          <w:tcPr>
            <w:tcW w:w="8266" w:type="dxa"/>
            <w:tcBorders/>
            <w:vAlign w:val="center"/>
          </w:tcPr>
          <w:p>
            <w:pPr>
              <w:pStyle w:val="TableContents"/>
              <w:bidi w:val="0"/>
              <w:spacing w:lineRule="atLeast" w:line="200" w:before="0" w:after="0"/>
              <w:jc w:val="left"/>
              <w:rPr/>
            </w:pPr>
            <w:hyperlink w:anchor="icb9447fcda9c419b80559940834d4a66_909">
              <w:r>
                <w:rPr>
                  <w:rStyle w:val="InternetLink"/>
                  <w:rFonts w:ascii="Times New Roman;sans-serif" w:hAnsi="Times New Roman;sans-serif"/>
                  <w:b w:val="false"/>
                  <w:i w:val="false"/>
                  <w:caps w:val="false"/>
                  <w:smallCaps w:val="false"/>
                  <w:color w:val="0000FF"/>
                  <w:sz w:val="20"/>
                  <w:u w:val="single"/>
                </w:rPr>
                <w:t>SECURITY OWNERSHIP OF CERTAIN BENEFICIAL OWNERS AND MANAGEMENT</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909">
              <w:r>
                <w:rPr>
                  <w:rStyle w:val="InternetLink"/>
                  <w:rFonts w:ascii="Times New Roman;sans-serif" w:hAnsi="Times New Roman;sans-serif"/>
                  <w:b w:val="false"/>
                  <w:i w:val="false"/>
                  <w:caps w:val="false"/>
                  <w:smallCaps w:val="false"/>
                  <w:color w:val="0000FF"/>
                  <w:sz w:val="20"/>
                  <w:u w:val="single"/>
                </w:rPr>
                <w:t>91</w:t>
              </w:r>
            </w:hyperlink>
          </w:p>
        </w:tc>
      </w:tr>
      <w:tr>
        <w:trPr/>
        <w:tc>
          <w:tcPr>
            <w:tcW w:w="8266" w:type="dxa"/>
            <w:tcBorders/>
            <w:vAlign w:val="center"/>
          </w:tcPr>
          <w:p>
            <w:pPr>
              <w:pStyle w:val="TableContents"/>
              <w:bidi w:val="0"/>
              <w:spacing w:lineRule="atLeast" w:line="200" w:before="0" w:after="0"/>
              <w:jc w:val="left"/>
              <w:rPr/>
            </w:pPr>
            <w:hyperlink w:anchor="icb9447fcda9c419b80559940834d4a66_927">
              <w:r>
                <w:rPr>
                  <w:rStyle w:val="InternetLink"/>
                  <w:rFonts w:ascii="Times New Roman;sans-serif" w:hAnsi="Times New Roman;sans-serif"/>
                  <w:b w:val="false"/>
                  <w:i w:val="false"/>
                  <w:caps w:val="false"/>
                  <w:smallCaps w:val="false"/>
                  <w:color w:val="0000FF"/>
                  <w:sz w:val="20"/>
                  <w:u w:val="single"/>
                </w:rPr>
                <w:t>SELLING STOCKHOLDERS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927">
              <w:r>
                <w:rPr>
                  <w:rStyle w:val="InternetLink"/>
                  <w:rFonts w:ascii="Times New Roman;sans-serif" w:hAnsi="Times New Roman;sans-serif"/>
                  <w:b w:val="false"/>
                  <w:i w:val="false"/>
                  <w:caps w:val="false"/>
                  <w:smallCaps w:val="false"/>
                  <w:color w:val="0000FF"/>
                  <w:sz w:val="20"/>
                  <w:u w:val="single"/>
                </w:rPr>
                <w:t>94</w:t>
              </w:r>
            </w:hyperlink>
          </w:p>
        </w:tc>
      </w:tr>
      <w:tr>
        <w:trPr/>
        <w:tc>
          <w:tcPr>
            <w:tcW w:w="8266" w:type="dxa"/>
            <w:tcBorders/>
            <w:vAlign w:val="center"/>
          </w:tcPr>
          <w:p>
            <w:pPr>
              <w:pStyle w:val="TableContents"/>
              <w:bidi w:val="0"/>
              <w:spacing w:lineRule="atLeast" w:line="200" w:before="0" w:after="0"/>
              <w:jc w:val="left"/>
              <w:rPr/>
            </w:pPr>
            <w:hyperlink w:anchor="icb9447fcda9c419b80559940834d4a66_945">
              <w:r>
                <w:rPr>
                  <w:rStyle w:val="InternetLink"/>
                  <w:rFonts w:ascii="Times New Roman;sans-serif" w:hAnsi="Times New Roman;sans-serif"/>
                  <w:b w:val="false"/>
                  <w:i w:val="false"/>
                  <w:caps w:val="false"/>
                  <w:smallCaps w:val="false"/>
                  <w:color w:val="0000FF"/>
                  <w:sz w:val="20"/>
                  <w:u w:val="single"/>
                </w:rPr>
                <w:t>SHARES ELIGIBLE FOR FUTURE SALE</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945">
              <w:r>
                <w:rPr>
                  <w:rStyle w:val="InternetLink"/>
                  <w:rFonts w:ascii="Times New Roman;sans-serif" w:hAnsi="Times New Roman;sans-serif"/>
                  <w:b w:val="false"/>
                  <w:i w:val="false"/>
                  <w:caps w:val="false"/>
                  <w:smallCaps w:val="false"/>
                  <w:color w:val="0000FF"/>
                  <w:sz w:val="20"/>
                  <w:u w:val="single"/>
                </w:rPr>
                <w:t>97</w:t>
              </w:r>
            </w:hyperlink>
          </w:p>
        </w:tc>
      </w:tr>
      <w:tr>
        <w:trPr/>
        <w:tc>
          <w:tcPr>
            <w:tcW w:w="8266" w:type="dxa"/>
            <w:tcBorders/>
            <w:vAlign w:val="center"/>
          </w:tcPr>
          <w:p>
            <w:pPr>
              <w:pStyle w:val="TableContents"/>
              <w:bidi w:val="0"/>
              <w:spacing w:lineRule="atLeast" w:line="200" w:before="0" w:after="0"/>
              <w:jc w:val="left"/>
              <w:rPr/>
            </w:pPr>
            <w:hyperlink w:anchor="icb9447fcda9c419b80559940834d4a66_963">
              <w:r>
                <w:rPr>
                  <w:rStyle w:val="InternetLink"/>
                  <w:rFonts w:ascii="Times New Roman;sans-serif" w:hAnsi="Times New Roman;sans-serif"/>
                  <w:b w:val="false"/>
                  <w:i w:val="false"/>
                  <w:caps w:val="false"/>
                  <w:smallCaps w:val="false"/>
                  <w:color w:val="0000FF"/>
                  <w:sz w:val="20"/>
                  <w:u w:val="single"/>
                </w:rPr>
                <w:t>PLAN OF DISTRIBUTION</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963">
              <w:r>
                <w:rPr>
                  <w:rStyle w:val="InternetLink"/>
                  <w:rFonts w:ascii="Times New Roman;sans-serif" w:hAnsi="Times New Roman;sans-serif"/>
                  <w:b w:val="false"/>
                  <w:i w:val="false"/>
                  <w:caps w:val="false"/>
                  <w:smallCaps w:val="false"/>
                  <w:color w:val="0000FF"/>
                  <w:sz w:val="20"/>
                  <w:u w:val="single"/>
                </w:rPr>
                <w:t>100</w:t>
              </w:r>
            </w:hyperlink>
          </w:p>
        </w:tc>
      </w:tr>
      <w:tr>
        <w:trPr/>
        <w:tc>
          <w:tcPr>
            <w:tcW w:w="8266" w:type="dxa"/>
            <w:tcBorders/>
            <w:vAlign w:val="center"/>
          </w:tcPr>
          <w:p>
            <w:pPr>
              <w:pStyle w:val="TableContents"/>
              <w:bidi w:val="0"/>
              <w:spacing w:lineRule="atLeast" w:line="200" w:before="0" w:after="0"/>
              <w:jc w:val="left"/>
              <w:rPr/>
            </w:pPr>
            <w:hyperlink w:anchor="icb9447fcda9c419b80559940834d4a66_982">
              <w:r>
                <w:rPr>
                  <w:rStyle w:val="InternetLink"/>
                  <w:rFonts w:ascii="Times New Roman;sans-serif" w:hAnsi="Times New Roman;sans-serif"/>
                  <w:b w:val="false"/>
                  <w:i w:val="false"/>
                  <w:caps w:val="false"/>
                  <w:smallCaps w:val="false"/>
                  <w:color w:val="0000FF"/>
                  <w:sz w:val="20"/>
                  <w:u w:val="single"/>
                </w:rPr>
                <w:t>EXPERTS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982">
              <w:r>
                <w:rPr>
                  <w:rStyle w:val="InternetLink"/>
                  <w:rFonts w:ascii="Times New Roman;sans-serif" w:hAnsi="Times New Roman;sans-serif"/>
                  <w:b w:val="false"/>
                  <w:i w:val="false"/>
                  <w:caps w:val="false"/>
                  <w:smallCaps w:val="false"/>
                  <w:color w:val="0000FF"/>
                  <w:sz w:val="20"/>
                  <w:u w:val="single"/>
                </w:rPr>
                <w:t>102</w:t>
              </w:r>
            </w:hyperlink>
          </w:p>
        </w:tc>
      </w:tr>
      <w:tr>
        <w:trPr/>
        <w:tc>
          <w:tcPr>
            <w:tcW w:w="8266" w:type="dxa"/>
            <w:tcBorders/>
            <w:vAlign w:val="center"/>
          </w:tcPr>
          <w:p>
            <w:pPr>
              <w:pStyle w:val="TableContents"/>
              <w:bidi w:val="0"/>
              <w:spacing w:lineRule="atLeast" w:line="200" w:before="0" w:after="0"/>
              <w:jc w:val="left"/>
              <w:rPr/>
            </w:pPr>
            <w:hyperlink w:anchor="icb9447fcda9c419b80559940834d4a66_1000">
              <w:r>
                <w:rPr>
                  <w:rStyle w:val="InternetLink"/>
                  <w:rFonts w:ascii="Times New Roman;sans-serif" w:hAnsi="Times New Roman;sans-serif"/>
                  <w:b w:val="false"/>
                  <w:i w:val="false"/>
                  <w:caps w:val="false"/>
                  <w:smallCaps w:val="false"/>
                  <w:color w:val="0000FF"/>
                  <w:sz w:val="20"/>
                  <w:u w:val="single"/>
                </w:rPr>
                <w:t>LEGAL MATTERS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1000">
              <w:r>
                <w:rPr>
                  <w:rStyle w:val="InternetLink"/>
                  <w:rFonts w:ascii="Times New Roman;sans-serif" w:hAnsi="Times New Roman;sans-serif"/>
                  <w:b w:val="false"/>
                  <w:i w:val="false"/>
                  <w:caps w:val="false"/>
                  <w:smallCaps w:val="false"/>
                  <w:color w:val="0000FF"/>
                  <w:sz w:val="20"/>
                  <w:u w:val="single"/>
                </w:rPr>
                <w:t>102</w:t>
              </w:r>
            </w:hyperlink>
          </w:p>
        </w:tc>
      </w:tr>
      <w:tr>
        <w:trPr/>
        <w:tc>
          <w:tcPr>
            <w:tcW w:w="8266" w:type="dxa"/>
            <w:tcBorders/>
            <w:vAlign w:val="center"/>
          </w:tcPr>
          <w:p>
            <w:pPr>
              <w:pStyle w:val="TableContents"/>
              <w:bidi w:val="0"/>
              <w:spacing w:lineRule="atLeast" w:line="200" w:before="0" w:after="0"/>
              <w:jc w:val="left"/>
              <w:rPr/>
            </w:pPr>
            <w:hyperlink w:anchor="icb9447fcda9c419b80559940834d4a66_1019">
              <w:r>
                <w:rPr>
                  <w:rStyle w:val="InternetLink"/>
                  <w:rFonts w:ascii="Times New Roman;sans-serif" w:hAnsi="Times New Roman;sans-serif"/>
                  <w:b w:val="false"/>
                  <w:i w:val="false"/>
                  <w:caps w:val="false"/>
                  <w:smallCaps w:val="false"/>
                  <w:color w:val="0000FF"/>
                  <w:sz w:val="20"/>
                  <w:u w:val="single"/>
                </w:rPr>
                <w:t>WHERE YOU CAN FIND MORE INFORMATION</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1019">
              <w:r>
                <w:rPr>
                  <w:rStyle w:val="InternetLink"/>
                  <w:rFonts w:ascii="Times New Roman;sans-serif" w:hAnsi="Times New Roman;sans-serif"/>
                  <w:b w:val="false"/>
                  <w:i w:val="false"/>
                  <w:caps w:val="false"/>
                  <w:smallCaps w:val="false"/>
                  <w:color w:val="0000FF"/>
                  <w:sz w:val="20"/>
                  <w:u w:val="single"/>
                </w:rPr>
                <w:t>102</w:t>
              </w:r>
            </w:hyperlink>
          </w:p>
        </w:tc>
      </w:tr>
      <w:tr>
        <w:trPr/>
        <w:tc>
          <w:tcPr>
            <w:tcW w:w="8266" w:type="dxa"/>
            <w:tcBorders/>
            <w:vAlign w:val="center"/>
          </w:tcPr>
          <w:p>
            <w:pPr>
              <w:pStyle w:val="TableContents"/>
              <w:bidi w:val="0"/>
              <w:spacing w:lineRule="atLeast" w:line="200" w:before="0" w:after="0"/>
              <w:jc w:val="left"/>
              <w:rPr/>
            </w:pPr>
            <w:hyperlink w:anchor="icb9447fcda9c419b80559940834d4a66_4">
              <w:r>
                <w:rPr>
                  <w:rStyle w:val="InternetLink"/>
                  <w:rFonts w:ascii="Times New Roman;sans-serif" w:hAnsi="Times New Roman;sans-serif"/>
                  <w:b w:val="false"/>
                  <w:i w:val="false"/>
                  <w:caps w:val="false"/>
                  <w:smallCaps w:val="false"/>
                  <w:color w:val="0000FF"/>
                  <w:sz w:val="20"/>
                  <w:u w:val="single"/>
                </w:rPr>
                <w:t>INDEX TO FINANCIAL STATEMENTS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11" w:type="dxa"/>
            <w:tcBorders/>
            <w:vAlign w:val="center"/>
          </w:tcPr>
          <w:p>
            <w:pPr>
              <w:pStyle w:val="TableContents"/>
              <w:bidi w:val="0"/>
              <w:spacing w:lineRule="atLeast" w:line="200" w:before="0" w:after="0"/>
              <w:jc w:val="left"/>
              <w:rPr/>
            </w:pPr>
            <w:hyperlink w:anchor="icb9447fcda9c419b80559940834d4a66_4">
              <w:r>
                <w:rPr>
                  <w:rStyle w:val="InternetLink"/>
                  <w:rFonts w:ascii="Times New Roman;sans-serif" w:hAnsi="Times New Roman;sans-serif"/>
                  <w:b w:val="false"/>
                  <w:i w:val="false"/>
                  <w:caps w:val="false"/>
                  <w:smallCaps w:val="false"/>
                  <w:color w:val="0000FF"/>
                  <w:sz w:val="20"/>
                  <w:u w:val="single"/>
                </w:rPr>
                <w:t>F-1</w:t>
              </w:r>
            </w:hyperlink>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ABOUT THIS PROSPECTUS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is part of a registration statement on Form S-1 that we filed with the Securities and Exchange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Commission (the “SEC”) using the “shelf” registration process. Under this shelf registration process, we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Selling Stockholders may, from time to time, issue, offer and sell, as applicable, any combination of the securities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described in this prospectus in one or more offerings. We may use the shelf registration statement to issue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18,386,688 shares of Common Stock issuable upon the exercise of the Innventure Warrants. The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may use the shelf registration statement to sell up to an aggregate of up to 15,965,989 shares of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Common Stock from time to time through any means described in the section entitled “</w:t>
      </w:r>
      <w:hyperlink w:anchor="icb9447fcda9c419b80559940834d4a66_963">
        <w:r>
          <w:rPr>
            <w:rStyle w:val="InternetLink"/>
            <w:rFonts w:ascii="Times New Roman;sans-serif" w:hAnsi="Times New Roman;sans-serif"/>
            <w:b w:val="false"/>
            <w:i/>
            <w:color w:val="0000FF"/>
            <w:sz w:val="20"/>
            <w:u w:val="single"/>
          </w:rPr>
          <w:t>Plan of Distribution</w:t>
        </w:r>
      </w:hyperlink>
      <w:r>
        <w:rPr>
          <w:rFonts w:ascii="Times New Roman;sans-serif" w:hAnsi="Times New Roman;sans-serif"/>
          <w:b w:val="false"/>
          <w:i w:val="false"/>
          <w:caps w:val="false"/>
          <w:smallCaps w:val="false"/>
          <w:sz w:val="20"/>
        </w:rPr>
        <w:t xml:space="preserve">.” More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specific terms of any securities that the Selling Stockholders offer and sell may be provided in a prospectus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supplement that describes, among other things, the specific amounts and prices of the shares of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being offered and the terms of the offering. We will not receive any proceeds from the sale by the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of the securities offered by them described in this prospectus, except with respect to (i) amounts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received by us upon exercise of the Innventure Warrants or the 2025 WTI Warrants to the extent such warrants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exercised for cash, and (ii) up to $75.0 million in aggregate gross proceeds from sales of shares of Common Stock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Yorkville pursuant to the SEPA, from time to time in our discretion after the date of the registration statement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includes this prospectus and subject to satisfaction of other conditions in the SEPA,.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prospectus supplement may also add, update or change information included in this prospectus.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 contained in this prospectus will be deemed to be modified or superseded for purposes of this prospectus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the extent that a statement contained in such prospectus supplement modifies or supersedes such statement.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 so modified will be deemed to constitute a part of this prospectus only as so modified, and any statement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 superseded will be deemed not to constitute a part of this prospectus. You should rely only on the information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contained in this prospectus, any applicable prospectus supplement or any related free writing prospectus. See </w:t>
      </w:r>
    </w:p>
    <w:p>
      <w:pPr>
        <w:pStyle w:val="TextBody"/>
        <w:bidi w:val="0"/>
        <w:spacing w:lineRule="atLeast" w:line="200" w:before="0" w:after="0"/>
        <w:jc w:val="left"/>
        <w:rPr/>
      </w:pPr>
      <w:r>
        <w:rPr>
          <w:caps w:val="false"/>
          <w:smallCaps w:val="false"/>
        </w:rPr>
        <w:t>“</w:t>
      </w:r>
      <w:hyperlink w:anchor="icb9447fcda9c419b80559940834d4a66_1019">
        <w:r>
          <w:rPr>
            <w:rStyle w:val="InternetLink"/>
            <w:rFonts w:ascii="Times New Roman;sans-serif" w:hAnsi="Times New Roman;sans-serif"/>
            <w:b w:val="false"/>
            <w:i/>
            <w:color w:val="0000FF"/>
            <w:sz w:val="20"/>
            <w:u w:val="single"/>
          </w:rPr>
          <w:t>Where You Can Find More Information</w:t>
        </w:r>
      </w:hyperlink>
      <w:r>
        <w:rPr>
          <w:rFonts w:ascii="Times New Roman;sans-serif" w:hAnsi="Times New Roman;sans-serif"/>
          <w:b w:val="false"/>
          <w:i/>
          <w:sz w:val="20"/>
        </w:rPr>
        <w:t>.</w:t>
      </w:r>
      <w:r>
        <w:rPr>
          <w:caps w:val="false"/>
          <w:smallCaps w:val="false"/>
        </w:rPr>
        <w: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You should rely only on the information contained in this prospectus. We and the Selling Stockholders have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authorized anyone to provide any information or to make any representations other than those contained in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prospectus or any free writing prospectus we have prepared. We and the Selling Stockholders take no responsibility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and can provide no assurance as to the reliability of, any other information that others may give you.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prospectus is an offer to sell only the securities offered hereby and only under circumstances and in jurisdictions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where it is lawful to do so. No dealer, salesperson or other person is authorized to give any information or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represent anything not contained in this prospectus or any related free writing prospectus. This prospectus is not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offer to sell securities, and it is not soliciting an offer to buy securities, in any jurisdiction where the offer or sale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 permitted. You should assume that the information appearing in this prospectus is accurate only as of the date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front cover, regardless of the time of delivery of this prospectus or any sale of a security. Our business,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condition, results of operations and prospects may have changed since those dates.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contains summaries of certain provisions contained in some of the documents described herein,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but reference is made to the actual documents for complete information. All of the summaries are qualified in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entirety by the actual documents. Copies of some of the documents referred to herein have been filed, will be filed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will be incorporated by reference as exhibits to the registration statement of which this prospectus is a part, and you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may obtain copies of those documents as described below under “</w:t>
      </w:r>
      <w:hyperlink w:anchor="icb9447fcda9c419b80559940834d4a66_1019">
        <w:r>
          <w:rPr>
            <w:rStyle w:val="InternetLink"/>
            <w:rFonts w:ascii="Times New Roman;sans-serif" w:hAnsi="Times New Roman;sans-serif"/>
            <w:b w:val="false"/>
            <w:i/>
            <w:color w:val="0000FF"/>
            <w:sz w:val="20"/>
            <w:u w:val="single"/>
          </w:rPr>
          <w:t>Where You Can Find More Information</w:t>
        </w:r>
      </w:hyperlink>
      <w:r>
        <w:rPr>
          <w:rFonts w:ascii="Times New Roman;sans-serif" w:hAnsi="Times New Roman;sans-serif"/>
          <w:b w:val="false"/>
          <w:i w:val="false"/>
          <w:caps w:val="false"/>
          <w:smallCaps w:val="false"/>
          <w:sz w:val="20"/>
        </w:rPr>
        <w: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this prospectus, we rely on and refer to information and statistics regarding our industry. We obtained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statistical, market and other industry data and forecasts from publicly available information. While we believe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statistical data, market data and other industry data and forecasts are reliable, we have not independently verified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data.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2, 2024 (the “Closing Date”), Learn CW Investment Corporation, a Cayman Islands exempted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(both prior to and after the Closing Date, “Learn CW”) and Innventure LLC, a Delaware limited liability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(“Innventure LLC”), consummated the previously announced business combination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with Learn SPAC HoldCo, Inc., a Delaware corporation and direct, wholly-owned subsidiary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Learn CW (“Holdco”), LCW Merger Sub, Inc., a Delaware corporation and direct, wholly-owned subsidiary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Holdco (“LCW Merger Sub”), and Innventure Merger Sub, LLC, a Delaware limited liability company and direct,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wholly-owned subsidiary of Holdco (“Innventure Merger Sub”). Following the closing of the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each of Learn CW and Innventure LLC are subsidiaries of Holdco, and Holdco became a publicly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traded company. At the closing of the Business Combination, Holdco changed its name to “Innventure, Inc.”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 Inc.’s Common Stock is listed on NASDAQ under the symbol “INV”.</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Unless the context indicates otherwise, references in this prospectus to the “Company,” “Innventure,” “Holdco,”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we,” “us,” “our” and similar terms refer to Innventure, Inc. (f/k/a Learn SPAC HoldCo, Inc.) and its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subsidiaries. References to “Learn CW” refer to Learn CW Investment Corporation.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includes trademarks, service marks and trade names owned by us or other companies. 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trademarks, service marks and trade names included in this prospectus are the property of their respective owners.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CAUTIONARY STATEMENT REGARDING FORWARD-LOOKING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contains forward-looking statements. Forward-looking statements are all statements other than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those of historical fact, including statements about the Company’s business model, the financial condition,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operations, earnings outlook and its Operating Companies’ (as defined below) prospects. In addition, any statements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refer to projections, forecasts or other characterizations of future events or circumstances, including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underlying assumptions, are forward-looking statements. Forward-looking statements generally relate to future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events or the Company’s future financial or operating performance and may refer to projections and forecasts.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Forward-looking statements are often identified by future or conditional words such as “plan,” “believe,” “expect,”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anticipate,” “intend,” “outlook,” “estimate,” “forecast,” “project,” “continue,” “could,” “may,” “might,” “possible,”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will,” “potential,” “predict,” “should,” “would” and other similar words and expressions (or the negative versions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such words or expressions), but the absence of these words does not mean that a statement is not forward-looking.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forward-looking statements are based on the current expectations of the Company’s management and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inherently subject to uncertainties and changes in circumstances and their potential effects and speak only as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date of this prospectus. There can be no assurance that future developments will be those that have been anticipated.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forward-looking statements involve a number of risks, uncertainties (some of which are beyond the control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parties) or other assumptions that may cause actual results or performance to be materially different from those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expressed or implied by these forward-looking statements.  The risks and uncertainties include, but are not limited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those factors discussed and identified in other public filings made with the SEC by the Company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following: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expectations regarding Innventure’s and the Innventure Companies’ (as defined below) strategies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achieve future financial performance, including their respective future business plans, expansion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acquisition plans or objectives, prospective performance and opportunities and competitors, revenues,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products and services, pricing, operating expenses, market trends, liquidity, cash flows and uses of cash,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capital expenditures, and Innventure’s ability to invest in growth initiatives;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implementation, market acceptance and success of Innventure’s and the Innventure Companies’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business models and growth strategies;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Innventure’s future capital requirements and sources and uses of cash;</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ability to meet the various conditions, including the available cash and performance targets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issuance of warrant instruments to the WTI Lenders (as defined below), and access any additional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installments draws, if available, under the WTI Facility (as defined below);</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ability to meet the various conditions and satisfy the various limitations under the SEPA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defined herein) with Yorkville, including exchange caps, issuances and subscriptions based on trading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volumes, to continue to access the funds available under the SEPA or the Securities Purchase Agreement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defined below) and related Convertible Debentures (as defined below) due to certain conditions,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restrictions and limitations set forth therein;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certain restrictions and limitations set forth in Innventure’s debt instruments, which may impair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Innventure’s financial and operating flexibility;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and the Innventure Companies’ ability to generate liquidity and maintain sufficient capital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operate as anticipated;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ability to obtain funding for its operations and future growth and to continue as a going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concern;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risk that the technology solutions that Innventure and the Innventure Companies license or acquire from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third parties or develop internally may not function as anticipated or provide the benefits anticipated;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developments and projections relating to Innventure’s and the Innventure Companies’ competitors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industry;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iv</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ability of Innventure and the Innventure Companies to scale the operations of their respective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businesses;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ability of Innventure and the Innventure Companies to establish substantial commercial sales of their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ability of Innventure and the Innventure Companies to compete against companies with greater capital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other resources or superior technology or 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 and the Innventure Companies’ ability to meet, and to continue to meet, applicable regulatory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requirements for the use of their products and the numerous regulatory requirements generally applicable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their respective businesses;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outcome of any legal proceedings against Innventure or the Innventure Companies;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ability to find future opportunities to license or acquire breakthrough technology solutions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from MNCs (as defined below) or other third parties (collectively, “Technology Solutions Providers”)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satisfy the requirements imposed by or to avoid disagreements with its current and future Technology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Solutions Providers;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risk that the launch of new companies distracts Innventure’s management from its subsidiaries and their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respective operations;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risk that Innventure may be deemed an investment company under the Investment Company Act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1940 (the “Investment Company Act”), which would impose burdensome compliance requirements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restrictions on its activities;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ability to sufficiently protect the intellectual property (“IP”) rights of itself and its Operating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Companies, and to avoid or resolve in a timely and cost-effective manner any disputes that may arise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relating to its use of the IP of third parties;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risk of a cyber-attack or a failure of Innventure’s information technology and data security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infrastructure;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ability to recognize the anticipated benefits of the Business Combination;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geopolitical risk and changes in applicable laws or regulations, including with respect to foreign trade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policy and tariffs;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potential adverse effects of other economic, business, and/or competitive factors;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operational risks related to Innventure and its Operating Companies, which have limited or no operating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history;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limited liquidity and trading of Innventure’s securities.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Should one or more of these risks or uncertainties materialize, or should any of our assumptions prove incorrect,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actual results may vary in material respects from those projected in these forward-looking statements. All forward-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looking statements in this prospectus are made as of the date hereof, based on information available to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of the date hereof, and the Company assumes no obligation to update any forward-looking statement, whether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result of new information, future events or otherwise, except as may be required under applicable law.</w:t>
      </w:r>
    </w:p>
    <w:p>
      <w:pPr>
        <w:pStyle w:val="TextBody"/>
        <w:bidi w:val="0"/>
        <w:spacing w:before="0" w:after="0"/>
        <w:jc w:val="left"/>
        <w:rPr/>
      </w:pPr>
      <w:r>
        <w:rPr/>
        <w:drawing>
          <wp:inline distT="0" distB="0" distL="0" distR="0">
            <wp:extent cx="77724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PROSPECTUS SUMMARY</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This summary highlights selected information from this prospectus and does not contain all of the information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that you should consider before investing in shares of Common Stock and it is qualified in its entirety by, and should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be read in conjunction with, the more detailed information appearing elsewhere in this prospectus. Before you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decide to invest in Common Stock, you should read the entire prospectus carefully, including the section entitled </w:t>
      </w:r>
    </w:p>
    <w:p>
      <w:pPr>
        <w:pStyle w:val="TextBody"/>
        <w:bidi w:val="0"/>
        <w:spacing w:lineRule="atLeast" w:line="200" w:before="0" w:after="0"/>
        <w:jc w:val="left"/>
        <w:rPr/>
      </w:pPr>
      <w:r>
        <w:rPr/>
        <w:t>“</w:t>
      </w:r>
      <w:hyperlink w:anchor="icb9447fcda9c419b80559940834d4a66_674">
        <w:r>
          <w:rPr>
            <w:rStyle w:val="InternetLink"/>
            <w:rFonts w:ascii="Times New Roman;sans-serif" w:hAnsi="Times New Roman;sans-serif"/>
            <w:b w:val="false"/>
            <w:i/>
            <w:color w:val="0000FF"/>
            <w:sz w:val="20"/>
            <w:u w:val="single"/>
          </w:rPr>
          <w:t>Risk Factors</w:t>
        </w:r>
      </w:hyperlink>
      <w:r>
        <w:rPr/>
        <w:t xml:space="preserve">” </w:t>
      </w:r>
      <w:r>
        <w:rPr>
          <w:rFonts w:ascii="Times New Roman;sans-serif" w:hAnsi="Times New Roman;sans-serif"/>
          <w:b w:val="false"/>
          <w:i/>
          <w:sz w:val="20"/>
        </w:rPr>
        <w:t xml:space="preserve">beginning on page </w:t>
      </w:r>
      <w:hyperlink w:anchor="icb9447fcda9c419b80559940834d4a66_674">
        <w:r>
          <w:rPr>
            <w:rStyle w:val="InternetLink"/>
            <w:rFonts w:ascii="Times New Roman;sans-serif" w:hAnsi="Times New Roman;sans-serif"/>
            <w:b w:val="false"/>
            <w:i/>
            <w:color w:val="0000FF"/>
            <w:sz w:val="20"/>
            <w:u w:val="single"/>
          </w:rPr>
          <w:t>11</w:t>
        </w:r>
      </w:hyperlink>
      <w:r>
        <w:rPr/>
        <w:t xml:space="preserve"> </w:t>
      </w:r>
      <w:r>
        <w:rPr>
          <w:rFonts w:ascii="Times New Roman;sans-serif" w:hAnsi="Times New Roman;sans-serif"/>
          <w:b w:val="false"/>
          <w:i/>
          <w:sz w:val="20"/>
        </w:rPr>
        <w:t>and the financial statements and related notes included in this prospectus.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The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founds, funds, and operates companies with a focus on transformative, sustainable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solutions that we acquire or license from technology innovators. These technology innovators are typically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multinational corporations (“MNCs”) but need not be MNCs. In connection with the founding of a new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look to establish a collaborative relationship with at least one MNC that (1) has expressed a need for, and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in using or distributing, the specific technology that we intend to commercialize and (2) that we expect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become a channel partner capable of providing a path to market adoption, distribution and/or revenue for the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This collaborating MNC, which we refer to as a channel partner, may be the entity from which we source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technology or it may be an unrelated entity. As owner-operators, our goal is to take what we believe to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breakthrough technologies from evaluation to scaled commercialization utilizing an approach designed to help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mitigate risk as it builds disruptive companies that it believes have the potential to achieve a target enterprise value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at least $1 billion. Innventure defines “disruptive” as innovations that have the ability to significantly change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way businesses, industries, markets and/or consumers operate.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has launched four such companies since its inception: PureCycle Technologies, Inc. (“PureCycle” or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PCT”) in late 2015 (NASDAQ: PCT, technology initially sourced from The Procter &amp; Gamble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(“P&amp;G”)), AeroFlexx, LLC (“AeroFlexx” or “AFX”) in 2018 (technology sourced from P&amp;G), Accelsius Holdings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LLC (“Accelsius” or “ACC”) in 2022 (technology initially sourced from Nokia Corporation (“Nokia”)),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Olefins, LLC (“Refinity”) in 2024 (technology initially sourced from the VTT Technical Research Centre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Finland (“VTT”); collaboration agreement with The Dow Chemical Company (“Dow”) signed). PureCycle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became a publicly traded company in 2021 and, as of the date of this prospectus, Innventure no longer has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 interest in PureCycle.  We refer to AeroFlexx, Accelsius and Refinity as “Innventure Companies” and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Innventure Companies along with those subsidiary companies that Innventure may found, fund, and operate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going forward as the “Operating Companies.”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Background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24, 2023, Learn CW and Innventure LLC, a Delaware limited liability company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LLC”), entered into a business combination agreement (the “Business Combination Agreement”) with Holdco,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LCW Merger Sub, Inc., a direct, wholly-owned subsidiary of Holdco (“Innventure Merger Sub”). On September 30,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2024, the stockholders of Learn CW approved the Business Combination, and the Business Combination closed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Closing Date. Pursuant to the Business Combination Agreement, among other things, (i) LCW Merger Sub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merged with and into Learn CW (the “LCW Merger”), with Learn CW as the surviving company of the LCW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Merger and (ii) Innventure Merger Sub merged with and into Innventure (the “Innventure Merger” and together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LCW Merger, the “Mergers”), with Innventure LLC as the surviving entity of the Innventure Merger. Following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Mergers, each of Learn CW and Innventure LLC became a subsidiary of Holdco, and Holdco became a publicly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traded company. Holdco changed its name to Innventure, Inc. in connection with the Business Combination.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Our Common Stock is listed on NASDAQ under the symbol “INV”.</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Standby Equity Purchase Agreement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Concurrently with the parties entering into the Business Combination Agreement, the Company entered into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SEPA with Yorkville. Pursuant to the SEPA and subject to certain conditions and limitations, the Company has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option, but not the obligation, to sell to Yorkville, and Yorkville must subscribe for, an aggregate amount of up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$75.0 million of Common Stock, at the Company’s request any time during the commitment period commencing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Closing Date and continuing for a term of three years.</w:t>
      </w:r>
    </w:p>
    <w:p>
      <w:pPr>
        <w:pStyle w:val="TextBody"/>
        <w:bidi w:val="0"/>
        <w:spacing w:before="0" w:after="0"/>
        <w:jc w:val="left"/>
        <w:rPr/>
      </w:pPr>
      <w:r>
        <w:rPr/>
        <w:drawing>
          <wp:inline distT="0" distB="0" distL="0" distR="0">
            <wp:extent cx="7772400" cy="1005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agreed, and paid, to YA Global II SPV, LLC, a subsidiary of Yorkville (i) a structuring fee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amount of $25,000 and (ii) commitment fee in an amount equal to $375,000 (the “Commitment Fee”).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advance the Company issues in writing to Yorkville under the SEPA (each, an “Advance,” and notice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request, an “Advance Notice”) may be in an amount of Common Stock up to the greater of (i) $10.0 million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(ii) the aggregate daily trading volume of Common Stock for the five trading days prior to the Company requesting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 Advance. The purchase price for the shares of Common Stock set forth in the Advance is determined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multiplying the market price of Common Stock by either (a) 95% of the daily volume weighted average price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(“VWAP”) during the applicable one-day pricing period or (b) 97% of the lowest daily VWAP during the applicable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three consecutive trading day pricing period. The applicable pricing period depends on the type of Advance Notice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selected by the Company under the SEPA. As discussed below, the Company may establish a minimum acceptable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price in each Advance Notice below which the Company will not be obligated to make any sales to Yorkville.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purchase under an Advance would be subject to certain limitations and conditions, depending on selections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set forth in the applicable Advance, including the following: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Exchange Cap:</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Yorkville shall not purchase or acquire any shares of Common Stock pursuant to the SEPA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would result in it and its affiliates (on an aggregated basis) beneficially owning more than 9.99%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then outstanding voting power or number of shares of Common Stock or any shares of Common Stock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aggregated with shares issued under all other earlier Advances, would exceed 19.99% of all 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outstanding on the Closing Date (which number shall be reduced, on a share-for-share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basis, by the number of shares of Common Stock issued or issuable pursuant to any transaction or series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transactions that may be aggregated with the transactions contemplated by the SEPA under applicable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NASDAQ rules) (the “Exchange Cap”), unless the Company obtains stockholder approval to issue shares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Common Stock in excess of the Exchange Cap in accordance with applicable NASDAQ rules or certain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other requirements are met;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Registration Limitation:</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no event shall an Advance exceed the amount of shares of Common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registered under an effective registration statement that provides for the resale from time to time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shares of Common Stock sold pursuant the SEPA;</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Volume Limitation:</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certain instances, if the total number of Common Stock traded on NASDAQ during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applicable period is less than a specified threshold, then the number of shares issued and sold by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under the Advance will be limited to the greater of (a) 35% of the trading volume during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applicable period or (b) the number of shares of Common Stock sold by Yorkville during the applicable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 (in each case not to exceed the amount specified in the Advance and the other limitations under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SEPA);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Minimum Acceptable Price:</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If the Company notifies Yorkville of a minimum acceptable price (“MAP”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defined in the SEPA), then, if during the applicable period the VWAP of the Common Stock is below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specified MAP or there is no VWAP, the amount of Common Stock set forth in the Advance will be </w:t>
      </w:r>
    </w:p>
    <w:p>
      <w:pPr>
        <w:pStyle w:val="TextBody"/>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reduced by one third (1/3</w:t>
      </w:r>
      <w:r>
        <w:rPr>
          <w:rFonts w:ascii="Times New Roman;sans-serif" w:hAnsi="Times New Roman;sans-serif"/>
          <w:b w:val="false"/>
          <w:i w:val="false"/>
          <w:caps w:val="false"/>
          <w:smallCaps w:val="false"/>
          <w:strike w:val="false"/>
          <w:dstrike w:val="false"/>
          <w:sz w:val="13"/>
          <w:u w:val="none"/>
          <w:effect w:val="none"/>
        </w:rPr>
        <w:t>rd</w:t>
      </w:r>
      <w:r>
        <w:rPr>
          <w:rFonts w:ascii="Times New Roman;sans-serif" w:hAnsi="Times New Roman;sans-serif"/>
          <w:b w:val="false"/>
          <w:i w:val="false"/>
          <w:caps w:val="false"/>
          <w:smallCaps w:val="false"/>
          <w:strike w:val="false"/>
          <w:dstrike w:val="false"/>
          <w:sz w:val="20"/>
          <w:u w:val="none"/>
          <w:effect w:val="none"/>
        </w:rPr>
        <w:t xml:space="preserve">); provided, however, that this lower amount may be increased if certain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conditions are met.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SEPA will automatically terminate on the earliest to occur of (i) November 1, 2027 or (ii) the date on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Yorkville shall have made payment of Advances equal to $75.0 million. On December 24, 2024,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issued Yorkville 60,000 shares of Common Stock at an effective price of $12.83 per share; on December 30, 2024,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issued Yorkville 75,000 shares of Common Stock at an effective price of $12.86 per share; on January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8, 2025, the Company issued Yorkville 50,000 shares of Common Stock at an effective price of $12.85 per share;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January 23, 2025, the Company issued Yorkville 4,617 shares of Common Stock at an effective price of $12.37 per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 and on January 31, 2025, the Company issued Yorkville 19,376 shares of Common Stock at an effective price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$11.93 per share, each pursuant to the terms of the SEPA.  The Company has the right to terminate the SEPA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 cost or penalty upon five trading days’ prior written notice to Yorkville, provided that there are no outstanding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Advance Notices for which shares of Common Stock must be issued and the Company has paid all amounts owed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Yorkville pursuant to the SEPA.</w:t>
      </w:r>
    </w:p>
    <w:p>
      <w:pPr>
        <w:pStyle w:val="TextBody"/>
        <w:bidi w:val="0"/>
        <w:spacing w:before="0" w:after="0"/>
        <w:jc w:val="left"/>
        <w:rPr/>
      </w:pPr>
      <w:r>
        <w:rPr/>
        <w:drawing>
          <wp:inline distT="0" distB="0" distL="0" distR="0">
            <wp:extent cx="7772400" cy="1005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for so long as any amounts remain outstanding under the Convertible Debentures (as defined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below), if the Company submits an Advance Notice then, unless otherwise agreed by Yorkville, (1)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only request an Option 2 Pricing Period (as defined in the SEPA) in such Advance Notice, and (2) all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proceeds from such Advance Notice shall be used as an Advance Payment (as defined in the Convertible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Debentures), provided that, if certain conditions have been satisfied under the Convertible Debentures, with respect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to any Advance Notice, then the proceeds of such Advance Notice shall be paid to the Company.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Innventure Warrants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Business Combination, Innventure assumed that certain Warrant Agreement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Warrant Agreement”), dated as of October 12, 2021, by and between Learn CW and Equiniti Trust Company,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(f/k/a American Stock Transfer &amp; Trust Company, LLC), and each of the outstanding public warrants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outstanding private placement warrants (collectively, the “Learn CW Warrants”) to acquire one Class A ordinary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 par value $0.0001 per share, of Learn CW (a “Learn CW Ordinary Share”) were, pursuant to their terms,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converted into warrants to acquire, subject to substantially the same terms and conditions as were applicable under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applicable Learn CW Warrant, the number of shares of Innventure’s Common Stock equal to the number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Learn CW Ordinary Shares for which such Learn CW Warrants shall have been exercisable.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whole Innventure Warrant entitles the registered holder to purchase one share of Common Stock at a price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$11.50 per share, subject to adjustment as discussed below, except as discussed in the immediately following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paragraph. Pursuant to the Warrant Agreement, an Innventure Warrant holder may exercise its Innventure Warrants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only for a whole number of shares of Common Stock. This means only a whole Innventure Warrant may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exercised at a given time by an Innventure Warrant holder. The Innventure Warrants will expire five years after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completion of the Business Combination, at 5:00 p.m., New York City time, or earlier upon redemption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liquidation.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will not be obligated to deliver any Common Stock pursuant to the exercise of an Innventure Warrant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will have no obligation to settle such Innventure Warrant exercise unless a registration statement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Act of 1933, as amended (the “Securities Act”), with respect to the shares of Common Stock underlying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Innventure Warrants is then effective and a prospectus relating thereto is current, subject to our satisfying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obligations with respect to registration, or a valid exemption from registration is available. In the event that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conditions are not satisfied with respect to an Innventure Warrant, the holder of such Innventure Warrant will not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entitled to exercise such Innventure Warrant and such Innventure Warrant may have no value and expire worthless.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 no event will we be required to net cash settle any Innventure Warrant.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 fractional shares will be issued upon exercise. If, upon exercise, a holder would be entitled to receive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fractional interest in a share, we will round down to the nearest whole number of the number of shares to be issued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to the holder.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Innventure Warrant holders do not have the rights or privileges of holders of shares of Common Stock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voting rights until they exercise their Innventure Warrants and receive shares of Common Stock. After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issuance of shares of Common Stock upon exercise of the Innventure Warrants, each holder will be entitled to one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vote for each share held of record on all matters to be voted on by Innventure stockholders.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Ducera Issuance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January 31, 2024, Ducera and Innventure LLC entered into an engagement letter pursuant to which Ducera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provided financial advisory and investment banking services to Innventure LLC.  On December 23, 2024,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Innventure LLC, and Ducera entered into an amendment to the engagement letter (the “Ducera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Engagement Letter”). Pursuant to the Ducera Engagement Letter, the Company was obliged to pay Ducera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in partial consideration of Ducera’s services as set forth therein.  On February 3, 2025,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issued to Ducera 85,471 shares of Common Stock pursuant to the terms of the Ducera Engagement Letter.</w:t>
      </w:r>
    </w:p>
    <w:p>
      <w:pPr>
        <w:pStyle w:val="TextBody"/>
        <w:bidi w:val="0"/>
        <w:spacing w:before="0" w:after="0"/>
        <w:jc w:val="left"/>
        <w:rPr/>
      </w:pPr>
      <w:r>
        <w:rPr/>
        <w:drawing>
          <wp:inline distT="0" distB="0" distL="0" distR="0">
            <wp:extent cx="777240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Grail Issuance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18, 2024, the Company and Grail Partners LLC entered into a letter agreement (the “Grail Letter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pursuant to which Grail Partners LLC, the Company, and Innventure LLC agreed to amend the Letter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dated October 19, 2023, by and between Innventure LLC and Grail Partners LLC. Pursuant to the Grail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Letter Agreement, the Company was obliged to pay an additional success fee for certain financial advisory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merchant banking services provided by issuing $3,000,000 of Series C Preferred Stock to Grail.  On March 24,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2025, the Company issued to Grail an aggregate of 300,000 shares of Series C Preferred Stock in settlement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amounts owed pursuant to the terms of the Grail Letter Agreement.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Series C Preferred Stock Financing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24, 2025 (the “Series C Closing Date”), the Company entered into preferred stock purchase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agreements (each, a “Series C Purchase Agreement” and, collectively, the “Series C Purchase Agreements”)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purchasers (the “Series C Purchasers”), pursuant to which the Company issued and sold to the Series 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Purchasers an aggregate of up to 275,000 shares of the Company’s Series C preferred stock, par value $0.0001 per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 (the “Series C Preferred Stock”), in a private placement, at a price of $10.00 per share of Series C Preferred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resulting in an aggregate purchase price of approximately $2,750,000 before deducting fees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estimated offering expenses (such offering, the “Series C Preferred Stock Financing”). The Series C Preferred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Financing closed on the Series C Closing Date.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Series C Purchase Agreements contain customary representations, warranties, and covenants by the parties,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certain indemnification obligations of the Series C Purchasers. The representations, warranties,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covenants contained in the Series C Purchase Agreements were made only for purposes of such agreements and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specific dates, were solely for the benefit of the Series C Purchasers and are subject to limitations agreed upon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contracting parties. As part of the Series C Purchase Agreements, the Company is required to prepare and file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registration statement with the Commission under the Securities Act, covering the resale of the shares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issuable upon conversion of Series C Preferred Stock within 120 days from the original issuance date,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obligation is to be satisfied hereby.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the Series C Closing Date, the Company also filed a Certificate of Designations (the “Series C Preferred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Certificate of Designations”) with the Secretary of State of the State of Delaware setting forth the terms,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rights, obligations and preferences of the Series C Preferred Stock, which became effective upon filing. Pursuant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Series C Preferred Certificate of Designation, the shares of Series C Preferred Stock have a maturity date five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years after the Series C Closing Date and carry an annual 8.0% cumulative dividend,  which will be paid prior to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preference over any Junior Stock or Parity Stock (each as defined below).  On the last day of the last quarter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fiscal year of the Company, such dividends will be made as a payment in kind.. “Junior Stock” means (i)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(ii) any other preferred stock, other than the Company’s Series B preferred stock, par value $0.0001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 share (“Series B Preferred Stock”), and (ii) any other equity interest of the Company, in each case which by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terms ranks junior to the Series C Preferred Stock with respect to payment of dividends and/or distribution of assets.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Parity Stock” means the Company’s Series B Preferred Stock and any equity interest of the Company hereinafter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created which by its terms ranks pari passu with the Series C Preferred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respect to (i) payment of dividends, (ii) distribution of assets and (iii) all other liquidation, winding up,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dissolution, dividend and redemption rights, the Series C Preferred Stock shall rank pari passu in priority of payment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all Parity Stock and senior in priority of payment to all Junior Stock in any liquidation, dissolution, winding up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distribution of the Company, and junior to any existing or future secured or unsecured indebtedness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liabilities (including trade payables) of the Company. Per each whole share of Series C Preferred Stock, the 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Series C Preferred Stock will be entitled to cast the number of votes equal to (i) the original issue price, which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$10.00 (the “Original Issue Price”), divided by (ii) the Minimum Price (as defined in NASDAQ Listing Rule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5635(d)) of Common Stock as of the Initial Issue Date (as determined by reference to the NASDAQ Official Closing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Price) and will vote with the holders of the Common Stock as a single class and on an as-converted basis, except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provided by law or applicable NASDAQ listing rules.</w:t>
      </w:r>
    </w:p>
    <w:p>
      <w:pPr>
        <w:pStyle w:val="TextBody"/>
        <w:bidi w:val="0"/>
        <w:spacing w:before="0" w:after="0"/>
        <w:jc w:val="left"/>
        <w:rPr/>
      </w:pPr>
      <w:r>
        <w:rPr/>
        <w:drawing>
          <wp:inline distT="0" distB="0" distL="0" distR="0">
            <wp:extent cx="7772400" cy="10058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Series C Preferred Stock are subject to (i) a mandatory conversion on the date that is five years after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original issuance (the “Series C Maturity Date”) and (ii) an optional conversion, at the election of the holder, at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time prior to the Series C Maturity Date upon the effectiveness of a registration statement by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registering the underlying shares of Common Stock issuable upon conversion (including this registration statement).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number of shares of Common Stock that each holder of Series C Preferred Stock will receive upon conversion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all of such holder’s shares of Series C Preferred Stock will be the number of shares equal to the Series 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Conversion Rate (as defined below) multiplied by the number of shares of Series C Preferred Stock held by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holder (subject to a threshold amount). No fractional shares shall be issued upon the exercise of any conversion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right. Any fractional shares that a holder would otherwise be entitled to will be rounded up to the next whole share.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“Series C Conversion Rate” means a fraction whose numerator is the Original Issue Price and whose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denominator is the lesser of (i) the Reset Conversion Price or (ii) $12.50. The “Reset Conversion Price” means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greater of (a) $5.00 and (b) the 10-trading day volume-weighted average closing price of the Common Stock.</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Yorkville Convertible Debentures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25, 2025, the Company entered into the Securities Purchase Agreement with Yorkville, in connection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the issuance and sale by the Company of Convertible Debentures issuable in an aggregate principal amount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up to $30,000,000, which Convertible Debentures will be convertible into shares of the Company’s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converted, the “Conversion Shares”). Pursuant to the Securities Purchase Agreement, Yorkville purchased,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issued, $20,000,000 in aggregate principal amount of Convertible Debentures (the “First Convertible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Debenture”) on April 14, 2025 (the “First Closing”). Yorkville will purchase and the Company will issue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 $10,000,000 in aggregate principal amount of Convertible Debentures (the “Second Convertible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Debenture”) after both (i) a registration statement is filed with the SEC registering the resale of the Conversion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and is declared effective by the SEC and (ii) the Company has received stockholder approval either through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affirmative votes in the Company’s annual meeting or irrevocable proxies to do the same by a majority of the voting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power of the Company of the issuance of Conversion Shares and shares issuable pursuant to the SEPA in excess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Exchange Cap.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Convertible Debentures will not bear interest unless an event of default occurs and remains uncured, upon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the Convertible Debentures will bear interest at an annual rate of 18.0%. The Convertible Debentures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mature on July 14, 2026 (the “Maturity Date”).  The First Convertible Debenture resulted in gross proceeds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of approximately $18,000,000, representing an original issue discount of 10%. Upon issuance and sale,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Second Convertible Debenture is expect to result in gross proceeds to the Company of approximately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$9,000,000, representing an original issue discount of 10%. The Company will be required to make monthly cash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payments of principal in amounts between $1,000,000 and $3,000,000 (as per the schedule set forth in the First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Convertible Debenture and to be set in a schedule set forth in the Second Convertible Debenture) plus a payment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premium of 5% and all accrued and unpaid interest as of the date of such installment. Such payments will commence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30 days following the date of issuance of the applicable Convertible Debenture and will continue on a monthly basis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thereafter until the applicable Convertible Debenture is repaid in full.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Convertible Debentures are and will be convertible at the option of the holder into Common Stock equal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applicable Conversion Amount (as defined below) divided by the Conversion Price (as defined below).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conversion price for the Convertible Debentures will initially be $10.00, and will be adjusted on the six-month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anniversary of the first business day after certain closing conditions are satisfied (the “First Closing Date”)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First Reset Date”) and the nine-month anniversary of the First Closing Date (the “Second Reset Date”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collectively with the First Reset Date, a “Reset Date”)) to equal the lower of the then applicable conversion price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average volume weighted average price of the Common Stock for the 10 trading days immediately prior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Reset Date. Any portion of the Convertible Debentures may be converted at any time and from time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time, subject to the SPA Exchange Cap (as defined below). The Conversion Amount with respect to any requested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conversion will equal the principal amount requested to be converted plus all accrued and unpaid interest on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Convertible Debenture as of such conversion, with fractional shares rounded up (the “Conversion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Amount”). In addition, no conversion will be permitted to the extent that, after giving effect to such conversion,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holder together with the certain related parties would beneficially own in excess of 4.99% of the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outstanding immediately after giving effect to such conversion, subject to certain adjustments.</w:t>
      </w:r>
    </w:p>
    <w:p>
      <w:pPr>
        <w:pStyle w:val="TextBody"/>
        <w:bidi w:val="0"/>
        <w:spacing w:before="0" w:after="0"/>
        <w:jc w:val="left"/>
        <w:rPr/>
      </w:pPr>
      <w:r>
        <w:rPr/>
        <w:drawing>
          <wp:inline distT="0" distB="0" distL="0" distR="0">
            <wp:extent cx="7772400" cy="10058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shall not issue any Common Stock upon conversion of the Convertible Debentures held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Yorkville if the issuance of such Common Stock underlying the Convertible Debentures would exceed the aggregate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number of Common Stock that the Company may issue upon conversion of the Convertible Debentures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compliance with the Company’s obligations under the rules or regulations of NASDAQ (the “SPA Exchange Cap”).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SPA Exchange Cap will not apply under certain circumstances, including if the Company obtains the approval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its stockholders as required by the applicable rules of the NASDAQ for issuances of Common Stock in excess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amount or if the Company obtains a written opinion from outside counsel to the Company that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stockholder approval is not required.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Convertible Debentures provide the Company, subject to certain conditions, with an optional redemption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right pursuant to which the Company, upon 10 trading days’ prior written notice to Yorkville (the “Redemption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Notice”), may redeem in cash, in whole or in part, all amounts outstanding under the Convertible Debentures prior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the Maturity Date. The redemption amount shall be equal to the outstanding principal balance being redeemed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plus the redemption premium of 5% of the principal amount being redeemed if completed on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before the twelve-month anniversary of the issuance date, or 10% of the principal amount being redeemed if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completed after the twelve-month anniversary of the issuance date, plus all accrued and unpaid interest as of the date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such redemption.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2025 WTI Warrants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April 14, 2025, the Company issued two warrants to purchase up to an aggregate total of 300,000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(the “2025 WTI Warrants”) to WTI Fund X, LLC and WTI Fund XI, LLC (the “WTI 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respectively, as consideration for WTI Fund X, Inc., WTI Fund XI, Inc., WTI Fund X, LLC and WTI Fund XI,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(collectively, the “WTI Entities”) entering into a consent with the Company and Innventure LLC, dated March 21,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2025, pursuant to which, among other things, the WTI Entities consented to (i) the Company entering into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Purchase Agreement and the transactions contemplated thereby and (ii) the Company’s issuance of Series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 Preferred Stock and the payoffs of certain related party loans (as described herein). Please see the section titled </w:t>
      </w:r>
    </w:p>
    <w:p>
      <w:pPr>
        <w:pStyle w:val="TextBody"/>
        <w:bidi w:val="0"/>
        <w:spacing w:lineRule="atLeast" w:line="200" w:before="0" w:after="0"/>
        <w:jc w:val="left"/>
        <w:rPr/>
      </w:pPr>
      <w:r>
        <w:rPr>
          <w:caps w:val="false"/>
          <w:smallCaps w:val="false"/>
        </w:rPr>
        <w:t>“</w:t>
      </w:r>
      <w:r>
        <w:rPr>
          <w:rFonts w:ascii="Times New Roman;sans-serif" w:hAnsi="Times New Roman;sans-serif"/>
          <w:b w:val="false"/>
          <w:i/>
          <w:sz w:val="20"/>
        </w:rPr>
        <w:t>Shares Eligible for Future Sale</w:t>
      </w:r>
      <w:r>
        <w:rPr>
          <w:caps w:val="false"/>
          <w:smallCaps w:val="false"/>
        </w:rPr>
        <w:t xml:space="preserve">” </w:t>
      </w:r>
      <w:r>
        <w:rPr>
          <w:rFonts w:ascii="Times New Roman;sans-serif" w:hAnsi="Times New Roman;sans-serif"/>
          <w:b w:val="false"/>
          <w:i w:val="false"/>
          <w:caps w:val="false"/>
          <w:smallCaps w:val="false"/>
          <w:sz w:val="20"/>
        </w:rPr>
        <w:t>elsewhere in this prospectus for more information.</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Emerging Growth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are an “emerging growth company” as defined in Section 2(a)(19) of the Securities Act, as modified by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JOBS Act (as defined below). As such, we may take advantage of exemptions from various reporting requirements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are applicable to other public companies that are not “emerging growth companies,” including exemption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compliance with the auditor attestation requirements of Section 404, reduced disclosure obligations regarding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executive compensation and exemptions from the requirements of holding a nonbinding advisory vote on executive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compensation and stockholder approval of any golden parachute payments not previously approved.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will remain an emerging growth company until the earlier of (1) December 21, 2026, (2) the last day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fiscal year (a) in which we have total annual gross revenue of at least $1.235 billion or (b) in which we are deemed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to be a large accelerated filer, which means the market value of shares of our Common Stock that are held by non-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exceeds $700.0 million as of the prior June 30, and (3) the date on which we have issued more than $1.0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billion in non-convertible debt during the prior three-year period.</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Risk Factors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business is subject to numerous risks and uncertainties, including those highlighted in the section titled </w:t>
      </w:r>
    </w:p>
    <w:p>
      <w:pPr>
        <w:pStyle w:val="TextBody"/>
        <w:bidi w:val="0"/>
        <w:spacing w:lineRule="atLeast" w:line="200" w:before="0" w:after="0"/>
        <w:jc w:val="left"/>
        <w:rPr/>
      </w:pPr>
      <w:r>
        <w:rPr>
          <w:caps w:val="false"/>
          <w:smallCaps w:val="false"/>
        </w:rPr>
        <w:t>“</w:t>
      </w:r>
      <w:hyperlink w:anchor="icb9447fcda9c419b80559940834d4a66_674">
        <w:r>
          <w:rPr>
            <w:rStyle w:val="InternetLink"/>
            <w:rFonts w:ascii="Times New Roman;sans-serif" w:hAnsi="Times New Roman;sans-serif"/>
            <w:b w:val="false"/>
            <w:i/>
            <w:color w:val="0000FF"/>
            <w:sz w:val="20"/>
            <w:u w:val="single"/>
          </w:rPr>
          <w:t>Risk Factors</w:t>
        </w:r>
      </w:hyperlink>
      <w:r>
        <w:rPr>
          <w:rFonts w:ascii="Times New Roman;sans-serif" w:hAnsi="Times New Roman;sans-serif"/>
          <w:b w:val="false"/>
          <w:i w:val="false"/>
          <w:caps w:val="false"/>
          <w:smallCaps w:val="false"/>
          <w:sz w:val="20"/>
        </w:rPr>
        <w:t xml:space="preserve">,” that represent challenges that we face in connection with the successful implementation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strategy and growth of our business.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Corporate Information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mailing address of our principal executive office is 6900 Tavistock Lakes Blvd, Suite 400, Orlando, Florida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32827, and our telephone number is (321) 209-6787.</w:t>
      </w:r>
    </w:p>
    <w:p>
      <w:pPr>
        <w:pStyle w:val="TextBody"/>
        <w:bidi w:val="0"/>
        <w:spacing w:before="0" w:after="0"/>
        <w:jc w:val="left"/>
        <w:rPr/>
      </w:pPr>
      <w:r>
        <w:rPr/>
        <w:drawing>
          <wp:inline distT="0" distB="0" distL="0" distR="0">
            <wp:extent cx="7772400" cy="10058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THE OFFERING</w:t>
      </w:r>
    </w:p>
    <w:tbl>
      <w:tblPr>
        <w:tblW w:w="9437" w:type="dxa"/>
        <w:jc w:val="left"/>
        <w:tblInd w:w="0" w:type="dxa"/>
        <w:tblLayout w:type="fixed"/>
        <w:tblCellMar>
          <w:top w:w="28" w:type="dxa"/>
          <w:left w:w="28" w:type="dxa"/>
          <w:bottom w:w="28" w:type="dxa"/>
          <w:right w:w="28" w:type="dxa"/>
        </w:tblCellMar>
      </w:tblPr>
      <w:tblGrid>
        <w:gridCol w:w="4186"/>
        <w:gridCol w:w="5251"/>
      </w:tblGrid>
      <w:tr>
        <w:trPr/>
        <w:tc>
          <w:tcPr>
            <w:tcW w:w="418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Issuer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5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Innventure, Inc.</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of Common Stock to be issued upon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exercise of the Innventure Warrants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5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18,386,688</w:t>
            </w:r>
          </w:p>
        </w:tc>
      </w:tr>
      <w:tr>
        <w:trPr/>
        <w:tc>
          <w:tcPr>
            <w:tcW w:w="418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of Common Stock that may be offered and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sold from time to time by the Selling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Stockholders named herein or their permitted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transferees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5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Up to 15,965,989 shares of Common Stock, which includes (i)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up to 8,480,518 shares of Common Stock that may be issued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upon conversion of Series C Preferred Stock, (ii) 85,471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of Common Stock issued to Ducera, (iii) up to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3,000,000 shares of Common Stock that may be issued upon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conversion of Convertible Debentures issued to Yorkville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pursuant to the Securities Purchase Agreement, (iv) up to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4,100,000 shares of Common Stock that we may issue and sell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Yorkville from time to time pursuant to the SEPA (without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exceeding the Exchange Cap) and (v) 300,000 shares of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that may be issued upon exercise of the 2025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WTI Warrants.</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Shares of Common Stock outstanding</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5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47,106,300 (as of April 11, 2025)</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Use of proceeds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5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will not receive any of the proceeds from such sales of the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of our Common Stock by the Selling Stockholders.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However, we may receive (i) up to $75.0 million in aggregate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gross proceeds from sales of shares of Common Stock to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Yorkville pursuant to the SEPA, from time to time in our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discretion after the date of the registration statement that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includes this prospectus and subject to satisfaction of other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conditions in the SEPA, and (ii) de minimis gross proceeds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upon exercise of the 2025 WTI Warrants, to the extent such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warrants are exercised for cash.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Additionally, we could receive up to an aggregate of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approximately $214.4 million in proceeds from the exercise of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Innventure Warrants, assuming the exercise in full of all of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Innventure Warrants for cash.  We believe the likelihood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warrant holders will exercise their Innventure Warrants,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therefore the amount of cash proceeds that we would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receive, is dependent upon the market price of our Common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  As of the date of this prospectus, all of the Innventure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Warrants are “out of the money,” meaning the exercise price is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higher than the market price of our Common Stock.  Holders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such “out of the money” Innventure Warrants are not likely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to exercise such Innventure Warrants.</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will not receive any proceeds from the exercise of 2025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WTI Warrants or Innventure Warrants on a cashless basis.</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will bear all costs, expenses and fees in connection with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registration of our Common Stock hereunder. The Selling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Stockholders will bear all commissions, discounts and certain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other limited expenses, if any, attributable to their respective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sales of our Common Stock.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Unless we inform you otherwise in a prospectus supplement or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free writing prospectus, we intend to use the net proceeds from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issuance of shares to Yorkville pursuant to the SEPA,  the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exercise of the 2025 WTI Warrants and the exercise of the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 Warrants for general corporate purposes, which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may include acquisitions or other strategic investments or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repayment of outstanding indebtedness.</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Exercise price of 2025 WTI Warrants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5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$0.01 per share of Common Stock</w:t>
            </w:r>
          </w:p>
        </w:tc>
      </w:tr>
      <w:tr>
        <w:trPr/>
        <w:tc>
          <w:tcPr>
            <w:tcW w:w="418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7772400" cy="10058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w:t>
      </w:r>
    </w:p>
    <w:tbl>
      <w:tblPr>
        <w:tblW w:w="9452" w:type="dxa"/>
        <w:jc w:val="left"/>
        <w:tblInd w:w="0" w:type="dxa"/>
        <w:tblLayout w:type="fixed"/>
        <w:tblCellMar>
          <w:top w:w="28" w:type="dxa"/>
          <w:left w:w="28" w:type="dxa"/>
          <w:bottom w:w="28" w:type="dxa"/>
          <w:right w:w="28" w:type="dxa"/>
        </w:tblCellMar>
      </w:tblPr>
      <w:tblGrid>
        <w:gridCol w:w="4171"/>
        <w:gridCol w:w="5281"/>
      </w:tblGrid>
      <w:tr>
        <w:trPr/>
        <w:tc>
          <w:tcPr>
            <w:tcW w:w="417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Exercise price of Innventure Warrants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$11.50 per share of Common Stock</w:t>
            </w:r>
          </w:p>
        </w:tc>
      </w:tr>
      <w:tr>
        <w:trPr/>
        <w:tc>
          <w:tcPr>
            <w:tcW w:w="417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NASDAQ Global Market symbol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8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 xml:space="preserve">INV” </w:t>
            </w:r>
          </w:p>
        </w:tc>
      </w:tr>
      <w:tr>
        <w:trPr/>
        <w:tc>
          <w:tcPr>
            <w:tcW w:w="417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Risk factors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52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Investing in our Common Stock involves a high degree of risk.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See “</w:t>
            </w:r>
            <w:hyperlink w:anchor="icb9447fcda9c419b80559940834d4a66_674">
              <w:r>
                <w:rPr>
                  <w:rStyle w:val="InternetLink"/>
                  <w:rFonts w:ascii="Times New Roman;sans-serif" w:hAnsi="Times New Roman;sans-serif"/>
                  <w:b w:val="false"/>
                  <w:i w:val="false"/>
                  <w:caps w:val="false"/>
                  <w:smallCaps w:val="false"/>
                  <w:color w:val="0000FF"/>
                  <w:sz w:val="20"/>
                  <w:u w:val="single"/>
                </w:rPr>
                <w:t>Risk Factors</w:t>
              </w:r>
            </w:hyperlink>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beginning on page </w:t>
            </w:r>
            <w:hyperlink w:anchor="icb9447fcda9c419b80559940834d4a66_674">
              <w:r>
                <w:rPr>
                  <w:rStyle w:val="InternetLink"/>
                  <w:rFonts w:ascii="Times New Roman;sans-serif" w:hAnsi="Times New Roman;sans-serif"/>
                  <w:b w:val="false"/>
                  <w:i w:val="false"/>
                  <w:caps w:val="false"/>
                  <w:smallCaps w:val="false"/>
                  <w:color w:val="0000FF"/>
                  <w:sz w:val="20"/>
                  <w:u w:val="single"/>
                </w:rPr>
                <w:t>11</w:t>
              </w:r>
            </w:hyperlink>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the other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information in this prospectus for a discussion of the factors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you should consider carefully before you decide to invest in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our Common Stock.</w:t>
            </w:r>
          </w:p>
        </w:tc>
      </w:tr>
    </w:tbl>
    <w:p>
      <w:pPr>
        <w:pStyle w:val="TextBody"/>
        <w:bidi w:val="0"/>
        <w:spacing w:before="0" w:after="0"/>
        <w:jc w:val="left"/>
        <w:rPr/>
      </w:pPr>
      <w:r>
        <w:rPr/>
        <w:drawing>
          <wp:inline distT="0" distB="0" distL="0" distR="0">
            <wp:extent cx="7772400" cy="10058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SUMMARY OF RISK FACTORS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business is subject to a number of risks and uncertainties, including those highlighted in the section entitled </w:t>
      </w:r>
    </w:p>
    <w:p>
      <w:pPr>
        <w:pStyle w:val="TextBody"/>
        <w:bidi w:val="0"/>
        <w:spacing w:lineRule="atLeast" w:line="200" w:before="0" w:after="0"/>
        <w:jc w:val="left"/>
        <w:rPr/>
      </w:pPr>
      <w:r>
        <w:rPr>
          <w:caps w:val="false"/>
          <w:smallCaps w:val="false"/>
        </w:rPr>
        <w:t>“</w:t>
      </w:r>
      <w:hyperlink w:anchor="icb9447fcda9c419b80559940834d4a66_674">
        <w:r>
          <w:rPr>
            <w:rStyle w:val="InternetLink"/>
            <w:rFonts w:ascii="Times New Roman;sans-serif" w:hAnsi="Times New Roman;sans-serif"/>
            <w:b w:val="false"/>
            <w:i/>
            <w:color w:val="0000FF"/>
            <w:sz w:val="20"/>
            <w:u w:val="single"/>
          </w:rPr>
          <w:t>Risk Factors</w:t>
        </w:r>
      </w:hyperlink>
      <w:r>
        <w:rPr>
          <w:caps w:val="false"/>
          <w:smallCaps w:val="false"/>
        </w:rPr>
        <w:t xml:space="preserve">” </w:t>
      </w:r>
      <w:r>
        <w:rPr>
          <w:rFonts w:ascii="Times New Roman;sans-serif" w:hAnsi="Times New Roman;sans-serif"/>
          <w:b w:val="false"/>
          <w:i w:val="false"/>
          <w:caps w:val="false"/>
          <w:smallCaps w:val="false"/>
          <w:sz w:val="20"/>
        </w:rPr>
        <w:t>immediately following this summary. Some of these principal risks include the following: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Innventure may not be able to obtain additional financing to fund the operations and growth of the business.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There is uncertainty regarding Innventure’s ability to maintain liquidity sufficient to operate its business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effectively, which raises substantial doubt about its ability to continue as a going concern.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principal revenues are expected to be earned in the future through its Operating Companies,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including through AeroFlexx, Accelsius and Refinity, and Innventure depends on its Operating Companies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(as defined below) for cash.</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 may not be successful in finding future opportunities to license or acquire breakthrough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technology solutions from Technology Solutions Providers.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Innventure Companies are currently early commercial stage companies that may never achieve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sustain profitability.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If Innventure or the Innventure Companies are not able to satisfy the requirements imposed by technology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providers or have disagreements with those technology providers, their relationships with these partners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could deteriorate, which could have a material adverse effect on the business of Innventure and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Innventure Companies.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WTI Facility may impair Innventure LLC’s, Innventure’s and the Operating Companies’ financial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operating flexibility.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It is not possible to predict the extent to which Innventure will, intends to, or may rely on Yorkville and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SEPA and the Convertible Debentures as a source of funding.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It is not possible to predict the actual number of shares Innventure will sell under the SEPA or under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Convertible Debentures to Yorkville, or the actual gross proceeds resulting from those sales.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pursuit of new business strategies and acquisitions could disrupt its ongoing business, present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risks not originally contemplated and materially adversely affect its business, reputation, results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operations and financial condition.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market price of our Common Stock is likely to be highly volatile, and you may lose some or all of your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investment.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Volatility in Innventure’s share price could subject Innventure to securities class action litigation.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Future sales of shares of our Common Stock or other equity may depress its stock price.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Provisions in our Amended and Restated Certificate of Incorporation (the “A&amp;R Certificate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Incorporation”) and under Delaware law could discourage a takeover that stockholders may consider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favorable and may lead to entrenchment of management.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 is an emerging growth company and smaller reporting company, and Innventure cannot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if the reduced reporting requirements applicable to emerging growth companies and smaller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reporting companies will make its shares less attractive to investors.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Future offerings of debt or offerings or issuances of equity securities by the Innventure may adversely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affect the market price of the Common Stock or otherwise dilute all other stockholders.</w:t>
      </w:r>
    </w:p>
    <w:p>
      <w:pPr>
        <w:pStyle w:val="TextBody"/>
        <w:bidi w:val="0"/>
        <w:spacing w:before="0" w:after="0"/>
        <w:jc w:val="left"/>
        <w:rPr/>
      </w:pPr>
      <w:r>
        <w:rPr/>
        <w:drawing>
          <wp:inline distT="0" distB="0" distL="0" distR="0">
            <wp:extent cx="7772400" cy="10058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772400" cy="1005840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10</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If Innventure’s estimates or judgments relating to its critical accounting estimates prove to be incorrect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financial reporting standards or interpretations change, Innventure’s results of operations could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adversely affected.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Company has identified material weaknesses in its internal controls over financial reporting that could,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if not remediated, result in material misstatements in its financial statements and which may have an impact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Innventure’s ability to timely or accurately report its financial condition or results of operations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following the consummation of the Business Combination.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If Innventure is deemed to be an investment company under the Investment Company Act, it may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required to institute burdensome compliance requirements and its activities may be restricted, which may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make it difficult to operate or to execute its growth plans.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AFX, Accelsius and Refinity are early-stage companies, and their limited operating histories makes it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difficult to evaluate their future prospects and the risks and challenges they may encounter.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Accelsius’ cooling products may be subject to increased regulatory scrutiny due to their use of working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fluid refrigerants that contain fluorine.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market, including customers and potential investors, may be skeptical of the viability and benefits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Accelsius’ cooling products and Refinity’s plastic waste recycling process because they are based 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relatively novel and complex technology.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failure of AFX’s suppliers to continue to deliver necessary raw materials or other components of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products in a timely manner and to specification could prevent it from delivering products within required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time frames and could cause production delays, cancellations, penalty payments and damage to its brand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reputation.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AFX may not be able to meet applicable regulatory requirements for the use of AFX’s products in food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grade applications, and, even if the requirements are met, complying on an ongoing basis with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numerous regulatory requirements applicable to AFX’s products and AFX’s facilities will be time-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consuming and costly.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 may be unable to sufficiently protect the IP rights of itself and the Innventure Companies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may encounter disputes from time to time relating to its use of the IP of third parties.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 the Innventure Companies, and Innventure’s MNC partners may be negatively impacted by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volatility in the political and economic environment, such geopolitical unrest, economic downturns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increases in interest rates, and a period of sustained inflation, which could have an adverse impact 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Innventure’s and the Innventure Companies’ business, financial condition, results of operations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prospects.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Changes in U.S. or foreign trade policies, including additional tariffs or global trade conflicts, may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adversely impact our business and operating results.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Cyber-attacks or a failure in Innventure’s information technology and data security infrastructure could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adversely affect Innventure’s business and 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RISK FACTORS</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You should carefully consider the following risk factors, together with all of the other information included in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this prospectus, before you decide whether to invest in our Common Stock. The market price of our Common Stock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could decline due to any of these risks, in which case you could lose all or part of your investment. In assessing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these risks, you should also refer to the other information included in this prospectus, including the consolidated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financial statements of Innventure and the accompanying notes. Innventure’s business, financial condition or results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of operations could be affected materially and adversely by any of the risks discussed below.</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Risks Related to Innventure’s Business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Innventure may not be able to obtain additional financing to fund the operations and growth of the business.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and the Innventure Companies expect to require additional financing to fund their operations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growth. The failure to secure additional financing could have a material adverse effect on the continued development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growth of Innventure and the Innventure Companies. Such financings may result in dilution to stockholders,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issuance of securities with priority as to liquidation and dividend and other rights more favorable than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imposition of debt covenants and repayment obligations, or other restrictions that may adversely affect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In addition, Innventure may seek additional capital due to favorable market conditions or strategic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considerations even if it believes that it has sufficient funds for current or future operating plans. There can be 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assurance that financing will be available to Innventure on favorable terms, or at all. The inability to obtain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financing when needed may make it more difficult for Innventure and the Innventure Companies to operate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businesses or implement their growth plans.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There is uncertainty regarding Innventure’s ability to maintain liquidity sufficient to operate its business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effectively, which raises substantial doubt about its ability to continue as a going concern.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LLC’s historical financial statements have each been prepared under the assumption that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will continue as a going concern. The independent registered public accounting firm for Innventure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issued a report on the audited financial statements for the years ended December 31, 2024 and December 31, 2023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Innventure LLC that includes an explanatory paragraph expressing substantial doubt in Innventure LLC’s ability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continue as a going concern for one year from the date of such report. The ability of Innventure to continue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going concern is dependent on the Company’s ability to obtain additional equity or debt financing or to generate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cash flow from operations. Its financial statements do not include any adjustments that might result from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outcome of this uncertainty. The substantial doubt regarding the potential ability of Innventure to continue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going concern may adversely affect its ability to obtain such debt or equity financing on reasonable terms or at 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to secure new customers or relationships, including relationships with Technology Solutions Providers.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if Innventure is unable to continue as a going concern, investors, including holders of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may lose some or all of their investment.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Innventure’s principal revenues are expected to be earned in the future through its Operating Companies,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including through AeroFlexx, Accelsius and Refinity, and Innventure depends on its Operating Companies for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cash.</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principal operation is to partner with Technology Solutions Providers to acquire new IP through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newly-created entities where Innventure supports the initial funding and management of the company.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also conducts operations through its subsidiaries, including the investment management services provided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ESG Fund (as defined below). Innventure’s ability to generate cash to meet its obligations or to pay dividends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 highly dependent on the earnings of, and receipt of funds from, these investment management services and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equity ownership interests in the Innventure Companies. The ability of the Innventure Companies to generate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sufficient revenue from future operations to allow Innventure and them to make scheduled payments on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obligations will depend on their future financial performance, which will be affected by a range of economic,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competitive and business factors, many of which will be outside of Innventure’s control. Innventure cannot assure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you that the cash flow and future earnings of the Innventure Companies will be adequate for the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to service any corporate obligations or operating needs. If the Innventure Companies do not generate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sufficient cash flow from future operations to satisfy corporate obligations and operating needs, Innventure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12</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to: undertake alternative financing plans (such as refinancing), restructure debt, sell assets, reduce or delay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investments, or seek to raise additional capital. Innventure cannot assure you that any such alternative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refinancing would be possible, that any assets could be sold, or, if sold, of the timing of the sales and the amount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proceeds realized from those sales, that additional financing could be obtained on acceptable terms, if at all, or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 financing would be permitted under the terms of Innventure’s various debt instruments then in effect.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inability to generate sufficient cash flow from the Innventure Companies to satisfy its obligations, or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refinance its obligations on commercially reasonable terms, would have an adverse effect on its business,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condition and results of operations. Furthermore, Innventure and the Innventure Companies may incur substantial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 indebtedness in the future that may severely restrict or prohibit the Innventure Companies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Operating Companies from making distributions, paying dividends or making loans to Innventure.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Innventure’s business model is to launch Operating Companies, which are not guaranteed to succeed and could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be very costly.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There can be no assurance that the Operating Companies that Innventure has launched and may launch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future will succeed, and the Operating Companies’ future financial performance is uncertain. The Operating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could be very costly for Innventure and could distract Innventure’s management from its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 may not be successful in finding future opportunities to license or acquire breakthrough technology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solutions from Technology Solutions Providers.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relies on its ability to identify and acquire breakthrough technology solutions from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Solutions Providers to create and operate new entities that generate future revenues. If Innventure is unable to reach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agreements with Technology Solutions Providers on acceptable terms for license or acquisition of IP related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technology solutions, Innventure may have to curtail the founding and operating of Operating Companies. If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fails to identify and acquire further technology solutions to form the basis of new Operating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does not have sufficient funds or expertise to undertake the necessary development and commercialization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activities required to make those companies and the acquired technology solutions commercially viable,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business, financial condition, results of operations and prospects may be materially and adversely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affected.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Innventure Companies are currently early commercial stage companies that may never achieve or sustain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profitability.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is in the process of commercializing the technology solutions around which the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are built. The Innventure Companies rely principally on the commercialization of these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solutions to generate future revenue growth. These product offerings and partnering revenues are in their very early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stages. The Innventure Companies are early commercial stage companies that evaluate various strategies to achieve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their financial goals and commercialization objectives on an ongoing basis. If demand for products and services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offered by the Innventure Companies does not increase as quickly as planned, Innventure and the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Companies may be unable to generate material revenue or increase revenue levels as expected.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and the Innventure Companies are not currently profitable. Even if the Innventure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succeed in increasing adoption of their products and services by target markets, maintaining and creating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relationships with existing and new suppliers and customers, market conditions, particularly related to supply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customer acquisition costs, including costs associated with tariffs, may result in the Innventure Companies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generating sufficient revenue to achieve or sustain profitability. Should the Innventure Companies fail to generate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sufficient revenue to meet their operational needs or achieve profitability, Innventure may be required to make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additional investments in them that could adversely impact its own operations and growth plans.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13</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If Innventure or the Innventure Companies are not able to satisfy the requirements imposed by technology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providers or have disagreements with those technology providers, their relationships with these partners could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deteriorate, which could have a material adverse effect on the business of Innventure and the Innventure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Companies.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the terms of Innventure and the Innventure Companies’ agreements with P&amp;G, Nokia, and VTT and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agreements they may enter with future technology providers, they may be required to obtain or provide certain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permits, licenses or other authorizations, provide certain fiscal indemnification to their technology providers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meet various other terms and conditions. If Innventure and the Innventure Companies fail to comply with the terms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conditions of the applicable MNC agreement, they may incur liabilities to their technology providers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MNC agreement. In that situation, the damages Innventure and the Innventure Companies would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would be quantified either by the applicable courts or by third-party valuation firms. If one or more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MNC agreements is terminated, Innventure’s ability to license other technologies from existing or future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providers could be impeded and the underlying value of Innventure’s business could decline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significantly.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WTI Facility may impair Innventure LLC’s, the Company’s and the Operating Companies’ financial and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operating flexibility.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WTI Facility provides for a term loan facility in an aggregate principal amount of up to $50 million,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(i) the First Tranche was made available after October 22, 2024 and through November 15, 2024; (ii)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Second Tranche was made available after November 1, 2024 and through November 30, 2024; and (iii) the Third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Tranche was made available after December 31, 2024 and through January 31, 2025 (provided that up to $7.5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million of the Third Tranche will be made available until March 31, 2025).</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November 15, 2024, Innventure made an initial draw under the WTI Facility in the amount of $20 million.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receipt of any additional funds under the WTI Facility was subject to the satisfaction of certain conditions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deadlines, including, without limitation, with respect to the Third Tranche, satisfaction of certain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conditions and the WTI Lenders’ satisfaction with the Company’s forward-looking plan at such time. As of the date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this prospectus, the funds under each of the Second Tranche and the Third Tranche are no longer available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Furthermore, the Loan Documents impose various representations, warranties, covenants and events of default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Innventure LLC, the Company and the Operating Companies, including, without limitation, on their ability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incur indebtedness, grant liens, transfer assets, make investments, make dividends and other distributions and make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payments of other indebtedness. Obligations under the Loan Documents are secured by a lien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substantially all of the assets of Innventure LLC and the Company. These restrictions could limit Innventure LLC’s,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Company’s and the Operating Companies’ financial and operational flexibility and may require Innventure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and the Operating Companies to seek consents from the WTI Lenders prior to taking certain actions.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consents may not be provided by the WTI Lenders on a timely basis, or at 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restrictions imposed by the WTI Facility on Innventure LLC, the Company and the Operating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make it more difficult for them to operate their businesses or implement their growth plans going forward. Even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deemed necessary, we may not be able to raise additional indebtedness in the future on terms acceptable to us or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all because of the restrictions imposed by the WTI Facility. As a result, we would be more vulnerable to general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adverse economic, industry and capital markets conditions in addition to the risks associated with indebtedness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described above.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It is not possible to predict the extent to which the Company will, intends to, or may rely on Yorkville and the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SEPA and the Convertible Debentures as a source of funding.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of February 28, 2025, Innventure has drawn $2.67 million under the SEPA. Subject to the terms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conditions of the SEPA, Innventure may, at its discretion, issue and sell to Yorkville up to $75.0 million of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under the SEPA from time to time. The purchase price per share for the shares of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Innventure may elect to sell to Yorkville under the SEPA will fluctuate based on the market prices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for each purchase made pursuant to the SEPA, if any. Accordingly, it is not currently possible to predict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14</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number of shares that will be issued and sold to Yorkville, the actual purchase price per share to be paid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Yorkville for those shares, if any, or the actual gross proceeds to be raised in connection with those sales.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extent to which Innventure will rely on Yorkville as a source of funding will depend on a number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factors, including the prevailing market price of Common Stock and the extent to which Innventure is able to secure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working and other capital from other sources. If obtaining sufficient funding from Yorkville were to prove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unavailable or prohibitively dilutive, Innventure may need to secure additional sources of funding beyond its current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expectations in order to satisfy its working and other capital needs. Even if Innventure were to sell to Yorkville all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shares of Common Stock available for sale to Yorkville under the SEPA, Innventure may still need additional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to fully implement its business, operating and development plans. Should the financing Innventure requires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sustain its working capital needs be unavailable or prohibitively expensive when Innventure requires it,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consequences may be a material adverse effect on Innventure’s business, operating results, financial condition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prospects.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extent to which Innventure will rely on the Convertible Debentures to be issued to Yorkville pursuant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Purchase Agreement as a source of funding will depend on certain conditions, restrictions, and limitations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set forth therein, which could impact the aggregate principal amount of Convertible Debentures issued by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purchased by Yorkville, whether the Convertible Debentures will bear interest, and the portion of Convertible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Debentures that is convertible into Common Stock.</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It is not possible to predict the actual number of shares Innventure will sell under the SEPA or the Convertible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Debentures to Yorkville, or the actual gross proceeds resulting from those sales.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certain conditions and limitations in the SEPA and compliance with applicable law, Innventure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discretion to deliver notices to Yorkville at any time throughout the term of the SEPA. The actual number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that are issued and sold to Yorkville depends on a number of factors, including the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price of Common Stock during the sales period. Actual gross proceeds may be less than $75.0 million, which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impact Innventure’s future liquidity. Because the price per share of each share sold to Yorkville will fluctuate during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sales period, it is not currently possible to predict the number of shares that will be sold or the actual gross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proceeds to be raised in connection with those sales.  Additionally, the Conversion Price applicable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Convertible Debentures will be adjusted on the First Reset Date and the Second Reset Date, and, accordingly, it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 currently possible to predict how many shares will be sold in total under the Convertible Debentures.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of February 28, 2025, Innventure has drawn $2.67 million under the SEPA. Moreover, although the SEPA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provides that Innventure may sell up to an aggregate of $75.0 million of its Common Stock to Yorkville,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registered the resale by Yorkville of up to 4,418,307 shares of Common Stock that may be issued without exceeding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9.99% prong of the Exchange Cap set forth in the SEPA. If Innventure elects to issue and sell to Yorkville all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shares registered for resale to Yorkville, depending on the market prices of its Common Stock for each purchase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made pursuant to the SEPA, the actual gross proceeds from the sale of the shares may be substantially less than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$75.0 million total commitment available to Innventure under the SEPA. If it becomes (i) necessary for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issue and sell to Yorkville under the SEPA more shares than the shares registered for resale by Yorkville in order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receive the aggregate gross proceeds equal to $75.0 million under the SEPA and (ii) if Innventure is able to sell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more shares than the shares registered for resale by Yorkville while still complying with the Exchange Cap, then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will need to file with the SEC one or more additional registration statements to register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Act the resale by Yorkville of any such additional shares of Common Stock over the shares registered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resale by Yorkville and such registration statements would need to be declared effective by the SEC, in each case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before Innventure may elect to sell any additional shares of Common Stock to Yorkville under the SEPA, a process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which will take time and incur additional expense.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issuance and sale by Innventure under the SEPA or the Convertible Debentures of a substantial amount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in addition to the shares already registered for resale by Yorkville could cause additional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substantial dilution to Innventure’s stockholders. The number of shares of Common Stock ultimately offered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resale by Yorkville is dependent upon the number of shares of Common Stock, if any, Innventure ultimately sells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Yorkville under the SEPA and the Convertible Debentures.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15</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Innventure’s success will depend on its ability to attract and retain personnel and manage human capital both for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itself and the Innventure Companies, while controlling labor costs.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future success depends on its ability to attract, recruit, train, retain, motivate and integrate key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personnel for itself and the Innventure Companies, including its management team, key executives, and other key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talent, and the management team and key R&amp;D (as defined below), manufacturing, engineering and sales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marketing personnel for the Innventure Companies. Competition for qualified personnel is intense. The loss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incapacity of existing members of Innventure’s executive management team could adversely affect its operations if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it experiences difficulties in hiring qualified successors. The service of Innventure’s executive officers is at will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end at any point in time. In addition, all of Innventure and the Innventure Companies’ employees are at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which means that either they or the employee may terminate their employment at any time.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believes that its management team must be able to act decisively to apply and adapt its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model in the rapidly changing markets in which it and the Innventure Companies will compete. In addition,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Companies rely upon technical and scientific employees or third-party contractors to effectively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establish, manage and grow their businesses. Consequently, Innventure believes that its future viability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future viability of the Innventure Companies will depend largely on their ability to attract and retain highly skilled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managerial, sales, scientific and technical personnel. In order to do so, in the future it may need to pay higher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compensation or fees to its employees or consultants than currently expected, and such higher compensation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payments may have a negative effect on its operating results. Competition for experienced, high-quality personnel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intense, and there is no assurance that Innventure or the Innventure Companies will be able to recruit and retain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personnel. Because of the technical nature of the technologies and products offered by the Innventure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failure of the Innventure Companies to attract, recruit, train, retain, motivate and integrate qualified personnel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could also materially harm Innventure’s operating results and growth prospects.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Innventure’s pursuit of new business strategies and acquisitions could disrupt its ongoing business, present risks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not originally contemplated and materially adversely affect its business, reputation, results of operations and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financial condition.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growth strategy involves new business strategies and the acquisition of new technologies. 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new strategies or future technology acquisitions could disrupt Innventure’s ongoing businesses, which may frustrate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MNC partners, the Innventure Companies, and their customers, harming Innventure’s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relationships and causing a loss of revenue and business opportunities. Innventure’s ability to effectively manage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anticipated acquisitions and resulting expansion of operations will also require it to enhance its operational,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management controls and infrastructure, human resources policies and reporting systems. These enhancements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improvements will require significant capital expenditures, investments in additional headcount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operating expenditures and allocation of valuable management and employee resources, which may divert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resources from its ongoing businesses. Innventure’s future financial performance and ability to execute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its business plan will depend, in part, on its ability to effectively manage any future technology acquisitions.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There are no guarantees Innventure will be able to do so in an efficient or timely manner, or at all.</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Risks Related to the Innventure Companies’ Operations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Innventure Companies are early-stage companies, and their limited operating history makes it difficult to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evaluate their future prospects and the risks and challenges they may encounter.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Innventure Companies are early in the development of their commercial production capacity. Their limited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operating history makes it difficult to evaluate the Innventure Companies’ future prospects and the risks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challenges they may encounter. Risks and challenges the Innventure Companies have faced or expect to face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include, but are not limited to, their ability to:</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develop and commercialize their products and processes;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design and deliver products and processes of acceptable performance that function as anticipated;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increase sales revenue;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16</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forecast their revenue and budget for and manage their expenses;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attract new customers and commercial relationships;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compete successfully in the industry in which they operate;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plan for and manage capital expenditures for their current and future products and manage their supply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chain and supplier relationships related to their current and future 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scale quickly enough due to capital and other resource constraints;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find, contract with, and retain reliable and commercially reasonable materials, components, manufacturers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inventory vendors;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comply with existing and new or modified laws and regulations applicable to their business in and outside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United States, including compliance requirements of U.S. customs and export regulations;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anticipate and respond to macroeconomic changes and changes in the markets in which they operate;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anticipate and respond to regulatory and/or environmental policies that impact the Innventure Companies’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plant operations;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maintain and enhance the value of their reputation and brand;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develop and protect IP;</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hire, integrate and retain talented people at all levels of their organizations;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successfully defend themselves in any legal proceeding that may arise and enforce their rights in any legal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proceedings they may initiate;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manage and mitigate the adverse effects on their business of any public health emergencies, natural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disasters, widespread travel disruptions, security risks including IT security, data privacy, cyber risks,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international conflicts, geopolitical tension and other events beyond their control.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the Innventure Companies fail to address the risks and difficulties that they face, including those associated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the challenges listed above, their business, financial condition, results of operations, prospects and that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could be adversely affected. Further, because the Innventure Companies have limited historical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data and operate in a rapidly evolving and highly competitive market, any predictions about their future revenue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expenses may not be as accurate as they would be if the Innventure Companies had a longer operating history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operated in a more predictable market. The Innventure Companies have encountered in the past, and will encounter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future, risks and uncertainties frequently experienced by growing companies with limited operating histories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rapidly changing industries. If the Innventure Companies’ assumptions regarding these risks and uncertainties,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they use to plan and operate their business, are incorrect or change, or if they do not address these risks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successfully, their results of operations could differ materially from their expectations and their business,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condition, results of operations and prospects could be adversely affected.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Accelsius’ cooling products may be subject to increased regulatory scrutiny due to their use of working fluid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refrigerants that contain fluorine.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market and/or regulatory agencies inside and outside the United States may elect to curtail the use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polyfluoroalkyl substances, including hydrofluoroolefins and hydrochlorofluoroolefins, due to their persistence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environment, their global warming potential, or their ozone depletion potential. While Accelsius believes 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follows industry best practices in respect of its use of these commonly available refrigerants as working fluids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cooling products, unforeseen regulatory changes that limit availability or manufacturing capacity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increase material prices would adversely affect Accelsius business.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17</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market, including customers and potential investors, may be skeptical of the viability and benefits of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Accelsius’ and Refinity’s  products and processes because they are based on relatively novel and complex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technology.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market, including customers and potential investors, may be skeptical of the viability and benefits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and Refinity’s  products and processes because they are based on relatively novel and complex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There can be no assurance that Accelsius’ and Refinity’s products and processes will be understood,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approved, or accepted by customers and potential investors or that Accelsius or Refinity will be able to sell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products profitably at competitive prices and with features sufficient to establish demand or to design and build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plastic waste to drop-in chemicals plant on budget or profitably operate such a plant, respectively. If Accelsius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are unable to convince these potential customers of the utility and value of their products and processes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their solutions are superior to those they currently use, they will not be successful in entering those markets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their business and results of operations will be adversely affected. If potential investors are skeptical of the success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Accelsius’ and Refinity’s products and processes, their ability to raise capital and the value of Innventure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may be adversely affected.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failure of AFX’s suppliers to continue to deliver necessary raw materials or other components of its products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 a timely manner and to specification could prevent it from delivering products within required time frames and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could cause production delays, cancellations, penalty payments and damage to its brand and reputation.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AFX is early in the development of its commercial production capacity and has not yet fully diversified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suppliers for critical raw materials, specifically its film.</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Thus far, AFX has qualified one incumbent raw material film supplier—a large, foreign third-party supplier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over 22,000 employees and operations in approximately 100 countries—and is working to finalize a raw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materials agreement with the same. Currently, AFX relies on individual purchase orders to purchase the film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produced by the supplier. AFX is in the process of qualifying a second raw material film supplier—another,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similarly large, foreign third-party supplier with a larger global footprint—with negotiations for a raw materials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to begin after such qualification. Such qualification, if achieved, is not expected until the end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second quarter of 2025. AFX intends to continue to work towards further diversifying its supplier base as product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demand grows and multiple suppliers are needed to support business continuity, though there is no guaranty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such diversification will be successful.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AFX’s suppliers provide insufficient inventory to meet customer demand or such inventory is not at the level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quality required to meet its standards or if its suppliers are unable or unwilling to provide AFX with the requested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quantities (as AFX has no alternatives for supply), AFX’s results of operations could be materially and negatively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impacted. If AFX fails to develop or maintain its relationships with suppliers, or if there is otherwise a shortage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lack of availability of any required raw materials or components, AFX may be unable to manufacture its products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those products may be available only at a higher cost or after a long delay.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Due to increased demand across a range of industries, the global supply chain for certain raw materials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components has experienced significant strain. The global macroeconomic environment and geopolitical instability,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well as the impact of tariffs, have also contributed to and exacerbated this strain. There can be no assurance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impact of these issues on the supply chain will not continue, or worsen, in the future. Significant delays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shortages could prevent AFX from delivering its products to its customers within required time frames and cause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order cancellations, which would adversely impact its cash flows and results of operations.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AFX may not be able to meet applicable regulatory requirements for the use of AFX’s products in food grade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applications, and, even if the requirements are met, complying on an ongoing basis with the numerous regulatory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requirements applicable to AFX’s products and AFX’s facilities will be time-consuming and costly.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use of AFX’s products in food grade applications is subject to regulation by the U.S. Food and Drug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Administration (“FDA”). The FDA has established certain guidelines for the use of recycled plastics in food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packaging, as set forth in the “Guidance for Industry - Use of Recycled Plastics in Food Packaging: Chemistry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Considerations (August 2006).” In order for AFX’s products to be used in food grade applications, AFX will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required to partner with customers or third-party co-manufacturers that possess the required food certifications to do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filling of AFX’s package.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process of obtaining FDA regulatory approval requires the expenditure of substantial time, of up to one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year, and significant financial resources. If AFX decides to partner with qualified customers or third-party co-</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manufacturers to fill AFX’s package, the search for and negotiations required for such relationships would require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significant time, effort, and financial resources to complete, and may not result in a successful production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relationship. All of the above would have an adverse effect on AFX’s business, financial condition,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 and prospects.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Furthermore, changes in regulatory requirements, laws and policies, or evolving interpretations of existing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regulatory requirements, laws and policies, may result in increased compliance costs, delays, capital expenditures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other financial obligations that could adversely affect AFX’s business, financial condition, results of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prospects.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AFX expects to encounter regulations in most if not all of the countries in which AFX may seek to expand,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AFX cannot be sure that it will be able to obtain necessary approvals in a timely manner or at all. If AFX’s products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 not meet applicable regulatory requirements in a particular country or at all, then AFX may face reduced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demand in those countries and AFX’s business, financial condition, results of operations and prospects will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adversely affected.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various regulatory schemes applicable to AFX’s products will continue to apply following initial approval.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Monitoring regulatory changes and our ongoing compliance with applicable requirements is time-consuming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affect AFX’s business, financial condition, results of operation and prospects. If AFX fails to comply with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requirements on an ongoing basis, AFX may be subject to fines or other penalties, or may be prevented from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its products, and AFX’s business, financial condition, results of operation and prospects may be harmed.</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Risks Related to Our Common Stock</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market price of our Common Stock is likely to be highly volatile, and you may lose some or all of your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investment.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market price of our Common Stock may fluctuate significantly due to a number of factors, some of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be beyond our control, including those factors discussed in this “Risk Factors” section and many others,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actual or anticipated fluctuations in Innventure’s financial condition and operating results, including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fluctuations in its quarterly and annual results;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developments involving Innventure’s competitors;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changes in laws and regulations affecting Innventure’s business;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variations in Innventure’s operating performance and the performance of its competitors in general;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public’s reaction to Innventure’s press releases, its other public announcements and its filings with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SEC;</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additions and departures of key personnel;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announcements of significant acquisitions, strategic partnerships, joint ventures or capital commitments by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Innventure or its competitors;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Innventure’s failure to meet the estimates and projections of the investment community or that it may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otherwise provide to the public;</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publication of research reports about Innventure’s industry, or positive or negative recommendations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withdrawal of research coverage by securities analysts;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19</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changes in the market valuations of similar companies;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overall performance of the equity markets;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sales of the Common Stock or preferred stock by Innventure or its stockholders in the future;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trading volume of the Common Stock;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significant lawsuits, including shareholder litigation;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failure to comply with the requirements of NASDAQ;</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general economic, industry and market conditions other events or factors, many of which are beyond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Innventure’s control;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changes in accounting standards, policies, guidelines, interpretations or principles.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Volatility in Innventure’s share price could subject Innventure to securities class action litigation.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past, securities class action litigation has often been brought against a company following a decline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 price of its securities. If Innventure faces such litigation, it could result in substantial costs and a diversion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management’s attention and resources, which could harm its business.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If securities or industry analysts do not publish research or reports about Innventure, or publish negative reports,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then Innventure’s stock price and trading volume could decline.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trading market for our Common Stock will depend, in part, on the research and reports that securities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industry analysts publish about Innventure. Innventure does not have any control over these analysts. If Innventure’s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performance fails to meet analyst estimates or one or more of the analysts who cover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downgrade its Common Stock or change their opinion, then Innventure’s stock price would likely decline. If one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more of these analysts cease coverage of Innventure or fail to regularly publish reports on Innventure, it could lose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visibility in the financial markets, which could cause Innventure’s stock price or trading volume to decline.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 does not currently intend to pay dividends on its Common Stock, and, consequently, your ability to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achieve a return on your investment will depend on appreciation, if any, in the price of our 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has no intention to ever declare or pay any cash dividend on its Common Stock. Innventure currently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anticipates that it will retain future earnings for the development, operation and expansion of the business and does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 anticipate declaring or paying any cash dividends for the foreseeable future. Any return to stockholders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therefore be limited to the appreciation of their stock. In addition, the terms of any equity or debt instruments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may issue in the future could contain prohibitions or restrictions on the ability of Innventure to pay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dividends on its Common Stock. There is no guarantee that our Common Stock will appreciate in value or even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maintain the price at which stockholders have purchased their shares.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Future sales of shares of our Common Stock or other equity may depress its stock price.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execution of the Business Combination Agreement, certain insiders of Innventure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a “Lock-Up Party”) entered into lock-up agreements (the “Lock-Up Agreements”) with the Company. Subject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certain exceptions, the Lock-Up Agreements provide for certain restrictions on transfer with respect to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held by certain stockholders of Innventure. Such restriction began upon the Closing Date and will end upon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earlier of (A) the expiration of one year after the completion of the Business Combination and the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transactions contemplated (the “Transactions”) by the Business Combination Agreement (the “Closing”), and (B)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subsequent to the Closing, (i) if the closing price of our Common Stock equals or exceeds $12.00 per share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adjusted for share subdivisions, share capitalizations, reorganizations, recapitalizations and the like) for any 20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trading days within any 30-trading day period commencing at least 150 days after the Closing, or (ii) the date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completes a merger, liquidation, stock exchange, reorganization or other similar transaction after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Closing that results in all of the public stockholders of the Company having the right to exchange their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20</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for cash securities or other property. Additionally, certain other shareholders of Innventure, previous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and Learn CW equity holders, are subject to lock-ups which also provide for certain restrictions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transfer with respect to the Common Stock held by such stockholders of Innventure.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Following the expiration of the applicable lock-up periods, such equity holders will not be restricted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selling shares of Common Stock held by them, other than by applicable securities laws. As restrictions on resale end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registration statements (filed after the Closing to provide for the resale of such shares from time to time)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available for use, the sale or possibility of sale of these shares could have the effect of increasing the volatility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share price or the market price of our Common Stock could decline if the holders of currently restricted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shares sell them or are perceived by the market as intending to sell them.</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Provisions in the A&amp;R Certificate of Incorporation and under Delaware law could discourage a takeover that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stockholders may consider favorable and may lead to entrenchment of management.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A&amp;R Certificate of Incorporation and our By-laws (as amended and restated, the “Bylaws”) contain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provisions that could significantly reduce the value of the Common Stock to a potential acquirer or delay or prevent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changes in control or changes in our management without the consent of the Board of Directors (the “Board”)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Company. The provisions in Innventure’s charter documents include the following: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 classified board of directors with three-year staggered terms, which may delay the ability of stockholders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to change the membership of a majority of the Board;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no cumulative voting in the election of directors, which limits the ability of minority stockholders to elect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director candidates;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exclusive right of the Board, unless the Board grants such a right to the holders of any series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preferred stock, to elect a director to fill a vacancy created by the expansion of the Board or the resignation,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death or removal of a director, which prevents stockholders from being able to fill vacancies on our Board;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prohibition on removal of directors without cause;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ability of the Board to authorize the issuance of shares of preferred stock and to determine the price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other terms of those shares, including preferences and voting rights, without stockholder approval, which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could be used to significantly dilute the ownership of a hostile acquirer;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ability of the Board to alter the Bylaws without obtaining stockholder approval;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required approval of at least 2/3 of the shares entitled to vote to amend or repeal the Bylaws or amend,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alter or repeal certain provisions of the A&amp;R Certificate of Incorporation;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 prohibition on stockholder action by written consent, which forces stockholder action to be taken at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annual or special meeting of Innventure’s stockholders;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an exclusive forum provision providing that the Court of Chancery of the State of Delaware (the “Delaware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Court”) will be the exclusive forum for certain actions and proceedings;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requirement that a special meeting of stockholders may be called only by the Board, Innventure’s chief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executive officer, or the chairman of the Board, which may delay the ability of our stockholders to force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consideration of a proposal or to take action, including the removal of directors;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advance notice procedures that stockholders must comply with in order to nominate candidates to the Board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or to propose matters to be acted upon at a stockholders’ meeting, which may discourage or deter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potential acquirer from conducting a solicitation of proxies to elect the acquirer’s own slate of directors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otherwise attempting to obtain control of Innventure;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Innventure is subject to the anti-takeover provisions contained in Section 203 of the Delaware General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Corporation Law, which will prevent Innventure from engaging in a business combination with any holder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21</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15% or more of its capital stock unless the holder has held the stock for three years or, among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exceptions, the Board has approved the transaction.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exclusive forum clause set forth in the Warrant Agreement may have the effect of limiting an investor’s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rights to bring legal action against Innventure and could limit the investor’s ability to obtain a favorable judicial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forum for disputes with 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Business Combination, Innventure assumed Learn CW’s warrant agreement, dated as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October 12, 2021, between Learn CW and American Stock Transfer &amp; Trust Company, LLC, a New York limited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liability company (the “Warrant Agreement”). By virtue of the assumption of the Warrant Agreement (i) any action,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proceeding or claim against Innventure arising out of or relating in any way to the Warrant Agreement will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brought and enforced in the courts of the State of New York or the United States District Court for the Southern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District of New York and (ii) Innventure irrevocably submits to such jurisdiction, which jurisdiction will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exclusive. Innventure has waived or will waive any objection to such exclusive jurisdiction and that such courts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represent an inconvenient forum. We note, however, that there is uncertainty as to whether a court would enforce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provisions and that investors cannot waive compliance with the federal securities laws and the rules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regulations thereunder. Section 22 of the Securities Act creates concurrent jurisdiction for state and federal courts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over all suits brought to enforce any duty or liability created by the Securities Act or the rules and regulations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thereunder.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Notwithstanding the foregoing, these provisions of the Warrant Agreement will not apply to suits brought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enforce any liability or duty created by the Securities Exchange Act of 1934, as amended (the “Exchange Act”),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other claim for which the federal district courts of the United States of America are the sole and exclusive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forum. Section 27 of the Exchange Act creates exclusive federal jurisdiction over all suits brought to enforce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duty or liability created by the Exchange Act or the rules and regulations thereunder. Any person or entity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purchasing or otherwise acquiring any interest in any of the warrants issued pursuant to the Warrant Agreement shall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 deemed to have notice of and to have consented to the forum provisions in the Warrant Agreement. If any action,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subject matter of which is within the scope of the forum provisions of the Warrant Agreement, is filed in a court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than a court of the State of New York or the United States District Court for the Southern District of New York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“Warrant Agreement Foreign Action”) in the name of any holder of the warrants, such holder shall be deemed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consented to: (x) the personal jurisdiction of the state and federal courts located within the State of New York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the United States District Court for the Southern District of New York in connection with any action brought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such court to enforce the forum provisions (an “enforcement action”), and (y) having service of process made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upon such warrant holder in any such enforcement action by service upon such warrant holder’s counsel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Warrant Agreement Foreign Action as agent for such warrant holder.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choice-of-forum provision may limit a warrant holder’s ability to bring a claim in a judicial forum that 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finds favorable for disputes with Innventure, which may discourage such lawsuits. Alternatively, if a court were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find this provision of the Warrant Agreement inapplicable or unenforceable with respect to one or more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specified types of actions or proceedings, we may incur additional costs associated with resolving such matters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jurisdictions, which could materially and adversely affect our business, financial condition and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 and result in a diversion of the time and resources of our management and Board.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We are an emerging growth company and smaller reporting company, and we cannot be certain if the reduced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reporting requirements applicable to emerging growth companies and smaller reporting companies will make our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Common Stock less attractive to investors.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is an emerging growth company, as defined in the Jumpstart Our Business Startups Act of 2012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(“JOBS Act”). For as long as Innventure continues to be an emerging growth company, it may take advantage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exemptions from various reporting requirements that are applicable to other public companies that are not “emerging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growth companies,” including exemption from compliance with the auditor attestation requirements under Section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404 of the Sarbanes-Oxley Act, reduced disclosure obligations regarding executive compensation and exemptions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the requirements of holding a nonbinding advisory vote on executive compensation and stockholder approval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any golden parachute payments not previously approved. Innventure will remain an emerging growth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until the earlier of (1) December 31, 2026, (2) the last day of the fiscal year (a) in which we have total annual gross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22</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revenue of at least $1.235 billion or (b) in which we are deemed to be a large accelerated filer, which means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 value of shares of our Common Stock that are held by non-affiliates exceeds $700.0 million as of the prior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June 30, and (3) the date on which we have issued more than $1.0 billion in non-convertible debt during the prior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three-year period.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under the JOBS Act, emerging growth companies can delay adopting new or revised accounting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standards until such time as those standards apply to private companies. Innventure expects to use this extended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transition period for complying with new or revised accounting standards and, therefore, Innventure will not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the same new or revised accounting standards as other public companies that are not emerging growth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is also a smaller reporting company as defined in the Exchange Act. Even after Innventure no longer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qualifies as an emerging growth company, it may still qualify as a “smaller reporting company,” which would allow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it to take advantage of many of the same exemptions from disclosure requirements including exemption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compliance with the auditor attestation requirements of Section 404 and reduced disclosure obligations regarding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executive compensation in this prospectus and Innventure’s periodic reports and proxy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will take advantage of the smaller reporting company scaled disclosures, and it will be able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continue to take advantage of the smaller reporting company scaled disclosures for so long as its voting and non-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voting Common Stock held by non-affiliates is less than $250.0 million measured on the last business day of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second fiscal quarter, or its annual revenue is less than $100.0 million during the most recently completed fiscal year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its voting and non-voting Common Stock held by non-affiliates is less than $700.0 million measured on the last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business day of its second fiscal quarter.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cannot predict if investors will find its Common Stock less attractive because Innventure may rely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these exemptions. If some investors find the Common Stock less attractive as a result, there may be a less active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trading market for the Common Stock and its market price may be more volatile.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Future offerings of debt or offerings or issuances of equity securities by Innventure may adversely affect the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market price of the Common Stock or otherwise dilute all other stockholders.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future, Innventure may attempt to obtain financing or to further increase Innventure’s capital resources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issuing additional shares of Common Stock or offering debt or other equity securities, including commercial paper,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medium-term notes, senior or subordinated notes, debt securities convertible into equity or shares of preferred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also expects to grant equity awards to employees, directors, and consultants under Innventure’s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incentive plans. Future acquisitions could require substantial additional capital in excess of cash from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would expect to obtain the capital required for acquisitions through a combination of additional issuances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equity, corporate indebtedness and/or cash from 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Issuing additional shares of Common Stock or other equity securities or securities convertible into equity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dilute the economic and voting rights of Innventure’s existing stockholders or reduce the market price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or both. Upon liquidation, holders of such debt securities, preferred shares, and lenders with respect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other borrowings would receive a distribution of Innventure’s available assets prior to the holders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Debt securities convertible into equity could be subject to adjustments in the conversion ratio pursuant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certain events may increase the number of equity securities issuable upon conversion. Preferred shares, if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issued, could have a preference with respect to liquidating distributions or a preference with respect to dividend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payments that could limit Innventure’s ability to pay dividends to the holders of Common Stock. Innventure’s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decision to issue securities in any future offering will depend on market conditions and other factors beyond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Innventure’s control, which may adversely affect the amount, timing and nature of Innventure’s future offerings.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If Innventure’s estimates or judgments relating to its critical accounting estimates prove to be incorrect or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financial reporting standards or interpretations change, Innventure’s results of operations could be adversely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affected.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preparation of financial statements in conformity with Generally Accepted Accounting Principles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(“GAAP”) in the United States requires management to make estimates and assumptions that affect the amounts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23</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reported in the financial statements and accompanying notes. Innventure will base its estimates on historical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experience, known trends and events, and various other factors that it believes to be reasonable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circumstances, as provided in the section entitled “Management’s Discussion and Analysis of Financial Condition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Results of Operations—Critical Accounting Policies and Use of Estimates.” The results of these estimates form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basis for making judgments about the carrying values of assets and liabilities that are not readily apparent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sources. Significant assumptions and estimates may be used in preparing Innventure’s financial statements.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results of operations may be adversely affected if its assumptions change or if actual circumstances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differ from those in its assumptions, which could cause its results of operations to fall below the expectations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securities analysts and investors, resulting in a decline in the trading price of its 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Innventure will regularly monitor its compliance with applicable financial reporting standards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review new pronouncements and drafts thereof that are relevant to it. As a result of new standards, changes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existing standards and changes in their interpretation, Innventure might be required to change its accounting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policies, alter its operational policies, and implement new or enhance existing systems so that they reflect new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amended financial reporting standards, or Innventure may be required to restate its published financial statements.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changes to existing standards or changes in their interpretation may have an adverse effect on its reputation,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business, financial position, and profit.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Exclusive forum provisions in the A&amp;R Certificate of Incorporation and Bylaws could limit Innventure’s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stockholders’ ability to choose their preferred judicial forum for disputes with Innventure or its directors,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officers, or employees.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Bylaws provide that, unless Innventure consents in writing to the selection of an alternative forum, the sole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exclusive forum for specified legal actions is the Delaware Court. Current and former stockholders are deemed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have consented to the personal jurisdiction of the Delaware Court in connection with any action to enforce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exclusive forum provision and to service of process in any such action. These exclusive forum provisions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Bylaws do not apply to actions arising under federal securities laws including suits brought to enforce any liability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duty created by the Securities Act, the Exchange Act or any other claim for which the federal courts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exclusive jurisdiction. To the extent that these provisions of the Bylaws limit a current or former stockholder’s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ability to select a judicial forum other than the Delaware Court, they might discourage the specified legal actions,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might cause current or former stockholders to incur additional litigation-related expenses, and might result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outcomes unfavorable to current or former stockholders. A court might determine that these provisions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Bylaws are inapplicable or unenforceable in any particular action, in which case we may incur additional litigation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related expenses in such action, and the action may result in outcomes unfavorable to us, which could have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materially adverse impact on Innventure’s reputation, its business operations, and its financial position or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Company has identified material weaknesses in its internal controls over financial reporting that could, if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not remediated, result in material misstatements in its financial statements and which may have an impact on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Innventure’s ability to timely or accurately report its financial condition or results of operations and may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adversely affect Innventure’s business and stock price.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preparation of the Company’s financial statements, certain material weaknesses were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identified in the Company’s internal control over financial reporting. A material weakness is a deficiency,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of deficiencies, in internal control over financial reporting such that there is a reasonable possibility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material misstatement of Innventure’s interim or annual consolidated financial statements will not be prevented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detected on a timely basis.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Innventure is unable to successfully remediate the material weaknesses, or if in the future,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identifies further material weaknesses in its internal controls over financial reporting, it may not detect errors on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timely basis, and its financial statements may be materially misstated. Innventure cannot provide any assurance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material weaknesses will not have an impact on its ability to timely and accurately report its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condition or results of operations or that any additional material weaknesses will not arise in the future due to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failure to implement and maintain adequate internal control over financial reporting or circumvention of 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controls. Innventure may not be able to conclude on an ongoing basis that it has effective internal control over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24</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reporting, which could harm its operating results, cause investors to lose confidence in its reported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information and cause the trading price of its stock to fall. In addition, as a public company,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will be required to file accurate and timely quarterly and annual reports with the SEC under the Exchange Act.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failure to report Innventure’s financial results on an accurate and timely basis could result in sanctions, lawsuits,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delisting of our Common Stock from NASDAQ or other adverse consequences that would materially harm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In addition, Innventure could become subject to investigations by NASDAQ , the SEC,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regulatory authorities, and become subject to litigation from investors and stockholders, which could harm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reputation and its financial condition, or divert financial and management resources from its core business.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If Innventure is deemed to be an investment company under the Investment Company Act, it may be required to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institute burdensome compliance requirements and its activities may be restricted, which may make it difficult to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operate or to execute its growth plans.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Innventure is deemed to be an investment company under the Investment Company Act, it will be subject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additional regulatory requirements and its activities may be restricted, including: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restrictions on the nature of its investments;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limitations on its ability to borrow;</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prohibitions on transactions with affiliates;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restrictions on the issuance of securities.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of these may make it difficult for Innventure to run its business. In addition, the law may impose upon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 burdensome requirements, including: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registration as an investment company and subsequent regulation as an investment company;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adoption of a specific form of corporate structure;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reporting, record keeping, voting, proxy and disclosure requirements and other rules and regulations.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intends to conduct its operations so that it is not required to register as an investment company under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Investment Company Act. Section 3(a)(1)(A) of the Investment Company Act defines an “investment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any issuer that is or holds itself out as being engaged primarily, or proposes to engage primarily, in the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investing, reinvesting or trading in securities. Section 3(a)(1)(C) of the Investment Company Act defines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company as any issuer that is engaged or proposes to engage in the business of investing, reinvesting,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owning, holding or trading in securities and owns or proposes to acquire investment securities having a value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exceeding 40% of the value of the issuer’s total assets (exclusive of U.S. Government securities and cash items)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 unconsolidated basis. Excluded from the term “investment securities,” among other things, are U.S. Government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and securities issued by majority-owned subsidiaries that are not themselves investment companies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are not relying on the exemption from the definition of investment company set forth in Section 3(c)(1) or Section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3(c)(7) of the Investment Company Act.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Furthermore, if Innventure were to operate its Operating Companies primarily for the purpose of making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profit in the sale of its Operating Companies’ securities rather than retaining majority (or sole) ownership of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companies, it may increase the likelihood that Innventure could be deemed an investment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Though Innventure does not expect exit transactions to be a factor in the business plans for its Operating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and does not believe that its principal activities will subject it to the Investment Company Act, if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were deemed to be subject to the Investment Company Act, compliance with the additional regulatory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burdens discussed above would require additional expense and attention from management for which Innventure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not accounted.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25</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The determination as to whether certain Innventure assets are viewed as securities (i.e., by falling within the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definition of an “investment contract”) is made by Innventure and if the SEC were to disagree with Innventure’s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determination, Innventure could be deemed to be an investment company under the Investment Company Act.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Section 3(a)(1)(A) of the Investment Company Act defines an “investment company” to include a company that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is or holds itself out as being engaged primarily, or proposes to engage primarily, in the business of investing,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reinvesting or trading in securities.” Whether a company is engaged primarily in the business of investing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is a question of fact that is determined through the analysis of five factors. No single factor by itself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dispositive. The relevant factors are: (1) the nature of a company’s assets; (2) the source of a company’s income; (3)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company’s historic development; (4) the company’s public representations; and (5) the activities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company’s officers and directors.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context of its Section 3(a)(1)(A) analysis, and specifically Section 3(a)(1)(A)’s asset test, Innventure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determined that neither Innventure’s equity interest in AeroFlexx nor the loans from Innventure to AeroFlexx are a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security.” This determination is based upon Innventure’s conclusion that neither should be viewed as an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investment contract.” Applicable case law has found that an “investment contract” exists when there is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of money in a common enterprise with a reasonable expectation of profits to be derived primarily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efforts of others.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above determinations were made by Innventure based in large part on case law precedent and no-action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letters issued by the SEC staff and other SEC interpretive guidance, and the significant relationship that exists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between Innventure and AeroFlexx (e.g., Innventure founded AeroFlexx and the only AeroFlexx director that is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also an Innventure director is the Chief Executive Officer of AeroFlexx who is, himself, an employee of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based in large part on case law precedent and SEC staff no-action letters, Innventure determined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loans from Innventure to AeroFlexx should not constitute securities that are “evidences of indebtedness” under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Investment Company Act.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has not requested the SEC to approve this analysis and the SEC has not done so. If the SEC were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disagree with Innventure’s analysis or relevant factual circumstances were to change, Innventure may be required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adjust its analysis and, potentially, its asset composition, in order to support its conclusion that it should not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deemed to be an investment company under the Investment Company Act. If Innventure were required to register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 investment company under the Investment Company Act, compliance with the additional associated regulatory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burdens would require additional expense and attention from management for which Innventure has not accounted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furthermore, could require Innventure to restructure its operations, sell certain of its assets or abstain from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 of certain assets, which could have a material adverse effect on Innventure’s business, financial condition,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results of operations and prospects.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Additional financing transactions by the Operating Companies could impact your rights as a stockholder of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and the Operating Companies expect to require additional financing to fund their operations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growth. These additional financing transactions could include transactions at the Operating Company level, such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sale of Operating Company equity, or the Operating Companies’ issuance of new equity. The issuance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new equity securities to third-party investors at the Operating Company level or the sale of a portion of Operating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equity held by Innventure would reduce Innventure’s ownership interest in that Operating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Furthermore, the holders of those equity securities would have structural priority as compared to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respect to that Operating Companies’ assets and will also have priority as to liquidation and dividend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rights more favorable than Common Stock with respect to that Operating Company. This priority, or any reduction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 Innventure’s ownership interest in any Operating Companies, may reduce the value of 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26</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Risks Related to Intellectual Property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 may be unable to sufficiently protect the IP rights of itself and the Innventure Companies and may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encounter disputes from time to time relating to its use of the IP of third parties.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and the Innventure Companies’ core business relies on IP acquired or licensed from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Solutions Providers. Innventure monitors and protects against activities that might infringe, dilute, misappropriate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otherwise violate that IP and relies on the relevant patent, trademark and other laws of the U.S. and other countries.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However, Innventure, the Innventure Companies, and their MNC or other third party partners may be unable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prevent their employees, consultants or other third parties from infringing, diluting or misappropriating their IP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otherwise violating obligations with respect to their IP and confidential information, which could have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material adverse effect on Innventure and the Innventure Companies’ business, financial condition,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 and prospects.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Even upon the registration of their IP rights, there is no certainty that Innventure’s, the Innventure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their MNC or other third party partners’ IP rights will provide them with substantial protection or commercial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benefit. Despite Innventure, the Innventure Companies’ and their MNC or other third party partners’ efforts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protect their IP, some of their innovations may not be protectable, and their IP rights may offer insufficient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protection from competition or unauthorized use, lapse or expire, be challenged, narrowed, invalidated,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misappropriated by third parties, or be deemed unenforceable or abandoned. In addition, the laws of some non-U.S.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jurisdictions, particularly those of certain emerging markets, provide less protection for Innventure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Companies’ IP rights than the laws of the U.S. and present greater risks of infringement,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misappropriation, dilution or other misuse. To the extent Innventure, the Innventure Companies, and their MNC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third party partners cannot protect their IP and confidential information, unauthorized use and misuse of that 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could harm their competitive position and have a material adverse effect on Innventure’s business,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condition, results of operations and prospects.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Furthermore, regulations governing domain names may not protect Innventure’s and the Innventure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trademarks and other proprietary rights that may be displayed on or in conjunction with their website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marketing media. Innventure may be unable to prevent third parties from acquiring or retaining domain names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are similar to, infringe upon, or diminish the value of their respective trademarks and other proprietary rights.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Despite Innventure’s and the Innventure Companies’ efforts to protect these rights, unauthorized third parties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attempt to duplicate or copy the proprietary aspects of its technology and processes. Innventure’s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Companies’ competitors and other third parties independently may design around or develop similar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or otherwise duplicate Innventure’s or the Innventure Companies’ services or products such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or the Innventure Companies could not assert its IP rights against them. In addition, Innventure’s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Companies’ contractual arrangements may not effectively prevent disclosure of its IP and confidential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proprietary information or provide an adequate remedy in the event of an unauthorized disclosure. Measures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place may not prevent misappropriation or infringement of Innventure’s or the Innventure Companies’ IP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proprietary information and the resulting loss of competitive advantage, and Innventure or the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may be required to litigate to protect its IP and proprietary information from misappropriation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infringement by others, which is expensive, could cause a diversion of resources and may not be successful.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or the Innventure Companies also may encounter disputes from time to time concerning IP rights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others, and it may not prevail in these disputes. Third parties may raise claims against Innventure alleging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the Innventure Companies, their employees, consultants or other third parties retained or indemnified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or the Innventure Companies, infringe, dilute, misappropriate or otherwise violate their IP rights. Some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third-party IP rights may be extremely broad, and it may not be possible for Innventure to conduct its operations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a way as to avoid all alleged violations of such IP rights and thus, Innventure and the Innventure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cannot be certain that its technologies or products and services do not infringe valid patents, trademarks, copyrights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other proprietary rights held by third parties. Given the complex, rapidly changing and competitive technological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business environment in which Innventure and the Innventure Companies operate, and the potential risks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uncertainties of IP-related litigation, an assertion of an infringement claim against Innventure or the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may cause Innventure or the Innventure Companies to spend significant amounts to defend the claim,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27</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even if Innventure and the Innventure Companies ultimately prevail, pay significant money damages, lose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significant revenues, be prohibited from using the relevant systems, processes, technologies or other IP (temporarily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permanently), cease offering certain products or services, or incur significant license, royalty or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development expenses.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Moreover, it has become common in recent years for individuals and groups to purchase IP assets for the sole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purpose of making claims of infringement and attempting to extract settlements from companies such as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the Innventure Companies. Even in instances where Innventure and the Innventure Companies believe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claims and allegations of IP infringement against it are without merit, defending against such claims is time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consuming and expensive and could result in the diversion of time and attention of Innventure’s and the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management and employees. In addition, although in some cases a third-party may have agreed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indemnify Innventure or the Innventure Companies for such costs, such indemnifying party may refuse or be unable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uphold its contractual obligations. In other cases, insurance may not cover potential claims of this type adequately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at all, and Innventure or the Innventure Companies may be required to pay monetary damages, which may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significant.</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General Risk Factors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 the Innventure Companies, and Innventure’s MNC partners may be negatively impacted by volatility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 the political and economic environment, such geopolitical unrest, economic downturns and high interest rates,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and a period of sustained inflation, which could have an adverse impact on Innventure’s and the Innventure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Companies’ business, financial condition, results of operations and prospects.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Trade, monetary and fiscal policies, including tariffs, and political and economic conditions may substantially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 and credit markets may experience periods of constriction and variability. These conditions may impact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business. Further rising inflation may negatively impact Innventure and the Innventure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and raise its costs. While Innventure and the Innventure Companies will take actions, wherever possible,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reduce the impact of the effects of inflation, in the case of sustained inflation, it could become increasingly difficult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effectively mitigate the increases to Innventure and the Innventure Companies’ costs. If Innventure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Companies are unable to take actions to effectively mitigate the effect of the resulting higher costs,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Innventure’s business, financial condition, results of operations and prospects could be adversely impacted.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Higher interest rates, coupled with reduced government spending and volatility in financial markets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 economic uncertainty and affect Innventure and the Innventure Companies’ suppliers and potential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customers. If the equity and credit markets deteriorate, including as a result of political or economic unrest or war, 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make necessary debt or equity financing. Increased inflation rates can adversely affect Innventure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Companies by increasing its costs, including labor and employee benefit costs. In addition, higher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inflation, macro turmoil, uncertainty and market-wide liquidity concerns could also adversely affect Innventure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Innventure Companies’ suppliers and potential customers, which could have an adverse impact on Innventure’s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business, financial condition, results of operations and prospects.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Changes in U.S. or foreign trade policies, including additional tariffs or global trade conflicts, may adversely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impact our business and operating results.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operates in a global marketplace, exposing the Company to various risks associated with foreign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trade policies, tariffs, and global trade conflicts.  Our business model, which focuses on the commercialization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breakthrough technologies and the development of innovative products, relies heavily on the import and export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goods and services across international borders.  Changes in foreign trade policies, such as the imposition of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tariffs, duties, or other trade barriers, can increase the cost of our products and materials, disrupt our supply chain,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reduce our competitiveness in the global market.  Additionally, ongoing or escalating trade conflicts between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major economies can create uncertainty and volatility, which may result in retaliatory tariffs, trade restrictions,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measures that can adversely affect our ability to conduct business internationally. Such conflicts can also lead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disruptions in the availability of critical components, delays in shipments, and increased costs, all of which can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negatively impact our operations and financial performance.  Compliance with complex and evolving international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trade regulations, including export controls and economic sanctions, is essential for our global operations,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failure to comply can result in significant fines and reputational damage.  Additionally, changes in these regulations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can restrict our ability to sell products to certain countries or customers, limiting our market opportunities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revenue potential.  Failure to effectively manage these risks could have a material adverse effect on our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financial condition, and results of operations.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 the Innventure Companies, and their MNC partners face risks and uncertainties related to litigation,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regulatory actions and investigations.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the Innventure Companies, and their MNC partners are subject to, and may become a party to,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variety of litigation, other claims, suits, regulatory actions and government investigations and inquiries. In addition,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time to time, we may also be involved in legal proceedings and investigations arising in the ordinary course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including those relating to employment matters, relationships with collaboration partners, IP disputes,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business matters. Any such claims or investigations may be time-consuming, costly, divert management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resources, or otherwise have a material adverse effect on its business or results of 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results of litigation and other legal proceedings are inherently uncertain and adverse judgments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settlements in some or all of these legal disputes may result in materially adverse monetary damages or injunctive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relief against Innventure and the Innventure Companies. Any claims or litigation, even if fully indemnified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insured, could damage its reputation and make it more difficult to compete effectively or obtain adequate insurance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 the future.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Cyber-attacks or a failure in Innventure’s information technology and data security infrastructure could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adversely affect Innventure’s business and 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relies on information technology systems in connection with various aspects of the operation of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Innventure’s business and that of the Innventure Companies depend on the integrity of such information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systems, which are inherently susceptible to a number of threats, including, but not limited to, viruses,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ransomware, malware, malicious codes, hacking, phishing, denial of service actions, human error, network failures,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electronic loss of data and other electronic security breaches. A successful material cyber-attack may result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loss or compromise of customer, financial or operational data, theft of IP, disruption of billing, collections or normal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manufacturing activities, disruption of data analytics and electronic monitoring and control of operational systems,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loss of revenue, ransomware payments, remediation costs related to lost, stolen or compromised data, repairs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infrastructure, physical systems or data processing systems, increased cybersecurity protection costs or violation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United States and international privacy laws, which may result in litigation. Any of these occurrences could harm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reputation or have a material adverse effect on its business, financial condition, results of operation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prospects. Innventure has implemented measures to mitigate potential risks associated with information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disruptions and cybersecurity threats; however, there is no assurance that these measures will prevent cyber-attacks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security breaches. Although Innventure periodically assesses these risks, implements controls and performs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continuity and disaster recovery planning, it cannot be sure that interruptions with material adverse effects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will not occur.</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Innventure may face particular data protection and privacy risks in connection with the European Union’s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Global Data Protection Regulation, the California Consumer Privacy Act and other privacy laws and regulations.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Data privacy laws continue to evolve in various jurisdictions, including the scope of consumer and commercial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privacy protections. It is possible that data privacy laws, including those that may develop regarding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technologies such as AI, may be interpreted in various jurisdictions to apply to our business in the future. As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grows, it is therefore possible that we will have a higher regulatory risk profile and increased costs as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seek to comply with new regulatory requirements related to the processing of personal and commercial data.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is subject to laws of various jurisdictions where it operates or does business related to solicitation,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collection, processing, transferring, storing or use of consumer, customer, vendor, investor, employee or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stakeholder information and personal data, including but, not limited to, the General Data Protection Regulation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European Union, the California Consumer Privacy Act, and various other privacy laws and regulations.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may be subject to additional regulations, such as the European Union AI Act, that specifically affect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use of personal information in the context of artificial intelligence (“AI”) systems. The changes introduced by 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29</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laws and regulations increase the complexity of regulations enacted to protect business and personal data, subject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to additional costs. These laws and regulations may grant, among other things, individual rights to access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delete personal information, and the right to opt out of the sale of personal information. These laws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regulations can also impose significant forfeitures and penalties for noncompliance and afford private rights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action to individuals under certain circumstances. Any failure to manage data privacy in compliance with applicable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laws and regulations could result in significant regulatory investigations, fines, and sanctions, consumer and class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action litigation, commercial litigation, prolonged negative publicity, data breaches, declining customer confidence,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loss of key customers, employee liability, and other unfavorable consequences.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AI technologies could present business, compliance and reputational risks.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Recent technological advances in AI and machine-learning technology both present opportunities and pose risks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Innventure. If Innventure fails to keep pace with rapidly evolving technological developments in AI,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competitive position and business results may suffer. Innventure faces risk of competitive disadvantage if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competitors more effectively use AI to better serve customers, drive internal efficiencies, and/or create new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enhanced products or services. The introduction of these technologies, particularly generative AI, into internal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processes, customer engagements, and/or new and existing product offerings may result in new or expanded risks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liabilities, including due to enhanced governmental or regulatory scrutiny, litigation, compliance issues, ethical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concerns, confidentiality or security risks, as well as other factors that could adversely affect Innventure’s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reputation, and financial results. In addition, Innventure personnel could, unbeknownst to us, improperly utilize AI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machine learning-technology while carrying out their responsibilities. The use of AI in the development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products and services could also cause loss of IP, as well as subject us to risks related to 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infringement or misappropriation, data privacy and cybersecurity. The use of AI can lead to unintended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consequences, including generating content that appears correct but is factually inaccurate, misleading or otherwise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flawed, or that results in unintended biases and discriminatory outcomes, which could harm Innventure’s reputation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business and expose Innventure to risks related to inaccuracies or errors in the output of such technologies.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Expectations relating to ESG considerations expose Innventure to potential liabilities, increased costs,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reputational harm and other adverse effects on Innventure’s business.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Many governments, regulators, investors, employees, customers and other stakeholders are increasingly focused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environmental, social and governance (“ESG”) and sustainability considerations relating to businesses, including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climate change and greenhouse gas (“GHG”) emissions, data privacy, AI, human capital and diversity, equity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inclusion. Innventure makes statements about its ESG targets, goals and initiatives through information provided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its website, press statements and other communications. Responding to these ESG considerations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implementation of these goals and initiatives involves risks and uncertainties, requires investments, and are impacted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 factors that may be outside Innventure’s control. In addition, some stakeholders may disagree with Innventure’s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goals and initiatives and the focus of stakeholders may change and evolve over time. Innventure may also amend,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abandon or replace its targets, goals and initiatives due to a change in strategy, reduced relevance of such targets,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goals and initiatives or changing market conditions, and Innventure may take certain actions that stakeholders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regulators view as contrary to such targets, goals and initiatives. Stakeholders also may have very different views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where Innventure’s focus on ESG and sustainability issues should be placed, including differing views of regulators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various jurisdictions in which we operate. Any failure, or perceived failure, by Innventure to achieve its targets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goals, further its initiatives, adhere to its public statements, comply with federal, state or international ESG laws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regulations, or meet evolving and varied stakeholder expectations and standards could result in legal and regulatory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proceedings against Innventure and materially adversely affect Innventure’s business, reputation,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 financial condition and stock price.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Climate change, or legal, regulatory or market measures to address climate change may materially adversely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affect Innventure’s financial condition and business 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Climate change resulting from increased concentrations of carbon dioxide and other GHGs in the atmosphere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could present risks to Innventure and the Innventure Companies’ future operations from natural disasters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extreme weather conditions, such as hurricanes, tornadoes, earthquakes, wildfires or flooding. Such extreme weather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conditions could pose physical risks to Innventure’s and the Innventure Companies’ facilities and disrupt operation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30</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Innventure and the Innventure Companies’ supply chain and may impact operational costs. The impacts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climate change on global resources may result in scarcity, which could in the future impact Innventure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Companies’ ability to access sufficient equipment and materials in certain locations and result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increased costs. Concern over climate change could result in new legal or regulatory requirements designed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mitigate the effects of climate change on the environment. If such laws or regulations are more stringent than current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legal or regulatory requirements, Innventure and the Innventure Companies may experience increased compliance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burdens and costs to meet the regulatory obligations and may adversely affect raw material sourcing, manufacturing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 and the distribution of Innventure and the Innventure Companies’ products.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Changes in tax laws could adversely affect Innventure and the Innventure Companies.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and the Innventure Companies operate in various jurisdictions and are subject to changes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tax laws, treaties, or regulations in those jurisdictions. A material change in the tax laws, treaties,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regulations, or their interpretation, of any jurisdiction with which Innventure and the Innventure Companies do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or in which Innventure and the Innventure Companies have significant operations, could adversely affect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example, during October 2021, the Organisation for Economic Cooperation and Development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OECD”) announced that 136 countries and tax jurisdictions have agreed to implement a new “Two Pillar” approach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international taxation. Numerous countries have now enacted, or are in the process of enacting, new legislation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consistent with this approach, which took effect for the first time in 2024. More countries have committed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introduce similar legislation, at different times and in different ways, through their individual agreement to tax treaty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changes and through changes to their own domestic tax laws.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first of the OECD’s “pillars” establishes a new taxing right for countries in which a business has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significant economic presence, even though it may not have the degree of physical presence in that country needed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establish a taxing right under existing tax treaties. This new taxing right is subject to several conditions,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exclusions and exceptions, and will initially affect only multinational enterprises with global turnover above 20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billion euros.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second pillar establishes a global minimum tax rate of 15%, such that multinational enterprises with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 tax rate in a jurisdiction below this minimum rate will need to pay additional tax, which could be collected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 the parent company’s tax authorities or by those in other countries, depending on whether and how each country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implements the OECD’s approach in its tax treaties and domestic tax legislation. In an initial transition period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2024 to 2026, enterprises are exempt from this additional tax if certain “Safe Harbour” tests are met.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Depending on how the jurisdictions in which Innventure and the Innventure Companies operate choose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implement the OECD’s approach in their tax treaties and domestic tax laws, and future evolution of the OECD’s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Two Pillar” approach, Innventure and the Innventure Companies could be adversely affected due to its income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being taxed at higher effective rates.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USE OF PROCEEDS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All of the shares of Common Stock offered by the Selling Stockholders pursuant to this prospectus will be sold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 the Selling Stockholders for their respective accounts. The Selling Stockholders may offer, sell or distribute all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portion of the securities hereby registered publicly or through private transactions at prevailing market prices or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negotiated prices.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will not receive any of the proceeds from such sales of the shares of our Common Stock by the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However, we may receive (i) up to $75.0 million in aggregate gross proceeds from sales of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to Yorkville pursuant to the SEPA, from time to time in our discretion after the date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registration statement that includes this prospectus and subject to satisfaction of other conditions in the SEPA,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(ii) de minimis gross proceeds upon exercise of the 2025 WTI Warrants, to the extent such warrants are exercised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cash. We will bear all costs, expenses and fees in connection with the registration of our Common Stock.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Selling Stockholders will bear all commissions, discounts and certain other limited expenses, if any, attributable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their respective sales of our 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could receive up to an aggregate of approximately $214.4 million in proceeds from the exercise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Warrants, assuming the exercise in full of all of the Innventure Warrants for cash, but not from the resale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 shares of Common Stock issuable upon such exercise.  There is no assurance that the holders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Warrants will elect to exercise any or all of such Innventure Warrants.  We believe the likelihood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Warrant holders will exercise the Innventure Warrants, and therefore the amount of cash proceeds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would receive, is dependent upon the trading, are “out of the money,” meaning the exercise price is higher than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market price of our Common Stock.  All of the Innventure Warrants outstanding as of April 15, 2025 are “out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money.”  Holders of such “out of the money” Innventure Warrants are not likely to exercise such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Warrants.  There can be no assurance that such Innventure Warrants will be in the money prior to their expiration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dates, and therefore we may not receive any cash proceeds from the exercise of such Innventure Warrants.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will not receive any proceeds from the exercise of 2025 WTI Warrants or Innventure Warrants on a cashless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basis.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Unless we inform you otherwise in a prospectus supplement or free writing prospectus, we intend to use the net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proceeds from the issuance of shares to Yorkville pursuant to the SEPA, from the exercise of the 2025 WTI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Warrants and from the exercise of the Innventure Warrants for general corporate purposes, which may include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acquisitions or other strategic investments or repayment of outstanding indebtedness.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 xml:space="preserve">MANAGEMENT’S DISCUSSION AND ANALYSIS OF FINANCIAL CONDITION AND RESULTS OF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Unless the context otherwise requires, references in this section to “we”, “us” and “our” refer to the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operations of Innventure LLC and its consolidated subsidiaries prior to the Business Combination,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became the business of the Company and its subsidiaries following the consummation of the Business Combination.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Unless otherwise indicated, all dollar amounts (“$”) are expressed in thousands.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discussion and analysis of our financial condition and results of operations should be read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conjunction with our consolidated financial statements and related notes and other information included elsewhere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This discussion contains forward-looking statements that involve risks and uncertainties. Our actual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results could differ materially from such forward-looking statements. Factors that could cause or contribute to those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differences include, but are not limited to, those identified below in this section and those discussed in the sections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titled “Risk Factors” and “Cautionary Statement Regarding Forward–Looking Statements” included elsewhere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Additionally, our historical results are not necessarily indicative of the results that may be expected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for any period in the future.</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Overview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founds, funds, and operates companies with a focus on transformative, sustainable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solutions acquired or licensed from MNCs with the intent to maximize values for investors and other stakeholders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through positive cash flow generated through holding long term positions in our Operating Companies. Refer to the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section entitled “</w:t>
      </w:r>
      <w:r>
        <w:rPr>
          <w:rFonts w:ascii="Times New Roman;sans-serif" w:hAnsi="Times New Roman;sans-serif"/>
          <w:b w:val="false"/>
          <w:i/>
          <w:sz w:val="20"/>
        </w:rPr>
        <w:t>Business</w:t>
      </w:r>
      <w:r>
        <w:rPr>
          <w:caps w:val="false"/>
          <w:smallCaps w:val="false"/>
        </w:rPr>
        <w:t xml:space="preserve">” </w:t>
      </w:r>
      <w:r>
        <w:rPr>
          <w:rFonts w:ascii="Times New Roman;sans-serif" w:hAnsi="Times New Roman;sans-serif"/>
          <w:b w:val="false"/>
          <w:i w:val="false"/>
          <w:caps w:val="false"/>
          <w:smallCaps w:val="false"/>
          <w:sz w:val="20"/>
        </w:rPr>
        <w:t xml:space="preserve">elsewhere in this prospectus for a detailed discussion of our business activities.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Segments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Based on the allocation of resources and assessment of financial performance by our Chief Executive Officer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(“CEO”) (who has been determined to be our Chief Operating Decision Maker), we have identified one reportable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segment:  </w:t>
      </w:r>
      <w:r>
        <w:rPr>
          <w:rFonts w:ascii="Times New Roman;sans-serif" w:hAnsi="Times New Roman;sans-serif"/>
          <w:b w:val="false"/>
          <w:i w:val="false"/>
          <w:caps w:val="false"/>
          <w:smallCaps w:val="false"/>
          <w:strike w:val="false"/>
          <w:dstrike w:val="false"/>
          <w:sz w:val="20"/>
          <w:u w:val="none"/>
          <w:effect w:val="none"/>
        </w:rPr>
        <w:t>Technology</w:t>
      </w:r>
      <w:r>
        <w:rPr>
          <w:caps w:val="false"/>
          <w:smallCaps w:val="false"/>
          <w:sz w:val="24"/>
        </w:rPr>
        <w:t xml:space="preserve"> </w:t>
      </w:r>
      <w:r>
        <w:rPr>
          <w:rFonts w:ascii="Times New Roman;sans-serif" w:hAnsi="Times New Roman;sans-serif"/>
          <w:b w:val="false"/>
          <w:i w:val="false"/>
          <w:caps w:val="false"/>
          <w:smallCaps w:val="false"/>
          <w:sz w:val="20"/>
        </w:rPr>
        <w:t xml:space="preserve">(the “Technology segment”). The Company’s remaining operations are not reportable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segments and are classified as “Other”. “Other” primarily includes the Company’s remaining operations consisting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Innventure’s original platform business, service activities, Refinity and equity method investment activities.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The Business Combination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24, 2023, Learn CW and Innventure LLC entered into a Business Combination Agreement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Holdco, LCW Merger Sub and Innventure Merger Sub. On September 30, 2024, the stockholders of Learn CW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approved the Business Combination, and the Business Combination closed on the Closing Date. The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has been accounted for using the acquisition method of accounting. The Company determined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accounting acquirer to be Holdco. Accordingly, the Company recorded assets acquired, liabilities assumed and non-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controlling interest at their acquisition date fair values and recognized goodwill.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a consequence of the Business Combination, Innventure, Inc. is the successor to an SEC-registered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NASDAQ listed company which will require Innventure to hire additional personnel and implement procedures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processes to address public company regulatory requirements and customary practices. Innventure expects to incur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 annual expenses as a public company for, among other things, directors’ and officers’ liability insurance,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 fees and additional internal and external accounting and legal and administrative resources, including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increased audit and legal fees.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future results of consolidated operations and financial position may not be comparable to historical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results as a result of the Business Combination.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33</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Financial Summary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Highlights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The year ended </w:t>
      </w: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z w:val="24"/>
        </w:rPr>
        <w:t xml:space="preserve"> </w:t>
      </w:r>
      <w:r>
        <w:rPr>
          <w:rFonts w:ascii="Times New Roman;sans-serif" w:hAnsi="Times New Roman;sans-serif"/>
          <w:b w:val="false"/>
          <w:i w:val="false"/>
          <w:caps w:val="false"/>
          <w:smallCaps w:val="false"/>
          <w:sz w:val="20"/>
        </w:rPr>
        <w:t>includes the following highlights: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Innventure’s Technology segment began generating revenue related to its cooling systems for data centers.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Total operational expenses of approximately $10,506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$12,517, respectively, relate to increased costs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associated with public readiness activities connected with the Business Combination and the subsequent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reporting requirements related to being a public entity for the Successor (as defined below) period from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October 2, 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the Predecessor (as defined below) period from January 1,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2024 through October 1, 2024.</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Cash inflows from equity raises were approximately $19,552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$26,981, respectively, for the Successor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period from October 2, 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the Predecessor period from January 1, 2024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through October 1, 2024. These cash inflows from equity raises are compared to net cash outflows related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to operating, investing and remaining financing activity of $8,478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$13,345, respectively, for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Successor period from October 2, 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the Predecessor period from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January 1, 2024 through October 1, 2024.</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As a result of the Business Combination, $187,500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intangible assets and $667,936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goodwill were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recognized. Overall, $147,515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net identifiable assets were acquired.</w:t>
      </w:r>
    </w:p>
    <w:p>
      <w:pPr>
        <w:pStyle w:val="TextBody"/>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Results of Operations for the Years Ended December 31, 2024</w:t>
      </w:r>
      <w:r>
        <w:rPr>
          <w:caps w:val="false"/>
          <w:smallCaps w:val="false"/>
          <w:strike w:val="false"/>
          <w:dstrike w:val="false"/>
          <w:sz w:val="24"/>
          <w:u w:val="none"/>
          <w:effect w:val="none"/>
        </w:rPr>
        <w:t xml:space="preserve"> </w:t>
      </w:r>
      <w:r>
        <w:rPr>
          <w:rFonts w:ascii="Times New Roman;sans-serif" w:hAnsi="Times New Roman;sans-serif"/>
          <w:b/>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ans-serif" w:hAnsi="Times New Roman;sans-serif"/>
          <w:b/>
          <w:i w:val="false"/>
          <w:caps w:val="false"/>
          <w:smallCaps w:val="false"/>
          <w:strike w:val="false"/>
          <w:dstrike w:val="false"/>
          <w:sz w:val="20"/>
          <w:u w:val="none"/>
          <w:effect w:val="none"/>
        </w:rPr>
        <w:t xml:space="preserve">(in thousands, except as otherwise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reflect the application of different bases of accounting as a result of the Business Combination, the tables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provided below separate the Company’s results via a black line into two distinct periods as follows: (1) up to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the Closing Date (labeled “Predecessor”) and (2) the period after that date (labeled “Successor”).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periods after October 1, 2024 are the “Successor” period while the periods before October 2, 2024 are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Predecessor” periods.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believes reviewing our operating results for the twelve-months ended December 31, 2024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combining the results of the Predecessor and Successor periods (“S/P Combined”) is more useful in discussing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overall operating performance when compared to the same period in the prior year. The combined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operations included in our discussion below are not considered to be prepared in accordance with U.S. GAAP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not been prepared as pro forma results under applicable regulations, may not reflect the actual results we would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achieved had the Business Combination occurred at the beginning of fiscal 2024 and should not be viewed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substitute for the results of operations of the Predecessor and Successor periods presented in accordance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GAAP. Accordingly, in addition to presenting our results of operations as reported in our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statements in accordance with GAAP, the tables below present the non-GAAP combined results for the year.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34</w:t>
      </w:r>
    </w:p>
    <w:tbl>
      <w:tblPr>
        <w:tblW w:w="8776" w:type="dxa"/>
        <w:jc w:val="left"/>
        <w:tblInd w:w="0" w:type="dxa"/>
        <w:tblLayout w:type="fixed"/>
        <w:tblCellMar>
          <w:top w:w="28" w:type="dxa"/>
          <w:left w:w="28" w:type="dxa"/>
          <w:bottom w:w="28" w:type="dxa"/>
          <w:right w:w="28" w:type="dxa"/>
        </w:tblCellMar>
      </w:tblPr>
      <w:tblGrid>
        <w:gridCol w:w="2971"/>
        <w:gridCol w:w="946"/>
        <w:gridCol w:w="109"/>
        <w:gridCol w:w="109"/>
        <w:gridCol w:w="946"/>
        <w:gridCol w:w="109"/>
        <w:gridCol w:w="961"/>
        <w:gridCol w:w="109"/>
        <w:gridCol w:w="916"/>
        <w:gridCol w:w="109"/>
        <w:gridCol w:w="601"/>
        <w:gridCol w:w="109"/>
        <w:gridCol w:w="781"/>
      </w:tblGrid>
      <w:tr>
        <w:trPr/>
        <w:tc>
          <w:tcPr>
            <w:tcW w:w="297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S/P Combined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Non-GAAP</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Period from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October 2,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2024 through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December 31,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Period from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January 1,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2024 through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October 1,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Year ended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December 31,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Year ended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December 31,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2023</w:t>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2024 vs 2023 Changes</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w:t>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Revenue</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456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1,220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9.2%</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Operating Expenses</w:t>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Cost of sales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3,752</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777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nil</w:t>
            </w:r>
          </w:p>
        </w:tc>
      </w:tr>
      <w:tr>
        <w:trPr/>
        <w:tc>
          <w:tcPr>
            <w:tcW w:w="297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General and administrative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29,652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26,608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56,260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17,589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38,671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219.9%</w:t>
            </w:r>
          </w:p>
        </w:tc>
      </w:tr>
      <w:tr>
        <w:trPr/>
        <w:tc>
          <w:tcPr>
            <w:tcW w:w="297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Sales and marketing</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2,009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6,187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3,205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2,982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93.0%</w:t>
            </w:r>
          </w:p>
        </w:tc>
      </w:tr>
      <w:tr>
        <w:trPr/>
        <w:tc>
          <w:tcPr>
            <w:tcW w:w="297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Research and development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5,340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5,978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7,317</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182.9%</w:t>
            </w:r>
          </w:p>
        </w:tc>
      </w:tr>
      <w:tr>
        <w:trPr/>
        <w:tc>
          <w:tcPr>
            <w:tcW w:w="2971" w:type="dxa"/>
            <w:tcBorders/>
            <w:shd w:fill="FFFF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Total Operating Expenses</w:t>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40,753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37,541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78,294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24,795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53,499</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215.8%</w:t>
            </w:r>
          </w:p>
        </w:tc>
      </w:tr>
      <w:tr>
        <w:trPr/>
        <w:tc>
          <w:tcPr>
            <w:tcW w:w="297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Loss from Operations</w:t>
            </w:r>
          </w:p>
        </w:tc>
        <w:tc>
          <w:tcPr>
            <w:tcW w:w="94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(40,297)</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(36,777)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(77,074)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(23,678)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(53,396)</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225.5%</w:t>
            </w:r>
          </w:p>
        </w:tc>
      </w:tr>
      <w:tr>
        <w:trPr/>
        <w:tc>
          <w:tcPr>
            <w:tcW w:w="297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Non-operating (Expense) and Income</w:t>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Interest expense,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(1,132)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98.7%</w:t>
            </w:r>
          </w:p>
        </w:tc>
      </w:tr>
      <w:tr>
        <w:trPr/>
        <w:tc>
          <w:tcPr>
            <w:tcW w:w="297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Net gain (loss) from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11,547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11,547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(6,448)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17,995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279.1%</w:t>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 xml:space="preserve">Net (loss) gain on investments - due to related </w:t>
            </w:r>
          </w:p>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parties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(301.7)%</w:t>
            </w:r>
          </w:p>
        </w:tc>
      </w:tr>
      <w:tr>
        <w:trPr/>
        <w:tc>
          <w:tcPr>
            <w:tcW w:w="297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Change in fair value of financial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(20,946)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(21,424)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766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(22,190)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(2,896.9)%</w:t>
            </w:r>
          </w:p>
        </w:tc>
      </w:tr>
      <w:tr>
        <w:trPr/>
        <w:tc>
          <w:tcPr>
            <w:tcW w:w="297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Equity method investment (loss)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(902)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893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(632)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623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(98.6)%</w:t>
            </w:r>
          </w:p>
        </w:tc>
      </w:tr>
      <w:tr>
        <w:trPr/>
        <w:tc>
          <w:tcPr>
            <w:tcW w:w="297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Loss on conversion of 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nil</w:t>
            </w:r>
          </w:p>
        </w:tc>
      </w:tr>
      <w:tr>
        <w:trPr/>
        <w:tc>
          <w:tcPr>
            <w:tcW w:w="297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Write-off of loan commitment fee asset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(10,041)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(10,041)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(10,041)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nil</w:t>
            </w:r>
          </w:p>
        </w:tc>
      </w:tr>
      <w:tr>
        <w:trPr/>
        <w:tc>
          <w:tcPr>
            <w:tcW w:w="297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Miscellaneous other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(57)</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nm*</w:t>
            </w:r>
          </w:p>
        </w:tc>
      </w:tr>
      <w:tr>
        <w:trPr/>
        <w:tc>
          <w:tcPr>
            <w:tcW w:w="297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Total Non-operating (Expense) Income</w:t>
            </w:r>
          </w:p>
        </w:tc>
        <w:tc>
          <w:tcPr>
            <w:tcW w:w="94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(33,078)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9,011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(24,067)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(7,306)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(16,761)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229.4%</w:t>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Income tax expense (benefit)</w:t>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(3,282)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(2,850)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(2,850)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nm*</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Net Loss</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(70,093)</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(28,198)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$(98,291)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(30,984)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(67,307)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217.2%</w:t>
            </w:r>
          </w:p>
        </w:tc>
      </w:tr>
      <w:tr>
        <w:trPr/>
        <w:tc>
          <w:tcPr>
            <w:tcW w:w="297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Less: net loss attributable to</w:t>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Non-redeemable non-controlling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(8,339)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(11,762)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$(20,101)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(19,962)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14,361.2%</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Net Loss Attributable to Innventure, Inc.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Stockholders / Innventure LLC Unitholders</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(61,754)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(16,436)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(78,190)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(30,845)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(47,345)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153.5%</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Other comprehensive income, net of taxes:</w:t>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 xml:space="preserve">Unrealized gain on available-for-sale debt </w:t>
            </w:r>
          </w:p>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securities - related party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909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971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nil</w:t>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Total other comprehensive loss, net of taxes</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909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$971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971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nil</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Total comprehensive loss, net of taxes</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(69,184)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(28,136)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(97,320)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(30,984)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(66,336)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214.1%</w:t>
            </w:r>
          </w:p>
        </w:tc>
      </w:tr>
      <w:tr>
        <w:trPr/>
        <w:tc>
          <w:tcPr>
            <w:tcW w:w="297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Less: comprehensive income attributable to</w:t>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4"/>
                <w:u w:val="none"/>
                <w:effect w:val="none"/>
              </w:rPr>
              <w:t>Non-redeemable non-controlling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4"/>
                <w:u w:val="none"/>
                <w:effect w:val="none"/>
              </w:rPr>
              <w:t>...........</w:t>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(8,339)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(11,762)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(20,101)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(19,962)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4"/>
                <w:u w:val="none"/>
                <w:effect w:val="none"/>
              </w:rPr>
            </w:pPr>
            <w:r>
              <w:rPr>
                <w:rFonts w:ascii="Times New Roman;sans-serif" w:hAnsi="Times New Roman;sans-serif"/>
                <w:b w:val="false"/>
                <w:i w:val="false"/>
                <w:caps w:val="false"/>
                <w:smallCaps w:val="false"/>
                <w:strike w:val="false"/>
                <w:dstrike w:val="false"/>
                <w:color w:val="000000"/>
                <w:sz w:val="14"/>
                <w:u w:val="none"/>
                <w:effect w:val="none"/>
              </w:rPr>
              <w:t>14,361.2%</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Net Comprehensive Loss Attributable to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 xml:space="preserve">Innventure, Inc. Stockholders / Innventure LLC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Unitholders</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(60,845)</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(16,374)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(77,219)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(30,845)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(46,374)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4"/>
                <w:u w:val="none"/>
                <w:effect w:val="none"/>
              </w:rPr>
            </w:pPr>
            <w:r>
              <w:rPr>
                <w:rFonts w:ascii="Times New Roman;sans-serif" w:hAnsi="Times New Roman;sans-serif"/>
                <w:b/>
                <w:i w:val="false"/>
                <w:caps w:val="false"/>
                <w:smallCaps w:val="false"/>
                <w:strike w:val="false"/>
                <w:dstrike w:val="false"/>
                <w:color w:val="000000"/>
                <w:sz w:val="14"/>
                <w:u w:val="none"/>
                <w:effect w:val="none"/>
              </w:rPr>
              <w:t>150.3%</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*not meaningful</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Revenue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Revenue was $456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Successor period from October 2, 2024 through December 31, 2024, $764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$1,117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35</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2023. Revenue for the combined twelve 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$1,220,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$103, or 9.2%, over the comparable period for the Predecessor year ended December 31, 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primarily due to new product sales within the Technology segment during the combined twelve months ended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partially offset by non-recurring consulting revenue provided to certain third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parties for the Predecessor year ended December 31, 2023.</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Cost of sales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Cost of sales was $3,752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Successor period from October 2, 2024 through December 31, 2024, $777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nil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2023. Cost of sales for the combined twelve 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$4,529, an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$4,529, over the comparable period for the Predecessor year ended December 31, 2023. The increase</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was due to the fact that the Technology segment was pre-revenue for the Predecessor year ended December 31, 2023</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started generating revenue from product sales during the combined twelve months ended December 31, 2024.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Cost of sales relate to those costs incurred to generate the new product sale revenue as well as the amortization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expense of $2,065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associated with the recognition of intangibles of the Technology segment as part of the Business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Combination.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General and administrative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General and administrative expense was $29,652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$26,608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$17,589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Predecessor year ended December 31, 2023. General and administrative expense for the combined twelve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$56,260,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$38,671, or 219.9%, over the comparable period 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Predecessor year ended December 31, 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expenditure was primarily attributed to an increase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professional services, legal fees and consulting fees related to the Business Combination of $17,600.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remaining increase in expenditure was due to increased employee costs associated with increased bonuses and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based compensation grants.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Sales and marketing</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Sales and marketing expense was $2,009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$4,178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$3,205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year ended December 31, 2023. Sales and marketing expense for the combined twelve months ended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$6,187,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$2,982, or 93.0%, over the comparable period for the Predecessor year ended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primarily due to increased compensation costs as a result of increased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headcount across the business and increases in advertising and marketing related events and expenses associated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the commercialization phase of the Technology segment.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Research and development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Research and Development (“R&amp;D”) expense was $5,340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through December 31, 2024, $5,978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$4,001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December 31, 2023. R&amp;D expense for the combined twelve months ended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$11,318,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$7,317, or 182.9%, over the comparable period for the Predecessor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year ended December 31, 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primarily due to an increase in employee-related costs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Technology segment and an increase in new product development costs.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Interest expense, net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 expense, net was $1,132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December 31,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$1,300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$1,224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ended December 31, 2023. Interest expense, net for the combined twelve 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$2,432,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$1,208, or 98.7%, over the comparable period for the Predecessor year ended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primarily due to an increase in facilities and borrowings between the periods as well as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increased cost of borrowing experienced during the Successor period.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36</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Net gain (loss) from investments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Net gain on investments was nil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December 31,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$11,547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net loss on investments was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$6,448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December 31, 2023. Net gain on investments for the combined twelve months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$11,547,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$17,995, or 279.1%, over the comparable period for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Predecessor year ended December 31, 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due to  the unrealized gain on investment in PCT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owned stock via Class PCTA Units (as defined below) for the year ended December 31, 2024. The PCTA associated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assets were not recognized as part of the Business Combination.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Net (loss) gain on investments - due to related parties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Net loss on investments – due to related parties was nil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$468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net gain 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investments was $232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December 31, 2023. Net loss on investments – due to related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parties for the combined twelve 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$468, a decrease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$700, or 301.7%, over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comparable period for the Predecessor year ended December 31, 2023. The decrease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primarily due to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increase in fair value of liability - PCT stock owed to others. The PCTA associated liabilities were not recognized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part of the Business Combination.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Change in fair value of financial liabilities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fair value of financial liabilities increased by $20,946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through December 31, 2024, increased by $478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Predecessor period from January 1, 2024 through October 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and decreased by $766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December 31, 2023. The fair value of financial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liabilities for the combined twelve 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increased by $21,424,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$22,190,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or 2,896.9%, over the comparable period for the Predecessor year ended December 31, 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primarily due to increases in fair value adjustments for warrants and earnout liabilities, which were offset by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adjustments in the fair value of embedded derivative liabilities.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Equity method investment (loss) income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Equity method investment loss was $902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equity method investment gain was $893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Predecessor period from January 1, 2024 through October 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equity method investment loss was $632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December 31, 2023. Equity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method investment loss for the combined twelve 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$9, a decrease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$623,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98.6%, over the comparable period for the Predecessor year ended December 31, 2023. The loss in 2023 of $632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recognized represented nonrecurring allocated losses from the ESG Fund and AeroFlexx. The gain in 2024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primarily due to a non-recurring allocated gain from the ESG Fund offset by a non-recurring allocated loss from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of AeroFlexx.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Loss on conversion of promissory notes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Loss on conversion of promissory notes was nil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$1,119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nil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Predecessor year ended December 31, 2023. Loss on conversion of promissory notes for the combined twelve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$1,119,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$1,119, over the comparable period for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Predecessor year ended December 31, 2023. This was due to the automatic conversion of promissory notes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first quarter of 2024 into equity instruments which was treated as an extinguishment thereby generating a loss. There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was no equivalent transaction in 2023.</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Write-off of loan commitment fee asset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Write-off of loan commitment fee asset was $10,041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nil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from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nil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Predecessor year ended December 31, 2023. Write-off of loan commitment fee asset for the combined twelve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37</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$10,041,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$10,041, over the comparable period for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Predecessor year ended December 31, 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due to a one-time write-off of loan commitment fees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related to the WTI Fund loan and security agreement where the Company was unable to draw down subsequent loan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tranches because it had not met certain revenue and net loss targets set by the lender. These fees included warrants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fees incurred in securing the WTI loans.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Loss attributable to non-redeemable non-controlling interests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Loss attributable to non-redeemable non-controlling interests was $8,339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 2024 through December 31, 2024, $11,762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Predecessor period 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$139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December 31, 2023. Loss attributable to non-redeemable non-controlling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interests for the combined twelve 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$20,101,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$19,962,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14,361.2%, over the comparable period for the Predecessor year ended December 31, 2023. This was due to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increase in Accelsius loss subject to allocable percentage during the year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compared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year ended December 31, 2023.</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Unrealized gain on available-for-sale debt securities - related party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Unrealized gain on available-for-sale debt securities - related party, was a gain of $909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from October 2, 2024 through December 31, 2024, a loss of $62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Predecessor period January 1, 2024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nil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Predecessor year ended December 31, 2023. Unrealized gain (loss) on available-for-</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sale debt securities - related party for the combined twelve months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$971, an increase</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$971, over the comparable period for the Predecessor year ended December 31, 2023.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due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conversion of working capital advances to investments in debt securities which are classified as available-for-sale.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Non-GAAP Financial Measures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use certain financial measures that are not calculated in accordance with generally accepted accounting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principles in the U.S. GAAP to supplement our consolidated financial statements. These non-GAAP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measures provide additional information to investors to facilitate comparisons of past and present operating results,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identify trends in our underlying operating performance, and offer greater transparency on how we evaluate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activities. These measures are integral to our processes for budgeting, managing operations, making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strategic decisions, and evaluating our performance.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primary non-GAAP financial measures are EBITDA and Adjusted EBITDA. We define EBITDA as net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income before interest, income taxes, and depreciation and amortization. Adjusted EBITDA is defined as EBITDA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 adjusted to exclude certain non-cash items, non-recurring expenses, and other items that are not indicative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core operating activities. These may include stock-based compensation, acquisition costs, and other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items. We believe Adjusted EBITDA is valuable for investors and analysts as it provides additional insight into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operational performance, excluding the impacts of certain financing, investing, and other non-operational activities.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measure helps in comparing our current operating results with prior periods and with those of other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our industry. It is also used internally for allocating resources efficiently, assessing the economic outcomes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acquisitions and strategic decisions, and evaluating the performance of our management team.</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There are limitations to Adjusted EBITDA, including its exclusion of cash expenditures, future requirements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expenditures and contractual commitments, and changes in or cash requirements for working capital needs.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Adjusted EBITDA also omits significant interest expenses and related cash requirements for interest and payments.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While depreciation and amortization are non-cash charges, the associated assets will often need to be replaced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future, and Adjusted EBITDA does not reflect the cash required for such replacements. Additionally, Adjusted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EBITDA does not account for income or other taxes or necessary cash tax payments.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Investors should use caution when comparing our non-GAAP measure to similar metrics used by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as definitions can vary. Adjusted EBITDA should not be considered in isolation or as a substitute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GAAP financial measures.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presenting Adjusted EBITDA, we aim to provide investors with an additional tool for assessing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operational performance of our business. It serves as a useful complement to our GAAP results, offering a more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comprehensive understanding of our financial health and operational efficiencies.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provides a reconciliation from Net Loss to EBITDA and Adjusted EBITDA for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specified periods:</w:t>
      </w:r>
    </w:p>
    <w:tbl>
      <w:tblPr>
        <w:tblW w:w="9550" w:type="dxa"/>
        <w:jc w:val="left"/>
        <w:tblInd w:w="0" w:type="dxa"/>
        <w:tblLayout w:type="fixed"/>
        <w:tblCellMar>
          <w:top w:w="28" w:type="dxa"/>
          <w:left w:w="28" w:type="dxa"/>
          <w:bottom w:w="28" w:type="dxa"/>
          <w:right w:w="28" w:type="dxa"/>
        </w:tblCellMar>
      </w:tblPr>
      <w:tblGrid>
        <w:gridCol w:w="3931"/>
        <w:gridCol w:w="1336"/>
        <w:gridCol w:w="109"/>
        <w:gridCol w:w="109"/>
        <w:gridCol w:w="109"/>
        <w:gridCol w:w="1381"/>
        <w:gridCol w:w="109"/>
        <w:gridCol w:w="1171"/>
        <w:gridCol w:w="109"/>
        <w:gridCol w:w="1186"/>
      </w:tblGrid>
      <w:tr>
        <w:trPr/>
        <w:tc>
          <w:tcPr>
            <w:tcW w:w="39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Successor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Predecessor </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S/P Combined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Period from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Period from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(98,291)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(30,984)</w:t>
            </w:r>
          </w:p>
        </w:tc>
      </w:tr>
      <w:tr>
        <w:trPr/>
        <w:tc>
          <w:tcPr>
            <w:tcW w:w="39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Interest expense, net</w:t>
            </w:r>
            <w:r>
              <w:rPr>
                <w:rFonts w:ascii="Times New Roman;sans-serif" w:hAnsi="Times New Roman;sans-serif"/>
                <w:b w:val="false"/>
                <w:i w:val="false"/>
                <w:caps w:val="false"/>
                <w:smallCaps w:val="false"/>
                <w:strike w:val="false"/>
                <w:dstrike w:val="false"/>
                <w:sz w:val="13"/>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12,473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1,224</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Depreciation and amortization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w:t>
            </w:r>
          </w:p>
        </w:tc>
      </w:tr>
      <w:tr>
        <w:trPr/>
        <w:tc>
          <w:tcPr>
            <w:tcW w:w="39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Provision for income taxes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EBITDA</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(29,752)</w:t>
            </w:r>
          </w:p>
        </w:tc>
      </w:tr>
      <w:tr>
        <w:trPr/>
        <w:tc>
          <w:tcPr>
            <w:tcW w:w="39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Transaction and other related costs</w:t>
            </w:r>
            <w:r>
              <w:rPr>
                <w:rFonts w:ascii="Times New Roman;sans-serif" w:hAnsi="Times New Roman;sans-serif"/>
                <w:b w:val="false"/>
                <w:i w:val="false"/>
                <w:caps w:val="false"/>
                <w:smallCaps w:val="false"/>
                <w:strike w:val="false"/>
                <w:dstrike w:val="false"/>
                <w:sz w:val="13"/>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9,414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3,452</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Change in fair value of financial liabilities</w:t>
            </w:r>
            <w:r>
              <w:rPr>
                <w:rFonts w:ascii="Times New Roman;sans-serif" w:hAnsi="Times New Roman;sans-serif"/>
                <w:b w:val="false"/>
                <w:i w:val="false"/>
                <w:caps w:val="false"/>
                <w:smallCaps w:val="false"/>
                <w:strike w:val="false"/>
                <w:dstrike w:val="false"/>
                <w:sz w:val="13"/>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21,424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(766)</w:t>
            </w:r>
          </w:p>
        </w:tc>
      </w:tr>
      <w:tr>
        <w:trPr/>
        <w:tc>
          <w:tcPr>
            <w:tcW w:w="39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Stock based compensation</w:t>
            </w:r>
            <w:r>
              <w:rPr>
                <w:rFonts w:ascii="Times New Roman;sans-serif" w:hAnsi="Times New Roman;sans-serif"/>
                <w:b w:val="false"/>
                <w:i w:val="false"/>
                <w:caps w:val="false"/>
                <w:smallCaps w:val="false"/>
                <w:strike w:val="false"/>
                <w:dstrike w:val="false"/>
                <w:sz w:val="13"/>
                <w:u w:val="none"/>
                <w:effect w:val="none"/>
              </w:rPr>
              <w:t>(4)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16,338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17,394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910</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Adjusted EBITDA</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(16,236)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(26,156)</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(1)Interest expense, net – For the combined twelve months ended December 31, 2024, interest expense, net includes interest incurred on our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various borrowing facilities and the amortization of debt issuance costs. Additional debt issuance cost associated with a loan commitment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fee asset in the amount of $10,041 was written off in combined twelve months ended December 31, 2024 and has also been included in this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adjustment. This amount is representative of the asset associated with the second and third tranches of the WTI facility. When it became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known that we would not be able to draw on these subsequent tranches based on certain metrics contained within the WTI Facility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agreement, we immediately wrote this asset off. For the Predecessor year ended December 31, 2023, this balance is comprised entirely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interest incurred on our various borrowing facilities.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(2)Transaction and other related costs – For the combined twelve months ended December 31, 2024 and for the Predecessor year ended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December 31, 2023 this is comprised entirely of consulting, legal, and other professional fees related to the “Business Combination.</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(3)Change in fair value of financial liabilities – For the combined twelve months ended December 31, 2024 the change in fair value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financial liabilities primarily consists of the change in fair value of the warrant liability, change in fair value of the earnout liability, and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change in the fair value of the embedded derivative associated with convertible notes prior to extinguishment. For the Predecessor year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ended December 31, 2023, this is comprised entirely of the change in fair value of the embedded derivative associated with the convertible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notes.</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(4)Stock based compensation – For the combined twelve months ended December 31, 2024 stock based compensation primarily consisted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awards in the 2024 Equity and Incentive Compensation Plan entered into on October 2, 2024 subsequent to the Business Combination.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These awards consisted of Stock Options, RSUs, and Stock Appreciation Rights. Further, a portion of this expense was related to share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based payment employee incentive plans in existence at Innventure LLC and other subsidiaries. For the Predecessor year ended December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31, 2023, stock based compensation was comprised wholly of share based payment employee incentive plans in existence at Innventure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LLC and other subsidiaries.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Liquidity and Capital Resources (in thousands, except as otherwise noted)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Sources of Liquidity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assessing liquidity, we monitor and analyze cash on hand and operating expenditure commitments.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liquidity needs are to meet working capital requirements and operating expense obligations. To date we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financed our operations primarily through cash flows from investing and financing activities.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39</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is a summary of the components of our current liquidity:</w:t>
      </w:r>
    </w:p>
    <w:tbl>
      <w:tblPr>
        <w:tblW w:w="8895" w:type="dxa"/>
        <w:jc w:val="left"/>
        <w:tblInd w:w="0" w:type="dxa"/>
        <w:tblLayout w:type="fixed"/>
        <w:tblCellMar>
          <w:top w:w="28" w:type="dxa"/>
          <w:left w:w="28" w:type="dxa"/>
          <w:bottom w:w="28" w:type="dxa"/>
          <w:right w:w="28" w:type="dxa"/>
        </w:tblCellMar>
      </w:tblPr>
      <w:tblGrid>
        <w:gridCol w:w="6241"/>
        <w:gridCol w:w="1141"/>
        <w:gridCol w:w="109"/>
        <w:gridCol w:w="109"/>
        <w:gridCol w:w="109"/>
        <w:gridCol w:w="1186"/>
      </w:tblGrid>
      <w:tr>
        <w:trPr/>
        <w:tc>
          <w:tcPr>
            <w:tcW w:w="62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241"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6241"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2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Cash and cash equivalents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$2,475</w:t>
            </w:r>
          </w:p>
        </w:tc>
      </w:tr>
      <w:tr>
        <w:trPr/>
        <w:tc>
          <w:tcPr>
            <w:tcW w:w="62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Restricted cash</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w:t>
            </w:r>
          </w:p>
        </w:tc>
      </w:tr>
      <w:tr>
        <w:trPr/>
        <w:tc>
          <w:tcPr>
            <w:tcW w:w="62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Working capital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(45,061)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(2,504)</w:t>
            </w:r>
          </w:p>
        </w:tc>
      </w:tr>
      <w:tr>
        <w:trPr/>
        <w:tc>
          <w:tcPr>
            <w:tcW w:w="62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Accumulated deficit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$(64,284)</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future liquidity requirements will depend on many factors, including funding required by our Operating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funding needed to support other business opportunities and expenditures, and funding for working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and general corporate purposes. Based on current expectations, we estimate we will require at least $50,000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meet our liquidity requirements for the next 12 months.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expect to satisfy our liquidity requirements through cash on hand, cash generated from the operations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Operating Companies, the SEPA with Yorkville (maximum remaining availability of approximately $72,000),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Convertible Debentures to be issued to Yorkville, as well as proceeds from additional financings completed by us 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our Operating Companies.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During the year ended December 31, 2024, the Technology segment raised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approximately $18,898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additional equity financing, in comparison to approximately $250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during the year ended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December 31, 2023.  In connection with our current business strategy, we intend to conduct additional fundraising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up to $25,000 to fund capital expenditures and other expenses to support the growth of the business.</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Bridge Financing</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On August 20, 2024, the Company entered into </w:t>
      </w:r>
      <w:r>
        <w:rPr>
          <w:rFonts w:ascii="Times New Roman;sans-serif" w:hAnsi="Times New Roman;sans-serif"/>
          <w:b w:val="false"/>
          <w:i w:val="false"/>
          <w:caps w:val="false"/>
          <w:smallCaps w:val="false"/>
          <w:sz w:val="20"/>
        </w:rPr>
        <w:t xml:space="preserve">unsecured promissory notes with </w:t>
      </w:r>
      <w:r>
        <w:rPr>
          <w:rFonts w:ascii="Times New Roman;sans-serif" w:hAnsi="Times New Roman;sans-serif"/>
          <w:b w:val="false"/>
          <w:i w:val="false"/>
          <w:caps w:val="false"/>
          <w:smallCaps w:val="false"/>
          <w:strike w:val="false"/>
          <w:dstrike w:val="false"/>
          <w:sz w:val="20"/>
          <w:u w:val="none"/>
          <w:effect w:val="none"/>
        </w:rPr>
        <w:t>two</w:t>
      </w:r>
      <w:r>
        <w:rPr>
          <w:caps w:val="false"/>
          <w:smallCaps w:val="false"/>
          <w:sz w:val="24"/>
        </w:rPr>
        <w:t xml:space="preserve"> </w:t>
      </w:r>
      <w:r>
        <w:rPr>
          <w:rFonts w:ascii="Times New Roman;sans-serif" w:hAnsi="Times New Roman;sans-serif"/>
          <w:b w:val="false"/>
          <w:i w:val="false"/>
          <w:caps w:val="false"/>
          <w:smallCaps w:val="false"/>
          <w:sz w:val="20"/>
        </w:rPr>
        <w:t xml:space="preserve">related parties 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principal amounts of $</w:t>
      </w:r>
      <w:r>
        <w:rPr>
          <w:rFonts w:ascii="Times New Roman;sans-serif" w:hAnsi="Times New Roman;sans-serif"/>
          <w:b w:val="false"/>
          <w:i w:val="false"/>
          <w:caps w:val="false"/>
          <w:smallCaps w:val="false"/>
          <w:strike w:val="false"/>
          <w:dstrike w:val="false"/>
          <w:sz w:val="20"/>
          <w:u w:val="none"/>
          <w:effect w:val="none"/>
        </w:rPr>
        <w:t>10,000</w:t>
      </w:r>
      <w:r>
        <w:rPr>
          <w:caps w:val="false"/>
          <w:smallCaps w:val="false"/>
          <w:sz w:val="24"/>
        </w:rPr>
        <w:t xml:space="preserve"> </w:t>
      </w:r>
      <w:r>
        <w:rPr>
          <w:rFonts w:ascii="Times New Roman;sans-serif" w:hAnsi="Times New Roman;sans-serif"/>
          <w:b w:val="false"/>
          <w:i w:val="false"/>
          <w:caps w:val="false"/>
          <w:smallCaps w:val="false"/>
          <w:sz w:val="20"/>
        </w:rPr>
        <w:t>and $</w:t>
      </w:r>
      <w:r>
        <w:rPr>
          <w:rFonts w:ascii="Times New Roman;sans-serif" w:hAnsi="Times New Roman;sans-serif"/>
          <w:b w:val="false"/>
          <w:i w:val="false"/>
          <w:caps w:val="false"/>
          <w:smallCaps w:val="false"/>
          <w:strike w:val="false"/>
          <w:dstrike w:val="false"/>
          <w:sz w:val="20"/>
          <w:u w:val="none"/>
          <w:effect w:val="none"/>
        </w:rPr>
        <w:t>2,000</w:t>
      </w:r>
      <w:r>
        <w:rPr>
          <w:rFonts w:ascii="Times New Roman;sans-serif" w:hAnsi="Times New Roman;sans-serif"/>
          <w:b w:val="false"/>
          <w:i w:val="false"/>
          <w:caps w:val="false"/>
          <w:smallCaps w:val="false"/>
          <w:sz w:val="20"/>
        </w:rPr>
        <w:t xml:space="preserve">, respectively. The Company entered into amended and restated agreements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amend the terms of these unsecured promissory notes on October 1, 2024. As per the original agreements,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note with the first party contained a loan fee of </w:t>
      </w:r>
      <w:r>
        <w:rPr>
          <w:rFonts w:ascii="Times New Roman;sans-serif" w:hAnsi="Times New Roman;sans-serif"/>
          <w:b w:val="false"/>
          <w:i w:val="false"/>
          <w:caps w:val="false"/>
          <w:smallCaps w:val="false"/>
          <w:strike w:val="false"/>
          <w:dstrike w:val="false"/>
          <w:sz w:val="20"/>
          <w:u w:val="none"/>
          <w:effect w:val="none"/>
        </w:rPr>
        <w:t>$1,000</w:t>
      </w:r>
      <w:r>
        <w:rPr>
          <w:caps w:val="false"/>
          <w:smallCaps w:val="false"/>
          <w:sz w:val="24"/>
        </w:rPr>
        <w:t xml:space="preserve"> </w:t>
      </w:r>
      <w:r>
        <w:rPr>
          <w:rFonts w:ascii="Times New Roman;sans-serif" w:hAnsi="Times New Roman;sans-serif"/>
          <w:b w:val="false"/>
          <w:i w:val="false"/>
          <w:caps w:val="false"/>
          <w:smallCaps w:val="false"/>
          <w:sz w:val="20"/>
        </w:rPr>
        <w:t xml:space="preserve">which was payable with the repayment of the principal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amount of the note and the note with the second party contained interest at the rate of </w:t>
      </w:r>
      <w:r>
        <w:rPr>
          <w:rFonts w:ascii="Times New Roman;sans-serif" w:hAnsi="Times New Roman;sans-serif"/>
          <w:b w:val="false"/>
          <w:i w:val="false"/>
          <w:caps w:val="false"/>
          <w:smallCaps w:val="false"/>
          <w:strike w:val="false"/>
          <w:dstrike w:val="false"/>
          <w:sz w:val="20"/>
          <w:u w:val="none"/>
          <w:effect w:val="none"/>
        </w:rPr>
        <w:t>11.50%</w:t>
      </w:r>
      <w:r>
        <w:rPr>
          <w:caps w:val="false"/>
          <w:smallCaps w:val="false"/>
          <w:sz w:val="24"/>
        </w:rPr>
        <w:t xml:space="preserve"> </w:t>
      </w:r>
      <w:r>
        <w:rPr>
          <w:rFonts w:ascii="Times New Roman;sans-serif" w:hAnsi="Times New Roman;sans-serif"/>
          <w:b w:val="false"/>
          <w:i w:val="false"/>
          <w:caps w:val="false"/>
          <w:smallCaps w:val="false"/>
          <w:sz w:val="20"/>
        </w:rPr>
        <w:t xml:space="preserve">per annum.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principal amounts, loan fees and accrued interest were repayable at the earlier of October 15, 2024 and the first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business day following the date of consummation of the Business Combination.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per the amended note with the first party, the maturity date was extended to the earlier of (i) January 31,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2025 and (ii) the first business day following the date on which the Company has sufficient capital to be able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repay all amounts outstanding under the note and otherwise meet its expected working capital needs as determined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by the Company in its reasonable discretion. The loan fee of </w:t>
      </w:r>
      <w:r>
        <w:rPr>
          <w:rFonts w:ascii="Times New Roman;sans-serif" w:hAnsi="Times New Roman;sans-serif"/>
          <w:b w:val="false"/>
          <w:i w:val="false"/>
          <w:caps w:val="false"/>
          <w:smallCaps w:val="false"/>
          <w:strike w:val="false"/>
          <w:dstrike w:val="false"/>
          <w:sz w:val="20"/>
          <w:u w:val="none"/>
          <w:effect w:val="none"/>
        </w:rPr>
        <w:t>$1,000</w:t>
      </w:r>
      <w:r>
        <w:rPr>
          <w:rFonts w:ascii="Times New Roman;sans-serif" w:hAnsi="Times New Roman;sans-serif"/>
          <w:b w:val="false"/>
          <w:i w:val="false"/>
          <w:caps w:val="false"/>
          <w:smallCaps w:val="false"/>
          <w:sz w:val="20"/>
        </w:rPr>
        <w:t xml:space="preserve">, required under the original agreement, became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due on or around the amendment date but as of </w:t>
      </w: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z w:val="20"/>
        </w:rPr>
        <w:t xml:space="preserve">has not yet been paid and interest will accrue at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the rate of </w:t>
      </w:r>
      <w:r>
        <w:rPr>
          <w:rFonts w:ascii="Times New Roman;sans-serif" w:hAnsi="Times New Roman;sans-serif"/>
          <w:b w:val="false"/>
          <w:i w:val="false"/>
          <w:caps w:val="false"/>
          <w:smallCaps w:val="false"/>
          <w:strike w:val="false"/>
          <w:dstrike w:val="false"/>
          <w:sz w:val="20"/>
          <w:u w:val="none"/>
          <w:effect w:val="none"/>
        </w:rPr>
        <w:t>15.99%</w:t>
      </w:r>
      <w:r>
        <w:rPr>
          <w:caps w:val="false"/>
          <w:smallCaps w:val="false"/>
          <w:sz w:val="24"/>
        </w:rPr>
        <w:t xml:space="preserve"> </w:t>
      </w:r>
      <w:r>
        <w:rPr>
          <w:rFonts w:ascii="Times New Roman;sans-serif" w:hAnsi="Times New Roman;sans-serif"/>
          <w:b w:val="false"/>
          <w:i w:val="false"/>
          <w:caps w:val="false"/>
          <w:smallCaps w:val="false"/>
          <w:sz w:val="20"/>
        </w:rPr>
        <w:t xml:space="preserve">per annum until paid. The amendment was accounted for as a troubled debt restructuring as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was provided a concession through a decrease in the effective interest rate. However, no gain or loss was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recognized as a result.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per the amended note with the second party, the maturity date was extended to January 31, 2025 and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interest rate was increased to </w:t>
      </w:r>
      <w:r>
        <w:rPr>
          <w:rFonts w:ascii="Times New Roman;sans-serif" w:hAnsi="Times New Roman;sans-serif"/>
          <w:b w:val="false"/>
          <w:i w:val="false"/>
          <w:caps w:val="false"/>
          <w:smallCaps w:val="false"/>
          <w:strike w:val="false"/>
          <w:dstrike w:val="false"/>
          <w:sz w:val="20"/>
          <w:u w:val="none"/>
          <w:effect w:val="none"/>
        </w:rPr>
        <w:t>13.50%</w:t>
      </w:r>
      <w:r>
        <w:rPr>
          <w:caps w:val="false"/>
          <w:smallCaps w:val="false"/>
          <w:sz w:val="24"/>
        </w:rPr>
        <w:t xml:space="preserve"> </w:t>
      </w:r>
      <w:r>
        <w:rPr>
          <w:rFonts w:ascii="Times New Roman;sans-serif" w:hAnsi="Times New Roman;sans-serif"/>
          <w:b w:val="false"/>
          <w:i w:val="false"/>
          <w:caps w:val="false"/>
          <w:smallCaps w:val="false"/>
          <w:sz w:val="20"/>
        </w:rPr>
        <w:t xml:space="preserve">per annum. Additionally, </w:t>
      </w:r>
      <w:r>
        <w:rPr>
          <w:rFonts w:ascii="Times New Roman;sans-serif" w:hAnsi="Times New Roman;sans-serif"/>
          <w:b w:val="false"/>
          <w:i w:val="false"/>
          <w:caps w:val="false"/>
          <w:smallCaps w:val="false"/>
          <w:strike w:val="false"/>
          <w:dstrike w:val="false"/>
          <w:sz w:val="20"/>
          <w:u w:val="none"/>
          <w:effect w:val="none"/>
        </w:rPr>
        <w:t>$1,000</w:t>
      </w:r>
      <w:r>
        <w:rPr>
          <w:caps w:val="false"/>
          <w:smallCaps w:val="false"/>
          <w:sz w:val="24"/>
        </w:rPr>
        <w:t xml:space="preserve"> </w:t>
      </w:r>
      <w:r>
        <w:rPr>
          <w:rFonts w:ascii="Times New Roman;sans-serif" w:hAnsi="Times New Roman;sans-serif"/>
          <w:b w:val="false"/>
          <w:i w:val="false"/>
          <w:caps w:val="false"/>
          <w:smallCaps w:val="false"/>
          <w:sz w:val="20"/>
        </w:rPr>
        <w:t xml:space="preserve">of the principal amount became due on 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around the amendment date but as of </w:t>
      </w: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z w:val="20"/>
        </w:rPr>
        <w:t>has not yet been paid.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20, 2025, the Company entered into agreements to convert and repay the aggregate principal amount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these unsecured promissory notes with the two related parties and, on March 24, 2025, issued shares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Company’s Series C preferred stock, par value $0.0001 per share (the “Series C Preferred Stock”) and paid cash to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settle these unsecured promissory notes with the two unrelated parties.  See “</w:t>
      </w:r>
      <w:r>
        <w:rPr>
          <w:rFonts w:ascii="Times New Roman;sans-serif" w:hAnsi="Times New Roman;sans-serif"/>
          <w:b w:val="false"/>
          <w:i/>
          <w:sz w:val="20"/>
        </w:rPr>
        <w:t xml:space="preserve">Certain Relationships and Related </w:t>
      </w:r>
    </w:p>
    <w:p>
      <w:pPr>
        <w:pStyle w:val="TextBody"/>
        <w:bidi w:val="0"/>
        <w:spacing w:lineRule="atLeast" w:line="200" w:before="0" w:after="0"/>
        <w:jc w:val="left"/>
        <w:rPr/>
      </w:pPr>
      <w:r>
        <w:rPr>
          <w:rFonts w:ascii="Times New Roman;sans-serif" w:hAnsi="Times New Roman;sans-serif"/>
          <w:b w:val="false"/>
          <w:i/>
          <w:sz w:val="20"/>
        </w:rPr>
        <w:t xml:space="preserve">Party Transactions” </w:t>
      </w:r>
      <w:r>
        <w:rPr>
          <w:rFonts w:ascii="Times New Roman;sans-serif" w:hAnsi="Times New Roman;sans-serif"/>
          <w:b w:val="false"/>
          <w:i w:val="false"/>
          <w:caps w:val="false"/>
          <w:smallCaps w:val="false"/>
          <w:sz w:val="20"/>
        </w:rPr>
        <w:t xml:space="preserve">for more information.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40</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Series B Preferred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is authorized to issue 25,000,000 shares of preferred stock with a par value of $0.0001 per share,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which, 3,000,000 of the shares of preferred stock are designated as Series B Preferred Stock. Immediately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following the Business Combination, Innventure issued 1,102,000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Series B Preferred Stock at a purchase price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(the “Original Issue Price”) for a total amount of $11,020. See further discussion of the Series B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Preferred Stock in </w:t>
      </w:r>
      <w:r>
        <w:rPr>
          <w:rFonts w:ascii="Times New Roman;sans-serif" w:hAnsi="Times New Roman;sans-serif"/>
          <w:b/>
          <w:i w:val="false"/>
          <w:caps w:val="false"/>
          <w:smallCaps w:val="false"/>
          <w:strike w:val="false"/>
          <w:dstrike w:val="false"/>
          <w:sz w:val="20"/>
          <w:u w:val="none"/>
          <w:effect w:val="none"/>
        </w:rPr>
        <w:t>Note 13. Stockholders' Equity</w:t>
      </w:r>
      <w:r>
        <w:rPr>
          <w:caps w:val="false"/>
          <w:smallCaps w:val="false"/>
          <w:strike w:val="false"/>
          <w:dstrike w:val="false"/>
          <w:sz w:val="24"/>
          <w:u w:val="none"/>
          <w:effect w:val="none"/>
        </w:rPr>
        <w:t xml:space="preserve"> </w:t>
      </w:r>
      <w:r>
        <w:rPr>
          <w:rFonts w:ascii="Times New Roman;sans-serif" w:hAnsi="Times New Roman;sans-serif"/>
          <w:b/>
          <w:i w:val="false"/>
          <w:caps w:val="false"/>
          <w:smallCaps w:val="false"/>
          <w:strike w:val="false"/>
          <w:dstrike w:val="false"/>
          <w:sz w:val="20"/>
          <w:u w:val="none"/>
          <w:effect w:val="none"/>
        </w:rPr>
        <w:t>within the notes to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Series C Preferred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5,000,000 shares of preferred stock are designated as Series C Preferred Stock. On March 24, 2025,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 agreed to issue an aggregate of up to 275,000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the Series C Preferred Stock in a private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placement, at a price of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of Series C Preferred Stock, resulting in an aggregate purchase price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approximately $2,750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before deducting fees and other estimated offering expenses. In connection with the preferred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stock purchase agreements, the Company received an aggregate amount of $1,500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advanced funds.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consideration of these funds, the Company issued 150,000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Series C Preferred Stock to the respective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parties.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Additionally, on March 24, 2025, the Company issued 578,294 shares of Series C Preferred Stock in exchange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the termination of a related party loan with Glockner Family Venture Fund, LP and issued 1,392,059 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in exchange for the termination of another related party loan between AeroFlexx Packaging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LLC and Auto Now Acceptance Co., LLC.  Further, on March 24, 2025, the Company issued an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aggregate of 300,000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Series C Preferred Stock for financial advisory and merchant banking services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rendered. See further discussion of the Series C Preferred Stock in the sub-section titled “Bridge Financing” above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in Note 21. Subsequent Events within the notes to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Convertible Debentures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March 25, 2025, the Company entered into the Securities Purchase Agreement to the issuance and sale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Convertible Debentures with an aggregate principal amount of up to $30,000. These Convertible Debentures will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be convertible into Conversion Shares. On April 14, 2025, the Company issued $20,000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aggregate principal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amount of Convertible Debentures. Additionally, the Company will issue an additional $10,000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aggregate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principal amount of Convertible Debentures after both (i) the registration statement filed with the SEC registering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resale of the Conversion Shares is declared effective by the SEC and (ii) the Company receives stockholder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approval. The Convertible Debentures will not bear interest unless an event of default occurs, in which case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Convertible Debentures will bear interest at an annual rate of 18%. The Convertible Debentures will mature 15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months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after the First Closing Date and can be converted into shares of Common Stock at a conversion price to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determined. The Convertible Debentures were and will be issued at an original issue discount of 10%. In connection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with the Securities Purchase Agreement, the Company agreed to issue warrants to purchase up to 300,000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to the WTI Lenders. These warrants serve as consideration for the WTI Lenders’ consent to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transaction. The warrants have an exercise price of $0.01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and are exercisable until March 31, 2035, with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additional customary rights and protections.  See further discussion of the Convertible Debentures in Note 21.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Subsequent Events within the notes to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41</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Cash Flows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Cash flows associated with operating, investing and financing activities for the years ended December 31, 2024</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are summarized as follows:</w:t>
      </w:r>
    </w:p>
    <w:tbl>
      <w:tblPr>
        <w:tblW w:w="9297" w:type="dxa"/>
        <w:jc w:val="left"/>
        <w:tblInd w:w="0" w:type="dxa"/>
        <w:tblLayout w:type="fixed"/>
        <w:tblCellMar>
          <w:top w:w="28" w:type="dxa"/>
          <w:left w:w="28" w:type="dxa"/>
          <w:bottom w:w="28" w:type="dxa"/>
          <w:right w:w="28" w:type="dxa"/>
        </w:tblCellMar>
      </w:tblPr>
      <w:tblGrid>
        <w:gridCol w:w="3091"/>
        <w:gridCol w:w="931"/>
        <w:gridCol w:w="109"/>
        <w:gridCol w:w="961"/>
        <w:gridCol w:w="109"/>
        <w:gridCol w:w="976"/>
        <w:gridCol w:w="109"/>
        <w:gridCol w:w="976"/>
        <w:gridCol w:w="109"/>
        <w:gridCol w:w="901"/>
        <w:gridCol w:w="109"/>
        <w:gridCol w:w="916"/>
      </w:tblGrid>
      <w:tr>
        <w:trPr/>
        <w:tc>
          <w:tcPr>
            <w:tcW w:w="30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S/P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Combined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Change</w:t>
            </w:r>
          </w:p>
        </w:tc>
      </w:tr>
      <w:tr>
        <w:trPr/>
        <w:tc>
          <w:tcPr>
            <w:tcW w:w="309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31, 2024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31, 2024</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31, 2023</w:t>
            </w:r>
          </w:p>
        </w:tc>
        <w:tc>
          <w:tcPr>
            <w:tcW w:w="109" w:type="dxa"/>
            <w:tcBorders>
              <w:top w:val="single" w:sz="6" w:space="0" w:color="FFFFFF"/>
              <w:bottom w:val="single" w:sz="6"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30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Net Cash Used in Operating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Activities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$(29,214)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$(48,062)</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$(19,476)</w:t>
            </w:r>
          </w:p>
        </w:tc>
        <w:tc>
          <w:tcPr>
            <w:tcW w:w="109" w:type="dxa"/>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146.8%</w:t>
            </w:r>
          </w:p>
        </w:tc>
      </w:tr>
      <w:tr>
        <w:trPr/>
        <w:tc>
          <w:tcPr>
            <w:tcW w:w="30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Net Cash Provided by (Used in)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Investing Activities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6,822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118.5%</w:t>
            </w:r>
          </w:p>
        </w:tc>
      </w:tr>
      <w:tr>
        <w:trPr/>
        <w:tc>
          <w:tcPr>
            <w:tcW w:w="30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Net Cash Provided by Financing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Activities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71,907</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275.0%</w:t>
            </w:r>
          </w:p>
        </w:tc>
      </w:tr>
      <w:tr>
        <w:trPr/>
        <w:tc>
          <w:tcPr>
            <w:tcW w:w="30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Net Increase (Decrease) in Cash,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Cash Equivalents and Restricted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Cash</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$13,636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$24,710</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$29,679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(597.3)%</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Net Cash Used in Operating Activities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Cash flows used in operating activities were $48,062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combined twelve months ended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as compared to $19,476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year ended December 31, 2023,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$28,586, or 146.8%.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primarily related to change additional costs incurred in connection with the Business Combination,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increased employee compensation costs associated with increased headcount. In addition, there was an increase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R&amp;D costs at the Technology segment.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Net Cash Provided (Used in) by Investing Activities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Cash flows provided by in investing activities were $865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combined twelve months ended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as compared to cash flows used in investing activities of $4,667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 ended December 31, 2023, an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$5,532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or 118.5%.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primarily related cash withdrawn from the trust as a result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Business Combination offset by to loans to an equity method investee and acquisitions of property, plant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equipment.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Net Cash Provided by Financing Activities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Cash flows provided by financing activities were $71,907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 ended December 31, 2024, as compared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to $19,174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year ended December 31, 2023, an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$52,733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or 275.0%. The increase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primarily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related to proceeds from issuance of equity and debt financing, partially offset by increased repayment of debt.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Indebtedness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Refer to Note 5. Borrowings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our consolidated financial statements for the years ended December 31, 2024</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included in the consolidated financial statements included elsewhere in this prospectus for a discussion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our indebtedness.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42</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Contractual Obligations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presents a summary of our contractual obligations, including payments due by period, as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December 31, 2024:</w:t>
      </w:r>
    </w:p>
    <w:tbl>
      <w:tblPr>
        <w:tblW w:w="8067" w:type="dxa"/>
        <w:jc w:val="left"/>
        <w:tblInd w:w="0" w:type="dxa"/>
        <w:tblLayout w:type="fixed"/>
        <w:tblCellMar>
          <w:top w:w="28" w:type="dxa"/>
          <w:left w:w="28" w:type="dxa"/>
          <w:bottom w:w="28" w:type="dxa"/>
          <w:right w:w="28" w:type="dxa"/>
        </w:tblCellMar>
      </w:tblPr>
      <w:tblGrid>
        <w:gridCol w:w="3526"/>
        <w:gridCol w:w="676"/>
        <w:gridCol w:w="109"/>
        <w:gridCol w:w="571"/>
        <w:gridCol w:w="109"/>
        <w:gridCol w:w="571"/>
        <w:gridCol w:w="109"/>
        <w:gridCol w:w="571"/>
        <w:gridCol w:w="109"/>
        <w:gridCol w:w="886"/>
        <w:gridCol w:w="109"/>
        <w:gridCol w:w="721"/>
      </w:tblGrid>
      <w:tr>
        <w:trPr/>
        <w:tc>
          <w:tcPr>
            <w:tcW w:w="35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2025</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2026</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2027</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2028</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Thereafter</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tc>
      </w:tr>
      <w:tr>
        <w:trPr/>
        <w:tc>
          <w:tcPr>
            <w:tcW w:w="35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Operating lease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299</w:t>
            </w:r>
          </w:p>
        </w:tc>
        <w:tc>
          <w:tcPr>
            <w:tcW w:w="109" w:type="dxa"/>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351</w:t>
            </w:r>
          </w:p>
        </w:tc>
        <w:tc>
          <w:tcPr>
            <w:tcW w:w="109" w:type="dxa"/>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94</w:t>
            </w:r>
          </w:p>
        </w:tc>
        <w:tc>
          <w:tcPr>
            <w:tcW w:w="109" w:type="dxa"/>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744</w:t>
            </w:r>
          </w:p>
        </w:tc>
      </w:tr>
      <w:tr>
        <w:trPr/>
        <w:tc>
          <w:tcPr>
            <w:tcW w:w="352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Debt obligations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14,625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7,295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34,725</w:t>
            </w:r>
          </w:p>
        </w:tc>
      </w:tr>
      <w:tr>
        <w:trPr/>
        <w:tc>
          <w:tcPr>
            <w:tcW w:w="35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14,924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8,338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35,469</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Going Concern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have experienced recurring losses from operations and negative cash flows from operating activities.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 we had, and may potentially continue to have, an ongoing need to raise additional cash from outside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sources to fund our growth plans and related operations. We believe the successful transition to attaining profitable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operations is dependent upon achieving a level of revenues from our Operating Companies adequate to support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cost structure. In connection with our assessment of going concern considerations in accordance with Financial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Accounting Standard Board’s Accounting Standards Update 2014-15, “</w:t>
      </w:r>
      <w:r>
        <w:rPr>
          <w:rFonts w:ascii="Times New Roman;sans-serif" w:hAnsi="Times New Roman;sans-serif"/>
          <w:b w:val="false"/>
          <w:i/>
          <w:sz w:val="20"/>
        </w:rPr>
        <w:t xml:space="preserve">Disclosures of Uncertainties about an </w:t>
      </w:r>
    </w:p>
    <w:p>
      <w:pPr>
        <w:pStyle w:val="TextBody"/>
        <w:bidi w:val="0"/>
        <w:spacing w:lineRule="atLeast" w:line="200" w:before="0" w:after="0"/>
        <w:jc w:val="left"/>
        <w:rPr/>
      </w:pPr>
      <w:r>
        <w:rPr>
          <w:rFonts w:ascii="Times New Roman;sans-serif" w:hAnsi="Times New Roman;sans-serif"/>
          <w:b w:val="false"/>
          <w:i/>
          <w:sz w:val="20"/>
        </w:rPr>
        <w:t>Entity’s Ability to Continue as a Going Concern</w:t>
      </w:r>
      <w:r>
        <w:rPr>
          <w:rFonts w:ascii="Times New Roman;sans-serif" w:hAnsi="Times New Roman;sans-serif"/>
          <w:b w:val="false"/>
          <w:i w:val="false"/>
          <w:caps w:val="false"/>
          <w:smallCaps w:val="false"/>
          <w:sz w:val="20"/>
        </w:rPr>
        <w:t xml:space="preserve">,” management has determined that these conditions raise substantial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doubt about our ability to continue as a going concern within one year after the date of the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statements included elsewhere in this prospectus. If we are unable to realize our assets, obtain adequate capital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SEPA or otherwise generate sufficient revenues to support our cost structure within the normal operating cycle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a twelve (12) month period, we may have to consider supplementing our available sources of funds through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following sources: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other available sources of financing from banks and other financial institutions;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capital financing; or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financial support from our related parties and shareholders.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can make no assurances that required financings will be available for the amounts needed, or on terms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commercially acceptable to us, if at all. If one or all of these events does not occur or subsequent capital raises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insufficient to bridge financial and liquidity shortfalls (or both), there would likely be a material adverse effect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business and financial condition that would materially adversely affect our ability to continue as a going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concern. See “</w:t>
      </w:r>
      <w:r>
        <w:rPr>
          <w:rFonts w:ascii="Times New Roman;sans-serif" w:hAnsi="Times New Roman;sans-serif"/>
          <w:b w:val="false"/>
          <w:i/>
          <w:sz w:val="20"/>
        </w:rPr>
        <w:t>Risk Factors</w:t>
      </w:r>
      <w:r>
        <w:rPr>
          <w:caps w:val="false"/>
          <w:smallCaps w:val="false"/>
        </w:rPr>
        <w:t xml:space="preserve"> — </w:t>
      </w:r>
      <w:r>
        <w:rPr>
          <w:rFonts w:ascii="Times New Roman;sans-serif" w:hAnsi="Times New Roman;sans-serif"/>
          <w:b w:val="false"/>
          <w:i/>
          <w:sz w:val="20"/>
        </w:rPr>
        <w:t>Risks Related to Innventure’s Business</w:t>
      </w:r>
      <w:r>
        <w:rPr>
          <w:caps w:val="false"/>
          <w:smallCaps w:val="false"/>
        </w:rPr>
        <w:t xml:space="preserve"> – </w:t>
      </w:r>
      <w:r>
        <w:rPr>
          <w:rFonts w:ascii="Times New Roman;sans-serif" w:hAnsi="Times New Roman;sans-serif"/>
          <w:b w:val="false"/>
          <w:i w:val="false"/>
          <w:caps w:val="false"/>
          <w:smallCaps w:val="false"/>
          <w:sz w:val="20"/>
        </w:rPr>
        <w:t xml:space="preserve">There is uncertainty regarding Innventure’s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ability to maintain liquidity sufficient to operate its business effectively, which raises substantial doubt about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ability to continue as a going concern.”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consolidated financial statements have been prepared assuming that we will continue as a going concern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accordingly, do not include any adjustments that might result from the outcome of this uncertainty.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Critical Accounting Policies and Use of Estimates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Refer to Note 2. Accounting Policies to our consolidated financial statements for the years ended December 31,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2024 and 2023 included elsewhere in this prospectus for a discussion of our critical accounting policies.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BUSINESS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Overview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founds, funds, and operates companies with a focus on transformative, sustainable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solutions that we acquire or license from technology innovators. These technology innovators are typically MNCs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but need not be MNCs. In connection with the founding of a new company, we look to establish a collaborative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relationship with at least one MNC that (1) has expressed a need for, and an interest in using or distributing,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specific technology that we intend to commercialize and (2) we expect will become a channel partner capable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providing a path to market adoption, distribution and/or revenue for the new company.  This collaborating MNC,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we refer to as a channel partner, may be the entity from which we source the technology or it may be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unrelated entity. As owner-operators, our goal is to take what we believe to be breakthrough technologies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evaluation to scaled commercialization utilizing an approach designed to help mitigate risk as we build disruptive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that we believe have the potential to achieve a target enterprise value of at least $1 billion. When we say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disruptive,” we mean innovations that, in our opinion, have the ability to significantly change the way businesses,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industries, markets, and/or consumers operate. We have launched four such companies since inception: PureCycle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late 2015 (technology initially sourced from P&amp;G), AeroFlexx in 2018 (technology sourced from P&amp;G),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in 2022 (technology initially sourced from the Nokia), and Refinity in 2024 (technology initially sourced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the VTT; collaboration agreement with Dow signed). PureCycle became a publicly traded company in 2021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as of the date of this prospectus, Innventure no longer has an economic interest in PureCycle. We refer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Accelsius and Refinity as “Innventure Companies” and to the Innventure Companies along with those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subsidiary companies that Innventure may found, fund, and operate going forward as the “Operating Companies.”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approach to identifying and commercializing disruptive technology opportunities is designed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help mitigate the risks associated with building start-up businesses by sourcing technology from MNCs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innovators. An important part of our approach is our collaboration with MNCs. These relationships give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 access to disruptive opportunities, a combination of thoroughly researched and well-protected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solutions that potentially satisfy unmet market needs, along with market data and customer insights unavailable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most new ventures.  We seek MNC relationships that we believe can provide value as channel partners and serve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catalysts for market adoption of the technology solutions we look to commercialize.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use our systematic, repeatable DownSelect (as defined below) process to analyze each opportunity across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range of key success factors, including: (1) the disruptive potential, (2) the likelihood for accelerated early adoption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driven by economic value creation, (3) the potential to materially address sustainability issues and drive economic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value for business-to-business (“B2B”) customers, (4) the ability to create sustainable competitive advantage, (5)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projected ability to generate rapid, sizable financial returns and (6) the potential to create target enterprise value of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least $1 billion. DownSelect uses MNC’s proprietary market and customer data along with our own rigorous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analytics to assess each opportunity and seeks opportunities for the MNC to help accelerate early market adoption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by becoming early customers or offering channel access.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DownSelect process consists of four separate phases, with successive phases building on work done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previous phases and deepening the level of analyses done as opportunities progress through the process.</w:t>
      </w:r>
    </w:p>
    <w:p>
      <w:pPr>
        <w:pStyle w:val="TextBody"/>
        <w:bidi w:val="0"/>
        <w:spacing w:before="0" w:after="0"/>
        <w:jc w:val="left"/>
        <w:rPr/>
      </w:pPr>
      <w:r>
        <w:rPr/>
        <w:drawing>
          <wp:inline distT="0" distB="0" distL="0" distR="0">
            <wp:extent cx="5710555" cy="16992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10555" cy="1699260"/>
                    </a:xfrm>
                    <a:prstGeom prst="rect">
                      <a:avLst/>
                    </a:prstGeom>
                  </pic:spPr>
                </pic:pic>
              </a:graphicData>
            </a:graphic>
          </wp:inline>
        </w:drawing>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44</w:t>
      </w:r>
    </w:p>
    <w:p>
      <w:pPr>
        <w:pStyle w:val="TextBody"/>
        <w:bidi w:val="0"/>
        <w:spacing w:lineRule="atLeast" w:line="200" w:before="0" w:after="0"/>
        <w:jc w:val="left"/>
        <w:rPr/>
      </w:pPr>
      <w:r>
        <w:rPr>
          <w:rFonts w:ascii="Times New Roman;sans-serif" w:hAnsi="Times New Roman;sans-serif"/>
          <w:b w:val="false"/>
          <w:i/>
          <w:sz w:val="20"/>
        </w:rPr>
        <w:t>Phase 1 – Opportunity Screen</w:t>
      </w:r>
      <w:r>
        <w:rPr>
          <w:rFonts w:ascii="Times New Roman;sans-serif" w:hAnsi="Times New Roman;sans-serif"/>
          <w:b w:val="false"/>
          <w:i w:val="false"/>
          <w:caps w:val="false"/>
          <w:smallCaps w:val="false"/>
          <w:sz w:val="20"/>
        </w:rPr>
        <w:t xml:space="preserve">: Innventure’s team screens opportunities that are reflective of the four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dimensions of the DownSelect Process; (1) technology developed by an MNC or other technology innovator, (2)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significant market need, (3) transformative solution and (4) strategic execution. We analyze high level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financial, and technology issues to determine if the opportunity meets our key success criteria.</w:t>
      </w:r>
    </w:p>
    <w:p>
      <w:pPr>
        <w:pStyle w:val="TextBody"/>
        <w:bidi w:val="0"/>
        <w:spacing w:lineRule="atLeast" w:line="200" w:before="0" w:after="0"/>
        <w:jc w:val="left"/>
        <w:rPr/>
      </w:pPr>
      <w:r>
        <w:rPr>
          <w:rFonts w:ascii="Times New Roman;sans-serif" w:hAnsi="Times New Roman;sans-serif"/>
          <w:b w:val="false"/>
          <w:i/>
          <w:sz w:val="20"/>
        </w:rPr>
        <w:t>Phase 2 – Critical Factor Assessment</w:t>
      </w:r>
      <w:r>
        <w:rPr>
          <w:rFonts w:ascii="Times New Roman;sans-serif" w:hAnsi="Times New Roman;sans-serif"/>
          <w:b w:val="false"/>
          <w:i w:val="false"/>
          <w:caps w:val="false"/>
          <w:smallCaps w:val="false"/>
          <w:sz w:val="20"/>
        </w:rPr>
        <w:t xml:space="preserve">: We identify, assess, and prioritize an opportunity’s critical success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risk factors and develop a plan (to be executed in Phase 3) for in-depth systematic evaluation to quantify value,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address critical factors for success of a new business built around the opportunity, and mitigate risk factors. This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 internal assessment to determine if an opportunity is sizable, transformative, and meets the minimum threshold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for advancement.</w:t>
      </w:r>
    </w:p>
    <w:p>
      <w:pPr>
        <w:pStyle w:val="TextBody"/>
        <w:bidi w:val="0"/>
        <w:spacing w:lineRule="atLeast" w:line="200" w:before="0" w:after="0"/>
        <w:jc w:val="left"/>
        <w:rPr/>
      </w:pPr>
      <w:r>
        <w:rPr>
          <w:rFonts w:ascii="Times New Roman;sans-serif" w:hAnsi="Times New Roman;sans-serif"/>
          <w:b w:val="false"/>
          <w:i/>
          <w:sz w:val="20"/>
        </w:rPr>
        <w:t>Phase 3 – Comprehensive Quantification</w:t>
      </w:r>
      <w:r>
        <w:rPr>
          <w:rFonts w:ascii="Times New Roman;sans-serif" w:hAnsi="Times New Roman;sans-serif"/>
          <w:b w:val="false"/>
          <w:i w:val="false"/>
          <w:caps w:val="false"/>
          <w:smallCaps w:val="false"/>
          <w:sz w:val="20"/>
        </w:rPr>
        <w:t xml:space="preserve">: The Innventure team conducts a comprehensive review across 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DownSelect dimensions. A core focus is on quantitative analysis and strategy of the immediate new value created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customers. We quantify the potential economic value to the B2B customer, create a pricing model that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sufficiently compelling to predictably drive early adoption, and conduct bottoms-up, real-world testing to further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validate key hypotheses, especially around enabling critical success factors and mitigating critical risks. We develop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initial financials, including revenue models and capital and operating cost estimates; define preliminary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organizational structures and business plans; conduct field validations, often including prospective customer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interviews, pilot manufacturing and additional concept and product testing, to help validate critical assumptions.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an opportunity that successfully passes through Phase 3, the DownSelect team, in collaboration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senior leadership, recommends to the Board that the opportunity move to Phase 4 and proceed to create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new Innventure Company.</w:t>
      </w:r>
    </w:p>
    <w:p>
      <w:pPr>
        <w:pStyle w:val="TextBody"/>
        <w:bidi w:val="0"/>
        <w:spacing w:lineRule="atLeast" w:line="200" w:before="0" w:after="0"/>
        <w:jc w:val="left"/>
        <w:rPr/>
      </w:pPr>
      <w:r>
        <w:rPr>
          <w:rFonts w:ascii="Times New Roman;sans-serif" w:hAnsi="Times New Roman;sans-serif"/>
          <w:b w:val="false"/>
          <w:i/>
          <w:sz w:val="20"/>
        </w:rPr>
        <w:t>Phase 4 – Strategy &amp; Formation</w:t>
      </w:r>
      <w:r>
        <w:rPr>
          <w:rFonts w:ascii="Times New Roman;sans-serif" w:hAnsi="Times New Roman;sans-serif"/>
          <w:b w:val="false"/>
          <w:i w:val="false"/>
          <w:caps w:val="false"/>
          <w:smallCaps w:val="false"/>
          <w:sz w:val="20"/>
        </w:rPr>
        <w:t xml:space="preserve">: We set the initial strategy, including go-to-market strategies and initial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plan, for the Innventure Company, secure control of the technology via licensing or ownership, and create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new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DownSelect process typically takes six to nine months, though it may take as little as a few weeks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decline an opportunity and as long as a year or more from the start of Phase 1 to full approval to launch a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The process is managed by the DownSelect team with support from the broader Innventure team as well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external subject matter experts as required. The primary goal of the process is to confirm that an opportunity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meets the key DownSelect criteria, and that we believe that the business has the potential to achieve or exceed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target enterprise value of at least $1 billion. At the completion of the DownSelect process, a new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is created, and the approved opportunity is transferred to the new company, at which time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appoints the board of directors and initial management team, typically consisting of Innventure principals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personnel. Innventure selects executives and managers who it believes to have the requisite technical and operational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expertise to scale enterprises built around disruptive technologies. Previously, Innventure owned and operated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Companies and maintained control at least through early scaling. As part of the new Disruptive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Conglomerate Model, Innventure intends to retain majority (or sole) ownership.</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When an opportunity satisfies our DownSelect criteria, we seek to acquire or license the technology solution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the MNC or other technology innovators and use the initial business plans developed during our DownSelect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process as the basis to launch a new “Innventure Company” with initial funding provided by Innventure. From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investor perspective, this model is intended to bring founder shares of a company with a target enterprise value of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least $1 billion onto the Innventure balance sheet, which we believe can provide excellent potential returns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 shareholders as described in more detail in this section.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Historically, and prior to the Business Combination, the Innventure model targeted exits for our new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5-7 years after inception through a sale, initial public offering or merger, including a merger with a special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purpose acquisition company. In 2024, we determined that this approach could result in exiting companies prior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creating their maximum shareholder value.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we continue to advance the Innventure model, we have moved to an approach designed to allow us to build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hold companies, with goals of generating positive cash flows of one or more majority-owned new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and maximizing value for investors and other stakeholders. As part of our recently adopted “Disruptive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45</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Conglomerate Model,” Innventure intends to retain majority (or sole) ownership. We believe that holding majority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stakes in companies allows those companies to mature further and gives us the opportunity to derive greater value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those companies as we operate them over the long term. We are currently deploying this model for Accelsius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Refinity. While an opportunistic sale or other disposition of one or more of our majority-held companies could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occur in the future, exit transactions are not expected to be a factor in the business plans for Accelsius or Refinity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future Operating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was founded in 2015 and currently operates its business under a Delaware limited liability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was formed in 2017. Innventure is a Delaware corporation following the closing of the Business Combination.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phone number is (321) 209-6787. Our website is www.innventure.com. Information contained on or accessible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through our website is not incorporated by reference into this prospectus and should not be considered a part of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prospectus.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are led by Gregory W. (Bill) Haskell, our CEO, who also serves as a Class I Director; David Yablunosky,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Chief Financial Officer (“CFO”), who also serves as a Class II Director; our Founders, Mike Otworth, who also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serves as our Executive Chairman, and Dr. John Scott, who also serves as our Chief Strategy Officer; and Roland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Austrup, our Chief Growth Officer; and a strong team of senior leaders that bring experience and expertise in scaling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start-ups, capital markets, operations, marketing, and technology evaluation.</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Corporate Structure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of March 7, 2025, Innventure LLC owns 37.9% of AeroFlexx, and the remainder of AeroFlexx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collectively owned by Innventure and AeroFlexx directors, officers and employees (9.0%); Innventus ESG Fund 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L.P. (the “ESG Fund”) (34.7%); and investors external to Innventure and AeroFlexx (18.4%). Further, as of March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7, 2025, Innventure LLC owns 52.7% of Accelsius, and the remainder of Accelsius is collectively owned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and Accelsius directors, officers, and employees (25.5%), the ESG Fund (4.1%), and investors external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Innventure and Accelsius (17.7%). As of March 7, 2025, Innventure LLC owns 71.8% of Refinity Holdings,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Holdings”), an affiliate of Dow is expected to own 5.0%, and the remainder of Refinity Holdings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collectively owned by Innventure and Refinity Holdings directors, officers, and employees (28.2%). Refinity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Holdings owns 100% of Refinity. Innventure, through Innventure LLC as its subsidiary, owns 37.9%, 52.7%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71.8% of AeroFlexx, Accelsius and Refinity Holdings, respectively.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Following the Business Combination, the Class PCTA Units and Class I Units (as defined below) remain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outstanding and their holders retain the limited voting rights attendant thereto with respect to matters concerning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Class PCTA and Class I business. Innventure otherwise owns all of the membership interests in Innventure LLC.</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Following the Business Combination, Innventure’s wholly owned subsidiaries, Innventure Management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Services, LLC (“Management Services”) and Innventure GP LLC (“Innventure GP”) continue to serve as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manager and general partner, respectively, of the ESG Fund and, correspondingly, Innventure will continue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accrue management fees for providing investment management services to the ESG Fund. Following the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Combination, the ESG Fund owns 32.5% of AeroFlexx and 4.3% of Accelsius.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ESG Fund was formed on August 17, 2018, and commenced operations on the same day. The ESG Fund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was formed to make venture capital (“VC”) investments in and contribute capital to certain Innventure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wholly owned subsidiaries, Management Services and Innventure GP, serve as the manager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general partner, respectively, of the ESG Fund. Voting and investment power over the ESG Fund’s investments,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the AeroFlexx and Accelsius units held by the ESG Fund, is exercised by the investment committee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Services, which consists of Roland Austrup (Innventure’s Chief Growth Officer), Lucas Harper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Chief Investment Officer), and Dr. John Scott (Innventure’s Chief Strategy Officer).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through Innventure LLC, earns management fees for providing investment management services to the ESG Fund.</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Market Opportunity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2022 alone, the top 100 companies by R&amp;D expenditure spent over $700 billion on R&amp;D. Many patents fail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be commercialized for various reasons, including misalignment with core business strategies, lack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commercialization resources, and poor timing in the market. While MNCs excel at developing well-protected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46</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technologies for their existing businesses, we believe that many MNCs invent additional technologies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significant potential value that may best be realized by a different approach. Our goal is to collaborate with MNCs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commercialize these high potential technology assets, providing a return on the R&amp;D investment and, most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importantly, creating products and services based on those technology solutions that will benefit the MNCs and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customers. We look to source technology solutions that come with a strong IP portfolio, market data that supports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plan development, and channel access that helps accelerate the commercialization timeline for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disruptive new company. Technologies can be sourced from MNCs, as well as from other technology innovators.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 xml:space="preserve">Closed Loop Partnership Model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Closed Loop partnership model is designed to capitalize on Innventure’s, MNCs’ and other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innovators’  respective complementary capabilities. MNCs and others fund extensive R&amp;D programs which create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solutions with the potential to satisfy significant unmet market needs. MNCs also have the potential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 as valuable channel partners that can provide paths to distribution and/or revenue for our operating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use the term “Closed Loop partnership model” to describe an ongoing collaboration in which (1) the MNC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typically provides proprietary insights and data about the markets they serve, particularly focusing on unmet needs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unsolved customer problems in those markets, as well as access to the market via existing channels and/or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customers; and (2) IP-protected technology solutions that satisfy those unmet needs are sourced from that MNC or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different MNC or technology innovator. In furtherance of our Closed Loop partnership model, Innventure assesses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relevant technology solution and, if it meets Innventure’s rigorous screening criteria, Innventure seeks to acquire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license the solution and use it as the basis for a new Innventure company.  A Closed Loop partnership can be one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which the MNC itself is an initial customer for the product or service of the new Innventure company and where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early adoption of the solution by the MNC helps enable rapid growth of the new company. Alternatively,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be sourced from an entity that is not an MNC or that is not a potential channel partner if Innventure believes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it can establish a relationship with an MNC that will serve as a channel partner that can enable market adoption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the technology that Innventure seeks to commercialize.</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Potential Benefits to Innventure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Innventure, the Closed Loop partnership model seeks to provide access to disruptive, developed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solutions from MNCs and other technology innovators that satisfy well-understood and unmet market needs along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the proprietary market and customer data to help Innventure advance the development and commercialization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approach. Some of the potential benefits to Innventure include the following: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Access Advantage</w:t>
      </w:r>
      <w:r>
        <w:rPr>
          <w:rFonts w:ascii="Times New Roman;sans-serif" w:hAnsi="Times New Roman;sans-serif"/>
          <w:b w:val="false"/>
          <w:i w:val="false"/>
          <w:caps w:val="false"/>
          <w:smallCaps w:val="false"/>
          <w:strike w:val="false"/>
          <w:dstrike w:val="false"/>
          <w:sz w:val="20"/>
          <w:u w:val="none"/>
          <w:effect w:val="none"/>
        </w:rPr>
        <w:t xml:space="preserve">: The relationship with an MNC provides unique access to MNC technologies and/or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information needed to help Innventure evaluate a disruptive technology solution in the context of specific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unmet market needs. Using both data from the MNC and its own evaluations, Innventure determines if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opportunity should progress to a new Innventure Company.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Developed Technology Solutions</w:t>
      </w:r>
      <w:r>
        <w:rPr>
          <w:rFonts w:ascii="Times New Roman;sans-serif" w:hAnsi="Times New Roman;sans-serif"/>
          <w:b w:val="false"/>
          <w:i w:val="false"/>
          <w:caps w:val="false"/>
          <w:smallCaps w:val="false"/>
          <w:strike w:val="false"/>
          <w:dstrike w:val="false"/>
          <w:sz w:val="20"/>
          <w:u w:val="none"/>
          <w:effect w:val="none"/>
        </w:rPr>
        <w:t xml:space="preserve">: MNCs invest significant time, money, and technical expertise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developing and protecting innovative technology solutions that satisfy unmet market needs for them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their customers. This all occurs well before Innventure acquires the technology solution. A new Innventure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that sources the technology solution from an MNC—including IP such as patents and trade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secrets, product prototypes, manufacturing equipment, and other assets—has access to the MNC’s technical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expertise for transfer and early industrialization of the technology, all of which helps reduce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commercialization time, save money, and mitigate common risks inherent to start-ups.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Institutional Data Set</w:t>
      </w:r>
      <w:r>
        <w:rPr>
          <w:rFonts w:ascii="Times New Roman;sans-serif" w:hAnsi="Times New Roman;sans-serif"/>
          <w:b w:val="false"/>
          <w:i w:val="false"/>
          <w:caps w:val="false"/>
          <w:smallCaps w:val="false"/>
          <w:strike w:val="false"/>
          <w:dstrike w:val="false"/>
          <w:sz w:val="20"/>
          <w:u w:val="none"/>
          <w:effect w:val="none"/>
        </w:rPr>
        <w:t xml:space="preserve">: MNCs also spend significant time and money developing deep, proprietary market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knowledge, which is very difficult for a typical new venture to replicate. MNCs are in a position to provide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 with highly robust data, including market insights and customer testing, to understand unmet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market needs and to assess the technology solution and potential business models.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Early Customer Adoption</w:t>
      </w:r>
      <w:r>
        <w:rPr>
          <w:rFonts w:ascii="Times New Roman;sans-serif" w:hAnsi="Times New Roman;sans-serif"/>
          <w:b w:val="false"/>
          <w:i w:val="false"/>
          <w:caps w:val="false"/>
          <w:smallCaps w:val="false"/>
          <w:strike w:val="false"/>
          <w:dstrike w:val="false"/>
          <w:sz w:val="20"/>
          <w:u w:val="none"/>
          <w:effect w:val="none"/>
        </w:rPr>
        <w:t xml:space="preserve">: We believe MNCs with which we collaborate will be motivated to catalyze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market adoption of a technology solution by becoming early customers and/or providing channel access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facilitate the initial customer base to drive financial and strategic value. When Innventure sources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technology from an entity that is not expected to be a channel partner, it seeks to establish a relationship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47</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an MNC that will serve as a channel partner for the new company.  In some cases, MNCs may choose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sign offtake agreements with the new company and/or facilitate access to prospective customers within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their sphere of influence (e.g., suppliers or customers). We believe when an MNC  is the original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inventor” or an early adopter of the technology solution, it may bring immediate credibility to the new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Innventure Company which can lead to greater interest from potential customers.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Business Model Today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business model is the culmination of lessons learned over the past three decades. In 1993, when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first version of what is now Innventure was created, we studied both failed and successful startups to understand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how to identify and manage risks to achieve a higher success rate for early-stage companies. We believe we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built a repeatable, systematic, risk managed approach to business building that is substantially different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traditional VC models. Innventure is not a venture capital company. VCs typically make many minority investments,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assuming that only a small percentage will succeed and do not operate the underlying companies. In contrast to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approach, Innventure maintains controlling stakes in a limited number of operating companies that we vet, launch,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build, fund and operate, with the goal of operating these companies over a long-term period. The Innventure model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is designed to help mitigate the significant risks inherent to establishing and building disruptive businesses.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Using our proprietary DownSelect approach, we focus on assessing and mitigating risk well before the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Company is formed. When we do launch, we believe new Operating Companies are more mature than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typical startups, due to the extensive investment by the MNC or other technology innovators in developing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solutions, the rigor of the Innventure DownSelect process, and the experience of our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leaders. This prospective head start, coupled with the other components of the Innventure model,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designed to yield a higher success rate than other start-ups and VC-backed companies.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The Business Combination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24, 2023, Learn CW and Innventure LLC entered into the Business Combination Agreement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Holdco, LCW Merger Sub and Innventure Merger Sub. On September 30, 2024, the stockholders of Learn CW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approved the Business Combination, and the Business Combination closed on the Closing Date. The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has been accounted for using the acquisition method of accounting. The Company determined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accounting acquirer to be Holdco. Accordingly, the Company recorded assets acquired, liabilities assumed and non-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controlling interest at their acquisition date fair values and recognized goodwill.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Business Combination Agreement, among other things, (i) LCW Merger Sub merged with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into Learn CW, with Learn CW as the surviving company of the LCW Merger and (ii) Innventure Merger Sub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merged with and into Innventure, with Innventure LLC as the surviving entity of the Innventure Merger. Following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Mergers, each of Learn CW and Innventure LLC became a subsidiary of Holdco, and Holdco became a publicly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traded company. Holdco changed its name to Innventure, Inc. in connection with the Business Combination.</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Sustainability as a Value Driver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believe sustainability issues create new markets and are primary drivers of revenue, cost, and risk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impact value creation for long-term business performance for many of the verticals in which Innventure focuses.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MNCs and others are increasingly focused on sustainability. The Innventure model is designed to help MNCs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others meet their sustainability goals by building companies around technology solutions that deliver sustainability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benefits and assist MNCs and others in achieving their stated sustainability objectives. Our approach is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sustainability must first be economically viable. We focus on opportunities that we believe are commercially viable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profitable over time scales measured in decades and that provide a positive impact on the planet.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demonstrated by the success of PureCycle, Innventure Companies not only have the potential to create economic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value but have also progressed products that have potential for significant positive impact on the environment.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PureCycle</w:t>
      </w:r>
      <w:r>
        <w:rPr>
          <w:rFonts w:ascii="Times New Roman;sans-serif" w:hAnsi="Times New Roman;sans-serif"/>
          <w:b w:val="false"/>
          <w:i w:val="false"/>
          <w:caps w:val="false"/>
          <w:smallCaps w:val="false"/>
          <w:strike w:val="false"/>
          <w:dstrike w:val="false"/>
          <w:sz w:val="20"/>
          <w:u w:val="none"/>
          <w:effect w:val="none"/>
        </w:rPr>
        <w:t xml:space="preserve">: Purifies and recycles post-industrial and post-consumer polypropylene waste back to a like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virgin grade polymer, usable across a broad range of applications and markets. PureCycle became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publicly traded company in 2021 and, as of the date of this prospectus, Innventure no longer has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economic interest in PureCycle.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48</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AeroFlexx</w:t>
      </w:r>
      <w:r>
        <w:rPr>
          <w:rFonts w:ascii="Times New Roman;sans-serif" w:hAnsi="Times New Roman;sans-serif"/>
          <w:b w:val="false"/>
          <w:i w:val="false"/>
          <w:caps w:val="false"/>
          <w:smallCaps w:val="false"/>
          <w:strike w:val="false"/>
          <w:dstrike w:val="false"/>
          <w:sz w:val="20"/>
          <w:u w:val="none"/>
          <w:effect w:val="none"/>
        </w:rPr>
        <w:t xml:space="preserve">: Combines the best attributes of flexible pouches and rigid bottles to provide consumer packaged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goods (“CPG”) companies with a novel, curbside recyclable primarily liquid package that uses up to 85%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less virgin plastic than standard rigid bottles, significantly simplifies packaging supply chains, and enables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innovative package shapes and creative artwork. AeroFlexx is in the early stages of operations and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beginning to ramp up its commercial production capabilities. The current manufacturing footprint installed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on order is projected to be sufficient to meet projected demand through mid-2025.</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Accelsius</w:t>
      </w:r>
      <w:r>
        <w:rPr>
          <w:rFonts w:ascii="Times New Roman;sans-serif" w:hAnsi="Times New Roman;sans-serif"/>
          <w:b w:val="false"/>
          <w:i w:val="false"/>
          <w:caps w:val="false"/>
          <w:smallCaps w:val="false"/>
          <w:strike w:val="false"/>
          <w:dstrike w:val="false"/>
          <w:sz w:val="20"/>
          <w:u w:val="none"/>
          <w:effect w:val="none"/>
        </w:rPr>
        <w:t xml:space="preserve">: Delivers a transformative industry solution to thermal management to central processing units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(“CPUs”) and graphics processing units (“GPUs”) in datacenter and telecommunications applications, with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potential to allow operators to increase computational throughput and capacity, increase revenue, reduce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operating costs, increase energy efficiency, and drive sustainability across server, switching, and edge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computing environments. Accelsius is an early-stage company that is just beginning revenue-generating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operations. Accelsius has been focused on developing and commercializing data center cooling products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since its inception in 2022 and delivered customer proof-of-concept pilots in Q2 2024.</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Refinity</w:t>
      </w:r>
      <w:r>
        <w:rPr>
          <w:rFonts w:ascii="Times New Roman;sans-serif" w:hAnsi="Times New Roman;sans-serif"/>
          <w:b w:val="false"/>
          <w:i w:val="false"/>
          <w:caps w:val="false"/>
          <w:smallCaps w:val="false"/>
          <w:strike w:val="false"/>
          <w:dstrike w:val="false"/>
          <w:sz w:val="20"/>
          <w:u w:val="none"/>
          <w:effect w:val="none"/>
        </w:rPr>
        <w:t xml:space="preserve">: Intends to commercialize process technologies for converting low cost, abundant plastic waste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drop-in chemicals directly useful in and consumable by the existing petrochemical supply chain.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is committed to long-term sustainability and making the planet a better place to live for all, while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simultaneously creating significant enterprise value for our shareholders.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Competition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view our competition through two frameworks: competition to acquire technologies from MNCs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technology innovators and competition faced by our Operating Companies.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Other Technology Acquirers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believe we have a unique offering for MNCs and other technology innovators looking to monetize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commercialize their R&amp;D. We believe VC firms and other potential acquirers who are active in the market typically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 not possess the in-house business creation and operations management that is at the core of the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strategy. Some VCs and other potential acquirers invest in companies who license IP from universities, nonprofit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research institutes, or national laboratories. In those cases, the VC and other potential acquirer need to spend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significant time and effort building an initial team and starting the business, then transferring and often further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incubating technology, developing products, and defining business plans. We don’t believe any VCs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potential acquirers have a business model that is as comprehensive, vertical agnostic and focused on creating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companies that can achieve a target enterprise value of at least $1 billion as Innventure.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potential competition might include individual entrepreneurs looking to purchase technology solutions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an MNC or other technology innovator. We believe that while individual entrepreneurs may have the right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technical or business skills, they frequently lack the credibility and financial resources to meet the requirements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top, most disruptive technologies resident in MNCs and other technology innovators. We also believe 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entrepreneurs can lack the resources and business infrastructure to quickly establish a new company, reducing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likelihood of a successful commercialization process. Members of Innventure’s core team have put into practice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various components of the DownSelect model for choosing opportunities to scale over the past thirty years.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history, along with our ability to work in collaboration with Technology Solutions Providers, are key drivers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Innventure’s success to date and critical to Innventure’s future growth.</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Innventure Company Competition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competition at the Innventure Company subsidiary level varies by company and by the markets they 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examination of the competitive landscape is a key component of the DownSelect process. Innventure is focused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building companies that have unique products that will transform industries. More detail on competition for both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AeroFlexx, Accelsius and Refinity are provided below in the business sections related to each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49</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Intellectual Property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an opportunity that meets all DownSelect criteria and for which Innventure enters into a contract to license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acquire technology from an MNC or another technology innovator, Innventure focuses on acquiring commercial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control of the application of all IP related to the specific opportunity. Each such contract is unique is crafted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address long-term value sharing among Innventure, the new Innventure Company, and the technology provider.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a contract typically involves Innventure or the new Innventure company acquiring or licensing the IP for use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defined applications and geographies, and Innventure’s objective is to maintain maximum freedom to practice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unlimited access and control as the primary goal) across many applications, industries, markets, and geographies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new company which will be built around and, ideally, ultimately take ownership of the IP. In some cases,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will license IP instead of fully acquiring the rights, but the license must provide that Innventure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new company has sufficient exclusive access to practice and commercialize a technology solution defined by the 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across the broadest set of applications, industries, markets, and geographies in order to meet Innventure’s goals.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Also in selected cases, Innventure may agree to a limited number of applications, industries, markets, and/or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geographies if the MNC or other technology innovator intends to use the IP in one or more existing business(es),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often provides a grant-back license to practice the IP for its own business but not for sale or sharing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other unaffiliated enterprises.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Since most opportunities are enabled by novel technology solutions, IP typically includes but is not limited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invention disclosures, patent applications, granted patents, trademarks, trade secrets, institutional know how, process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product prototypes, pilot and demonstration systems, process and product plans and designs, market data,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customer insights, customer and market testing and validation, field, and production data, related to the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solution. In selected cases, IP may relate to a business or service model innovation.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new Innventure Company, including AeroFlexx, Accelsius and Refinity, develops or intends to develop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company-specific IP strategies that build on and expand their IP portfolios to provide protection of processes,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products, services, business models, and other innovations and support the continued growth of the companies.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example, Accelsius is based on a two-phase direct-to-chip passive liquid cooling technology acquired from Nokia,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Accelsius productized as an active, pumped solution to design approaches to solve the challenge of increasing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server rack power density and meet the rising demand for efficient cooling systems in datacenters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telecommunication systems.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Human Capital Management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Total Compensation and Rewards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provide competitive compensation and benefits, which include market-based pay keyed to relative industry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data. We offer a full complement of health and welfare benefits such as health, dental, vision, life insurance,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accidental death and dismemberment insurance. A 401(k)-retirement plan with company match is offered.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 employees are granted equity awards in newly created Innventure Companies through various programs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promote equity proprietorship opportunities.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Workforce Culture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focus on building a workforce that is responsive to customer needs, attentive to being efficient and cost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conscious for our financial stakeholders, and entrepreneurial and innovative in seeking to create new disruptive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We actively recruit talent that builds a culture reflective of the desires and the needs of the customers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partner with and serve. We actively support equal opportunity employment and provide a working environment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equity and inclusion for all employees.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Employees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aggregate number of employees employed by us and contractors engaged across Innventure, AeroFlexx,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Accelsius and Refinity as of March 14, 2025 was 153.</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50</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Accelsius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Overview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provides a direct-to-chip liquid cooling solution for servers (and other computing devices) in data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centers and edge computing locations. Accelsius aims to exploit three powerful industry trends that it believes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converging: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an exponential predicted increase in the thermal footprint, or thermal design power (“TDP”), of server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GPU chipsets which are now beginning to exceed the capability of the incumbent refrigerated-air cooling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systems;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increased and unpredictable global energy costs;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an increased level of commitment to environmental sustainability, including from C-suites and corporate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management teams.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Reducing data center power usage is a significant opportunity to meet public ESG commitments, but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predicted increase in TDP of future servers will make this extremely challenging.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Accelsius has developed NeuCool, a direct-to-chip liquid cooling solution using a scalable closed loop two-</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phase system with a dielectric coolant. Liquid coolant enters an evaporator plate that is installed directly on a CPU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GPU. Heat generated by the operation of the CPU or GPU causes the liquid coolant to boil, extracting energy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generating vapor that flows away from the evaporator plate through tubing to a separate condenser, where energy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extracted and coolant vapor returns to a liquid state. The liquid coolant is pumped back through common tubing,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returning to the evaporator plate and starting the process again.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Market Opportunity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Approximately 3% of the world’s power is consumed by data centers, of which 40% is used for cooling.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global data center cooling market was $15.7 billion in 2022 and is expected to grow at a 17.1% compound annual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rate growth (“CAGR”) to over $56 billion in 2030. Of this, the data center liquid cooling market is projected to grow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a 24.4% CAGR from $2.6 billion in 2023 to $7.8 billion in 2028. However, it is not just data center servers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would benefit from new cooling technologies. Other markets include edge computing and power electronics across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number of industry verticals, such as construction, healthcare and hospitals, manufacturing, media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entertainment, retail and wholesale and transportation and logistics. Edge computing is being driven by data gravity,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i.e., the need to do processing as close as possible to where the data is generated. As datasets become exponentially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larger, cost and latency issues drive a need for computing power in edge locations (e.g., in cell phone towers).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 intelligence firm 451 Group predicts that over 556,000 organizations globally will use Edge IaaS by 2027.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Based on their prediction, we estimate that two million servers will be installed in edge locations annually by 2027.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Because edge installations are often poorly suited for traditional refrigerated-air cooling, we believe two-phase,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direct-to-chip cooling may be the most cost-effective and sustainable option.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to energy costs, traditional cooling systems use a considerable amount of water. As an example,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ChatGPT can use upwards of 0.5L of water for as little as 50 prompts. The newest cell phones require faster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networks, smart technology is connecting all aspects of our lives, and artificial intelligence (“AI”) is being used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unprecedented levels. Current cooling technologies struggle with the rising heat densities associated with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processors to support these applications. For example: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Components</w:t>
      </w:r>
      <w:r>
        <w:rPr>
          <w:rFonts w:ascii="Times New Roman;sans-serif" w:hAnsi="Times New Roman;sans-serif"/>
          <w:b w:val="false"/>
          <w:i w:val="false"/>
          <w:caps w:val="false"/>
          <w:smallCaps w:val="false"/>
          <w:strike w:val="false"/>
          <w:dstrike w:val="false"/>
          <w:sz w:val="20"/>
          <w:u w:val="none"/>
          <w:effect w:val="none"/>
        </w:rPr>
        <w:t xml:space="preserve">: Increased software stack (including AI) require higher performance processors which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increase heat dissipation.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Equipment</w:t>
      </w:r>
      <w:r>
        <w:rPr>
          <w:rFonts w:ascii="Times New Roman;sans-serif" w:hAnsi="Times New Roman;sans-serif"/>
          <w:b w:val="false"/>
          <w:i w:val="false"/>
          <w:caps w:val="false"/>
          <w:smallCaps w:val="false"/>
          <w:strike w:val="false"/>
          <w:dstrike w:val="false"/>
          <w:sz w:val="20"/>
          <w:u w:val="none"/>
          <w:effect w:val="none"/>
        </w:rPr>
        <w:t xml:space="preserve">: More powerful servers, routers, switches, cell tower base stations, and other computing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equipment require improved system level cooling.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Systems</w:t>
      </w:r>
      <w:r>
        <w:rPr>
          <w:rFonts w:ascii="Times New Roman;sans-serif" w:hAnsi="Times New Roman;sans-serif"/>
          <w:b w:val="false"/>
          <w:i w:val="false"/>
          <w:caps w:val="false"/>
          <w:smallCaps w:val="false"/>
          <w:strike w:val="false"/>
          <w:dstrike w:val="false"/>
          <w:sz w:val="20"/>
          <w:u w:val="none"/>
          <w:effect w:val="none"/>
        </w:rPr>
        <w:t>: Denser racks of equipment are dissipating more heat per unit area.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51</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Facilities</w:t>
      </w:r>
      <w:r>
        <w:rPr>
          <w:rFonts w:ascii="Times New Roman;sans-serif" w:hAnsi="Times New Roman;sans-serif"/>
          <w:b w:val="false"/>
          <w:i w:val="false"/>
          <w:caps w:val="false"/>
          <w:smallCaps w:val="false"/>
          <w:strike w:val="false"/>
          <w:dstrike w:val="false"/>
          <w:sz w:val="20"/>
          <w:u w:val="none"/>
          <w:effect w:val="none"/>
        </w:rPr>
        <w:t xml:space="preserve">: Heat management capacity of data center and telecom facilities are pushing the limits of current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air cooling technologies.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Growth</w:t>
      </w:r>
      <w:r>
        <w:rPr>
          <w:rFonts w:ascii="Times New Roman;sans-serif" w:hAnsi="Times New Roman;sans-serif"/>
          <w:b w:val="false"/>
          <w:i w:val="false"/>
          <w:caps w:val="false"/>
          <w:smallCaps w:val="false"/>
          <w:strike w:val="false"/>
          <w:dstrike w:val="false"/>
          <w:sz w:val="20"/>
          <w:u w:val="none"/>
          <w:effect w:val="none"/>
        </w:rPr>
        <w:t>: There are currently 4.1 GW of new data centers planned.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Sustainability Benefits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believe Accelsius will allow its clients to meet their sustainability needs while providing a more affordable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option. We also believe that, by adopting Accelsius cooling solutions, clients can more efficiently use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resources, capital, space, energy, and water. Direct-to-chip cooling offers large savings compared to air cooling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full scale deployments, specifically including: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Total Cost of Ownership Savings</w:t>
      </w:r>
      <w:r>
        <w:rPr>
          <w:rFonts w:ascii="Times New Roman;sans-serif" w:hAnsi="Times New Roman;sans-serif"/>
          <w:b w:val="false"/>
          <w:i w:val="false"/>
          <w:caps w:val="false"/>
          <w:smallCaps w:val="false"/>
          <w:strike w:val="false"/>
          <w:dstrike w:val="false"/>
          <w:sz w:val="20"/>
          <w:u w:val="none"/>
          <w:effect w:val="none"/>
        </w:rPr>
        <w:t xml:space="preserve">: Cooling accounts for approximately 40% of a data center’s energy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consumption.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Space Savings</w:t>
      </w:r>
      <w:r>
        <w:rPr>
          <w:rFonts w:ascii="Times New Roman;sans-serif" w:hAnsi="Times New Roman;sans-serif"/>
          <w:b w:val="false"/>
          <w:i w:val="false"/>
          <w:caps w:val="false"/>
          <w:smallCaps w:val="false"/>
          <w:strike w:val="false"/>
          <w:dstrike w:val="false"/>
          <w:sz w:val="20"/>
          <w:u w:val="none"/>
          <w:effect w:val="none"/>
        </w:rPr>
        <w:t xml:space="preserve">: Accelsius allows data centers to densify, increasing the number of servers per rack,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increasing the number of racks per unit area of data center, and increasing revenue for a given data center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footprint and reducing costs as less space is used.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Energy Savings</w:t>
      </w:r>
      <w:r>
        <w:rPr>
          <w:rFonts w:ascii="Times New Roman;sans-serif" w:hAnsi="Times New Roman;sans-serif"/>
          <w:b w:val="false"/>
          <w:i w:val="false"/>
          <w:caps w:val="false"/>
          <w:smallCaps w:val="false"/>
          <w:strike w:val="false"/>
          <w:dstrike w:val="false"/>
          <w:sz w:val="20"/>
          <w:u w:val="none"/>
          <w:effect w:val="none"/>
        </w:rPr>
        <w:t>: Eliminates air conditioning needs and costs associated with legacy air-cooling systems.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Water Savings</w:t>
      </w:r>
      <w:r>
        <w:rPr>
          <w:rFonts w:ascii="Times New Roman;sans-serif" w:hAnsi="Times New Roman;sans-serif"/>
          <w:b w:val="false"/>
          <w:i w:val="false"/>
          <w:caps w:val="false"/>
          <w:smallCaps w:val="false"/>
          <w:strike w:val="false"/>
          <w:dstrike w:val="false"/>
          <w:sz w:val="20"/>
          <w:u w:val="none"/>
          <w:effect w:val="none"/>
        </w:rPr>
        <w:t>: Potential to eliminate water use in cooling system.</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Value to Clients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Accelsius solution allows clients to align data center operations with sustainability goals and increasingly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competitive commercial requirements: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Enables the adoption of high wattage processors</w:t>
      </w:r>
      <w:r>
        <w:rPr>
          <w:rFonts w:ascii="Times New Roman;sans-serif" w:hAnsi="Times New Roman;sans-serif"/>
          <w:b w:val="false"/>
          <w:i w:val="false"/>
          <w:caps w:val="false"/>
          <w:smallCaps w:val="false"/>
          <w:strike w:val="false"/>
          <w:dstrike w:val="false"/>
          <w:sz w:val="20"/>
          <w:u w:val="none"/>
          <w:effect w:val="none"/>
        </w:rPr>
        <w:t>. The American Society of Heating, Refrigerating and Air-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Conditioning Engineers has suggested that the exponential increase of CPU and GPU wattages is expected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to soon exceed the capacity of most existing air cooling systems.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Dramatically improves density in the data center</w:t>
      </w:r>
      <w:r>
        <w:rPr>
          <w:rFonts w:ascii="Times New Roman;sans-serif" w:hAnsi="Times New Roman;sans-serif"/>
          <w:b w:val="false"/>
          <w:i w:val="false"/>
          <w:caps w:val="false"/>
          <w:smallCaps w:val="false"/>
          <w:strike w:val="false"/>
          <w:dstrike w:val="false"/>
          <w:sz w:val="20"/>
          <w:u w:val="none"/>
          <w:effect w:val="none"/>
        </w:rPr>
        <w:t xml:space="preserve">. With Accelsius’ technology, air heat syncs are not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required, allowing more processing power in each server. Racks no longer must be depopulated to allow 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flow, nor are cold and hot aisles needed.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Allows more power to be allocated to computing rather than cooling</w:t>
      </w:r>
      <w:r>
        <w:rPr>
          <w:rFonts w:ascii="Times New Roman;sans-serif" w:hAnsi="Times New Roman;sans-serif"/>
          <w:b w:val="false"/>
          <w:i w:val="false"/>
          <w:caps w:val="false"/>
          <w:smallCaps w:val="false"/>
          <w:strike w:val="false"/>
          <w:dstrike w:val="false"/>
          <w:sz w:val="20"/>
          <w:u w:val="none"/>
          <w:effect w:val="none"/>
        </w:rPr>
        <w:t xml:space="preserve">. An average data center allocates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around 40% of their power to cooling and other overhead. When power used for cooling is reduced, more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incoming power for data centers can be used for computing tasks, and data center capacity can be increased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dramatically. We estimate that we can reduce the power allocated to cooling by around 49%.</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Is compatible with legacy infrastructure</w:t>
      </w:r>
      <w:r>
        <w:rPr>
          <w:rFonts w:ascii="Times New Roman;sans-serif" w:hAnsi="Times New Roman;sans-serif"/>
          <w:b w:val="false"/>
          <w:i w:val="false"/>
          <w:caps w:val="false"/>
          <w:smallCaps w:val="false"/>
          <w:strike w:val="false"/>
          <w:dstrike w:val="false"/>
          <w:sz w:val="20"/>
          <w:u w:val="none"/>
          <w:effect w:val="none"/>
        </w:rPr>
        <w:t xml:space="preserve">. Although new data center builds will prioritize liquid cooling,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brownfield sites are still actively introducing AI / machine learning and other dense workloads. Accelsius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technology can fit in a standard rack and connect to existing facility water loops.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Heat removal head room</w:t>
      </w:r>
      <w:r>
        <w:rPr>
          <w:rFonts w:ascii="Times New Roman;sans-serif" w:hAnsi="Times New Roman;sans-serif"/>
          <w:b w:val="false"/>
          <w:i w:val="false"/>
          <w:caps w:val="false"/>
          <w:smallCaps w:val="false"/>
          <w:strike w:val="false"/>
          <w:dstrike w:val="false"/>
          <w:sz w:val="20"/>
          <w:u w:val="none"/>
          <w:effect w:val="none"/>
        </w:rPr>
        <w:t xml:space="preserve">. We believe Accelsius technology will be designed to support not just this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generation of processors, but many more to come. Standard CPU power consumption is expected to exceed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500 W and standard GPU power consumption is expected to exceed 700 W by the end of 2025, with high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performance GPUs reaching 2000 watts in 2026. Based on the recent trajectory of increasing CPU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GPU power consumption, we believe there is a high likelihood that chips may reach temperatures of up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2500 watts in the near future. The ability to cool these power processors helps protect the investment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Accelsius’ NeuCool technology.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History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basic two-phase cooling technology underpinning NeuCool was developed at Nokia Bell Labs over a three-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year period from 2019 to 2022. Innventure formed Accelsius in May 2022. Accelsius and Nokia executed a Patent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 Agreement dated May 27, 2022, and a Technology License and Know-How Agreement dated May 27,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52</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2022, to transfer the passive, two-phase, direct-to-chip cooling technology from Nokia to Accelsius. Subsequently,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has significantly improved the technology to enhance its thermal cooling effectiveness and productized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active, pumped solution to make it more suitable for high volume production.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Current Status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is an early-stage company that has recently begun revenue-generating operations, including initial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shipments of product. Accelsius has been focused on developing and commercializing data center cooling products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since its inception in 2022 and delivered its first products to market in Q3 2024. Accelsius has implemented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development and applications testing capabilities at its headquarters in Austin, Texas. Accelsius has also built in-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house fabrication capabilities for key heat transfer components and set up manufacturing and supply chain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infrastructure.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has signed binding revenue-generating agreements, as well as non-binding memoranda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understanding,  with third parties with whom it will deploy NeuCool thermal management systems to operating data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centers. These third parties include hardware equipment original equipment manufacturers (“OEMs”), value-added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resellers, and data center operators, all of which Accelsius believes represent key customers across the data center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telecom industries. Accelsius engages with potential customers in a collaborative evaluation of project needs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technical fit, taking into consideration system requirements, existing/planned infrastructure, and both present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future customer objectives. Accelsius’ agreements typically outline an implementation process consisting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four phases: assessment, initial deployment, scaled deployment, and ongoing service.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Current manufacturing assets and supply chain infrastructure are anticipated to support market demand through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mid- to late-2025, and additional capacity expansions and/or collaboration with selected contract manufacturers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be staged to meet customer needs as demand is expected to grow in 2025.</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Customer Landscape and Growth Strategy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go-to-market strategy is through partnerships. Accelsius has signed binding revenue-generating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agreements, as well as non-binding memoranda of understanding,  with third parties with whom it will deploy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NeuCool thermal management systems to data centers. These third parties include hardware equipment OEMs,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value-added resellers, and data center operators, all of whom Accelsius believes represent key customers across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data center and telecom industries. Accelsius will deliver kitted NeuCool cooling systems for inclusion in ecosystem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partner server deployments. Specific components of the NeuCool systems are designed to work with standard CPUs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GPUs and will be common across all kits; other components will be customized to match specific server designs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for each partner.</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Competition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potential size and high growth of the liquid cooling market has attracted several startup competitors across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different liquid cooling technologies. This market has seen an influx of single-phase water cooling DLC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competitors; however, we believe Accelsius and Zutacore are currently the only two companies that have sold two-</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phase refrigerant-based solutions in the market. With two-phase DLC becoming increasingly necessary to cool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increasingly high powered chips, we believe that additional potential competitors will enter this market.  Due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complexity of designing and optimizing two-phase solutions, we believe that other potential competitors may face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delays in entering this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liquid cooling solution that Accelsius offers is well positioned compared to many other liquid cooling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solutions because we believe it (i) uses the most thermally capable liquid cooling technology (two phase direct-to-</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chip) and (ii) is the most robust. Compared to other solutions, the Accelsius two phase direct-to-chip cooling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 is designed to provide high heat transfer capabilities in an easy-to-install form configured to work equally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well with greenfield data center deployments and retrofits of servers in existing data centers. The Accelsius NeuCool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solution does not use water as the working fluid, so no water ever comes in contact with critical, high value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electronic components, and our solution is designed to be field serviceable. Accelsius’s product includes design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features that allow data center technicians to swap and service components using industry standard practices.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53</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two phase direct-to-chip liquid cooling technology is an effective alternative to the limitations posed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 other liquid cooling technologies.  We summarize below some of the operational issues faced by competitive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liquid cooling technologies based on that user feedback: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Single-Phase Immersion: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Expensive (~$100,000 per tank) and with limited thermal headroom (&lt; 50 KW);</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Requires modification (re-layout) of server internals for liquid flow and server warranty is usually void;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Servicing requires removal of servers from sealed liquid cooling baths and is time consuming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expensive;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Forklift upgrade of existing rack infrastructure and inefficient use of real estate;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Leading competitors include LiquidStack, Green Revolution Cooling, and TMGCore.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Two-Phase Immersion: In addition to the issues outlined above, two-phase immersion is also:</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Very expensive (~$175,000 per tank);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Vapor can get trapped in the servers causing localized hot spots;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Very few pilot implementations are expanded on because “no one wants tanks full of perfluoroalkyl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polyfluoroalkyl substances coolant in the data center;”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Leading competitors include LiquidStack, TMGCore and Submer.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Single-Phase Direct-to-Chip (e.g., water):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Water leaks that can cause catastrophic failure in servers and are the most significant risk. Users state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water leaks around electronic components have occurred and destroyed the servers: “Not a question of ‘if’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it will leak, but ‘when’ it will leak”;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Bio-fouling (biofilm build up) within pipes and cold plates is a concern;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Cooling higher thermal densities requires large pumps and high pressure/flow rate of water (increasing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chance of leaks &amp; electricity use);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Leading competitors include CoolIT Systems and STULZ.</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Intellectual Property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has developed a comprehensive IP strategy initially built around five filed patent applications and one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granted patent, with several improvements and new inventions moving through the patent application process.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Accelsius is also using trade secrets to protect certain aspects of the technology solution and manufacturing process.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AeroFlexx and Refinity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Overview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manufactures what we believe to be one of the first flexible packages designed to act like a rigid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bottle (the “pak”). Its proprietary integrated valve eliminates the need for discrete closures, removes the need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pumps, and enhances the consumer use experience, while its proprietary air frame provides structural rigidity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throughout the entire package lifecycle, including end of life collection and sortation. The package eliminates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50-70% of plastic used, potentially up to 85% less virgin plastic than traditional rigid bottles by incorporating </w:t>
      </w:r>
    </w:p>
    <w:p>
      <w:pPr>
        <w:pStyle w:val="TextBody"/>
        <w:bidi w:val="0"/>
        <w:spacing w:before="0" w:after="0"/>
        <w:jc w:val="left"/>
        <w:rPr/>
      </w:pPr>
      <w:r>
        <w:rPr/>
        <w:drawing>
          <wp:inline distT="0" distB="0" distL="0" distR="0">
            <wp:extent cx="7772400" cy="10058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772400" cy="10058400"/>
                    </a:xfrm>
                    <a:prstGeom prst="rect">
                      <a:avLst/>
                    </a:prstGeom>
                  </pic:spPr>
                </pic:pic>
              </a:graphicData>
            </a:graphic>
          </wp:inline>
        </w:drawing>
      </w:r>
    </w:p>
    <w:p>
      <w:pPr>
        <w:pStyle w:val="TextBody"/>
        <w:bidi w:val="0"/>
        <w:spacing w:lineRule="atLeast" w:line="160" w:before="0" w:after="0"/>
        <w:jc w:val="left"/>
        <w:rPr/>
      </w:pP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Not recyclable in all communities. Check locally.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54</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recycled content and can be curbside recyclable where all plastic bottles are accepted</w:t>
      </w:r>
      <w:r>
        <w:rPr>
          <w:rFonts w:ascii="Times New Roman;sans-serif" w:hAnsi="Times New Roman;sans-serif"/>
          <w:b w:val="false"/>
          <w:i w:val="false"/>
          <w:caps w:val="false"/>
          <w:smallCaps w:val="false"/>
          <w:sz w:val="13"/>
        </w:rPr>
        <w:t>1</w:t>
      </w:r>
      <w:r>
        <w:rPr>
          <w:rFonts w:ascii="Times New Roman;sans-serif" w:hAnsi="Times New Roman;sans-serif"/>
          <w:b w:val="false"/>
          <w:i w:val="false"/>
          <w:caps w:val="false"/>
          <w:smallCaps w:val="false"/>
          <w:sz w:val="20"/>
        </w:rPr>
        <w:t xml:space="preserve">. Prior to filling, the package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shipped in a freight efficient flat pak format that reduces supply chain cost and complexity.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product is also designed to solve the challenges of shipping liquids in the e-commerce channel while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equally performing in traditional brick and mortar retail channels. It is ISTA-6 Amazon approved for both prep-free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packaging and ship in own container, allowing customers to ship liquids more easily via the e-commerce channel.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experience, the benefits of International Safe Transit Association (“ISTA”) certified packaging can be realized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through cost savings, product protection, increased brand loyalty and greater customer satisfaction. The potential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labor &amp; cost savings stem from elimination of preparation materials.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is headquartered in West Chester, Ohio. The firm’s 27,082 square foot facility currently has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initial commercial line installed with a nameplate design capacity of over 50 million units per year. We expect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two additional lines will be launched by the end of the second quarter of 2025.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Refinity intends to commercialize process technologies for converting low cost, abundant plastic waste to drop-</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chemicals directly useful in and consumable by the existing petrochemical supply chain.  Refinity believes that 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 uniquely positioned for success because Refinity has exclusively licensed a proprietary advanced recycling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process to convert minimally sorted, low-cost mixed plastic waste to drop-in chemicals, including olefin gases (e.g.,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ethylene and propylene) and hydrocarbon liquids (e.g., naphtha substitutes) at yields that Refinity believes are higher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than other conversion technologies. Refinity plans to target the 240 million tonnes/year of mixed plastic waste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incumbent recycling technologies cannot typically use in a cost effective and scalable way.  Additionally,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collaboration with Dow is expected to provide engineering and operations insight for Refinity’s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advanced recycling process, detailed understanding of what product quality is needed to integrate with typical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petrochemical plant operations, and different site and plant integration options that take advantage of existing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infrastructure.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exclusively licensed the rights to novel technology for advanced recycling of mixed plastic waste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VTT. The core technology is a proprietary application of fluidized bed processes that are routinely operated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refining industry to make transportation fuels and in the petrochemical industry to make high volume chemicals.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Fluidized bed processing uses very uniform and efficient heating and short residence times to convert waste plastics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into the chemicals from which those plastics were originally made.  We also expect the process to use a wider range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plastic waste feedstocks than competing technologies. Using the equipment and capabilities available at VTT,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plans to tune operating conditions and optimize yields for different types of plastic wastes.  Refinity also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expects to use the equipment for the engineering studies needed to design the first plant.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Market Opportunity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global packaging market is estimated to generate annual sales of approximately $900 billion with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estimated average annual growth rate of 3.1% for rigid plastic and 4.7% for flexible plastic packaging over the next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three to five years. The estimated addressable market for AeroFlexx applications is approximately $400 billion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across several market categories including personal care, household products, food, pet care and industrial.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average, 400 million tonnes per year of plastic are produced globally, and 380 million tonnes per year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disposed of as plastic waste. Of that, 46% of plastic waste is landfilled, 22% becomes litter, 17% is incinerated,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15% is collected for recycling, with less than 9% actually recycled after losses. Refinity is targeting the 91%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plastic waste that is currently not recycled. Specifically, Refinity intends to focus on using the 240 million tonnes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 year that are currently landfilled or incinerated.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the yields that Refinity believes its fluidized bed process will convert plastic waste to drop-in chemicals, 240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million tonnes per year of plastic waste could be converted to hydrocarbon liquids and olefin gases valued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$150-200 billion annually. Further, with increasing consumer demand for more sustainable packaging; regulatory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focus on restricting plastic waste exports, landfill, and incineration; and minimum recycled plastic content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requirements, all of which could enable premiums for sustainable plastics (including sustainable feedstocks, such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naphtha or light olefins, for polymer and plastic production), the market for plastic recycling is strengthening.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55</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global recycled plastics market size was valued at $51 billion in 2023 and is projected to grow to $107 billion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2032. Current market prices for naphtha substitutes (e.g., hydrotreated pyrolysis oils and sustainable/circular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naphtha) frequently indicate a significant premium over fossil naphtha.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Sustainability Benefits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Superior sustainability benefits are integral to AeroFlexx’s package design and overall value proposition.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aims to  divert plastic waste that is currently mishandled, landfilled, or incinerated and convert that waste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sustainable, drop-in chemicals for use in the existing petrochemical supply chain.  We believe that the following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sustainability benefits are potential targets: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Package Circularity</w:t>
      </w:r>
      <w:r>
        <w:rPr>
          <w:rFonts w:ascii="Times New Roman;sans-serif" w:hAnsi="Times New Roman;sans-serif"/>
          <w:b w:val="false"/>
          <w:i w:val="false"/>
          <w:caps w:val="false"/>
          <w:smallCaps w:val="false"/>
          <w:strike w:val="false"/>
          <w:dstrike w:val="false"/>
          <w:sz w:val="20"/>
          <w:u w:val="none"/>
          <w:effect w:val="none"/>
        </w:rPr>
        <w:t xml:space="preserve">: AeroFlexx packaging can incorporate up to 50% recycled content without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compromise.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Life Cycle Analysis</w:t>
      </w:r>
      <w:r>
        <w:rPr>
          <w:rFonts w:ascii="Times New Roman;sans-serif" w:hAnsi="Times New Roman;sans-serif"/>
          <w:b w:val="false"/>
          <w:i w:val="false"/>
          <w:caps w:val="false"/>
          <w:smallCaps w:val="false"/>
          <w:strike w:val="false"/>
          <w:dstrike w:val="false"/>
          <w:sz w:val="20"/>
          <w:u w:val="none"/>
          <w:effect w:val="none"/>
        </w:rPr>
        <w:t xml:space="preserve">: By considering source reduction, recycled content, recyclability and eliminating excess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packaging material in e-commerce, AeroFlexx can deliver up to 83% less waste to landfills, 69% GHG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reduction, and 73% less water use.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UN Sustainable Goals Alignment</w:t>
      </w:r>
      <w:r>
        <w:rPr>
          <w:rFonts w:ascii="Times New Roman;sans-serif" w:hAnsi="Times New Roman;sans-serif"/>
          <w:b w:val="false"/>
          <w:i w:val="false"/>
          <w:caps w:val="false"/>
          <w:smallCaps w:val="false"/>
          <w:strike w:val="false"/>
          <w:dstrike w:val="false"/>
          <w:sz w:val="20"/>
          <w:u w:val="none"/>
          <w:effect w:val="none"/>
        </w:rPr>
        <w:t xml:space="preserve">: AeroFlexx can contribute to meeting several of the sustainable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development goals outlined by the United Nations, including industry, innovation, and infrastructure;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responsible consumption and production; climate action; and life below water.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GHG emissions reduction relative to plastic waste incineration or pyrolysis</w:t>
      </w:r>
      <w:r>
        <w:rPr>
          <w:rFonts w:ascii="Times New Roman;sans-serif" w:hAnsi="Times New Roman;sans-serif"/>
          <w:b w:val="false"/>
          <w:i w:val="false"/>
          <w:caps w:val="false"/>
          <w:smallCaps w:val="false"/>
          <w:strike w:val="false"/>
          <w:dstrike w:val="false"/>
          <w:sz w:val="20"/>
          <w:u w:val="none"/>
          <w:effect w:val="none"/>
        </w:rPr>
        <w:t xml:space="preserve">: Internal LCA analysis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indicated about -400 kg CO2-eq/tonne plastic waste for the Refinity fluidized bed conversion process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compared to 1777 kg CO2-eq/tonne plastic waste for incineration and 739 kg CO2-eq/tonne plastic waste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for pyrolysis, so Refinity believes that its process will reduce GHG emissions.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Fossil source reduction</w:t>
      </w:r>
      <w:r>
        <w:rPr>
          <w:rFonts w:ascii="Times New Roman;sans-serif" w:hAnsi="Times New Roman;sans-serif"/>
          <w:b w:val="false"/>
          <w:i w:val="false"/>
          <w:caps w:val="false"/>
          <w:smallCaps w:val="false"/>
          <w:strike w:val="false"/>
          <w:dstrike w:val="false"/>
          <w:sz w:val="20"/>
          <w:u w:val="none"/>
          <w:effect w:val="none"/>
        </w:rPr>
        <w:t xml:space="preserve">: If all plastic waste from landfill and incineration (240 million tonnes per year)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were converted to hydrocarbon liquids (e.g., naphtha substitute) at yields consistent with what Refinity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believes are possible in the fluidized bed process, those hydrocarbon liquids could replace up to 80%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fossil naphtha; saving roughly 96 million tonnes per year of CO2-eq emissions.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Value to Clients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can help drive growth and overall profitability through significant supply chain savings. This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accomplished through several supply chain benefits of the AeroFlexx pak: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Reduces Complexity of Sourcing</w:t>
      </w:r>
      <w:r>
        <w:rPr>
          <w:rFonts w:ascii="Times New Roman;sans-serif" w:hAnsi="Times New Roman;sans-serif"/>
          <w:b w:val="false"/>
          <w:i w:val="false"/>
          <w:caps w:val="false"/>
          <w:smallCaps w:val="false"/>
          <w:strike w:val="false"/>
          <w:dstrike w:val="false"/>
          <w:sz w:val="20"/>
          <w:u w:val="none"/>
          <w:effect w:val="none"/>
        </w:rPr>
        <w:t xml:space="preserve">: AeroFlexx ships as a flat pak and replaces the bottle, cap and label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customers must procure from multiple sources and destinations.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Reduced Transportation Cost and Footprint</w:t>
      </w:r>
      <w:r>
        <w:rPr>
          <w:rFonts w:ascii="Times New Roman;sans-serif" w:hAnsi="Times New Roman;sans-serif"/>
          <w:b w:val="false"/>
          <w:i w:val="false"/>
          <w:caps w:val="false"/>
          <w:smallCaps w:val="false"/>
          <w:strike w:val="false"/>
          <w:dstrike w:val="false"/>
          <w:sz w:val="20"/>
          <w:u w:val="none"/>
          <w:effect w:val="none"/>
        </w:rPr>
        <w:t xml:space="preserve">: prior to filling the package, shipping as a flat pak creates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form factor that takes up less than 10% of the space in shipping of an equivalent pre-formed empty rigid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bottle, in addition to eliminating the need for cap and label supply chains. This reduces cost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environmental footprint by taking trucks off the road.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Lowers Warehouse Requirements and Inventory Cost</w:t>
      </w:r>
      <w:r>
        <w:rPr>
          <w:rFonts w:ascii="Times New Roman;sans-serif" w:hAnsi="Times New Roman;sans-serif"/>
          <w:b w:val="false"/>
          <w:i w:val="false"/>
          <w:caps w:val="false"/>
          <w:smallCaps w:val="false"/>
          <w:strike w:val="false"/>
          <w:dstrike w:val="false"/>
          <w:sz w:val="20"/>
          <w:u w:val="none"/>
          <w:effect w:val="none"/>
        </w:rPr>
        <w:t xml:space="preserve">: with the AeroFlexx flat pak replacing pre-formed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empty bottles, caps and labels, there is an overall reduction in the need for inventory space and overall cost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associated with labor and working capital.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ISTA-6 Amazon Approved</w:t>
      </w:r>
      <w:r>
        <w:rPr>
          <w:rFonts w:ascii="Times New Roman;sans-serif" w:hAnsi="Times New Roman;sans-serif"/>
          <w:b w:val="false"/>
          <w:i w:val="false"/>
          <w:caps w:val="false"/>
          <w:smallCaps w:val="false"/>
          <w:strike w:val="false"/>
          <w:dstrike w:val="false"/>
          <w:sz w:val="20"/>
          <w:u w:val="none"/>
          <w:effect w:val="none"/>
        </w:rPr>
        <w:t xml:space="preserve">: for shipping liquids via the e-commerce channel, reductions in damages from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breakage, leakage and handling can generate significant savings through lower returns or refund rates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reduced overall package and labor costs.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Omni-Channel Ready</w:t>
      </w:r>
      <w:r>
        <w:rPr>
          <w:rFonts w:ascii="Times New Roman;sans-serif" w:hAnsi="Times New Roman;sans-serif"/>
          <w:b w:val="false"/>
          <w:i w:val="false"/>
          <w:caps w:val="false"/>
          <w:smallCaps w:val="false"/>
          <w:strike w:val="false"/>
          <w:dstrike w:val="false"/>
          <w:sz w:val="20"/>
          <w:u w:val="none"/>
          <w:effect w:val="none"/>
        </w:rPr>
        <w:t xml:space="preserve">: the pak is omni-channel ready as soon as it is filled with liquid product from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AeroFlexx filling machine, which we expect to eliminate stock keeping unit proliferation based on desired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sales distribution channel.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56</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New Size/Shape Development Efficiency</w:t>
      </w:r>
      <w:r>
        <w:rPr>
          <w:rFonts w:ascii="Times New Roman;sans-serif" w:hAnsi="Times New Roman;sans-serif"/>
          <w:b w:val="false"/>
          <w:i w:val="false"/>
          <w:caps w:val="false"/>
          <w:smallCaps w:val="false"/>
          <w:strike w:val="false"/>
          <w:dstrike w:val="false"/>
          <w:sz w:val="20"/>
          <w:u w:val="none"/>
          <w:effect w:val="none"/>
        </w:rPr>
        <w:t xml:space="preserve">: flexible manufacturing eliminates the need for capital intensive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molds and tooling costs, which may enable rapid adoption at a much lower cost.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Product Safety</w:t>
      </w:r>
      <w:r>
        <w:rPr>
          <w:rFonts w:ascii="Times New Roman;sans-serif" w:hAnsi="Times New Roman;sans-serif"/>
          <w:b w:val="false"/>
          <w:i w:val="false"/>
          <w:caps w:val="false"/>
          <w:smallCaps w:val="false"/>
          <w:strike w:val="false"/>
          <w:dstrike w:val="false"/>
          <w:sz w:val="20"/>
          <w:u w:val="none"/>
          <w:effect w:val="none"/>
        </w:rPr>
        <w:t xml:space="preserve">: designed with hygiene in mind with tamper proof packaging that eliminates the use of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discrete closure with AeroFlexx proprietary integrated valve (e.g., no need for a separate cap, pump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package sealing and dispensing device) to help keep products safe and prevent product losses.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Currently, the limitations for Refinity’s clients to fully embrace and scale plastic circularity is economic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viability and plastic waste sourcing. Refinity believes that its fluidized bed process provides unique benefits that: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Enable higher yield conversion of plastic waste to olefin gases and hydrocarbon liquids</w:t>
      </w:r>
      <w:r>
        <w:rPr>
          <w:rFonts w:ascii="Times New Roman;sans-serif" w:hAnsi="Times New Roman;sans-serif"/>
          <w:b w:val="false"/>
          <w:i w:val="false"/>
          <w:caps w:val="false"/>
          <w:smallCaps w:val="false"/>
          <w:strike w:val="false"/>
          <w:dstrike w:val="false"/>
          <w:sz w:val="20"/>
          <w:u w:val="none"/>
          <w:effect w:val="none"/>
        </w:rPr>
        <w:t xml:space="preserve">. VTT has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demonstrated that the fluidized bed process converts plastic waste to olefin gases at higher yield than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conventional pyrolysis processes, potentially enabling two to three times higher productivity when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fluidized bed process feeds olefin gases directly to petrochemical steam cracker operations.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Allow use of low cost, mixed plastic wastes</w:t>
      </w:r>
      <w:r>
        <w:rPr>
          <w:rFonts w:ascii="Times New Roman;sans-serif" w:hAnsi="Times New Roman;sans-serif"/>
          <w:b w:val="false"/>
          <w:i w:val="false"/>
          <w:caps w:val="false"/>
          <w:smallCaps w:val="false"/>
          <w:strike w:val="false"/>
          <w:dstrike w:val="false"/>
          <w:sz w:val="20"/>
          <w:u w:val="none"/>
          <w:effect w:val="none"/>
        </w:rPr>
        <w:t xml:space="preserve">. Unlike incumbent recycling processes which typically require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more sorting and pre-cleaning of plastic wastes, Refinity believes that the fluidized bed process will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more robust to minimally-sorted, mixed plastic waste streams.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Enable plant site flexibility</w:t>
      </w:r>
      <w:r>
        <w:rPr>
          <w:rFonts w:ascii="Times New Roman;sans-serif" w:hAnsi="Times New Roman;sans-serif"/>
          <w:b w:val="false"/>
          <w:i w:val="false"/>
          <w:caps w:val="false"/>
          <w:smallCaps w:val="false"/>
          <w:strike w:val="false"/>
          <w:dstrike w:val="false"/>
          <w:sz w:val="20"/>
          <w:u w:val="none"/>
          <w:effect w:val="none"/>
        </w:rPr>
        <w:t xml:space="preserve">. We believe that the Refinity fluidized bed operating conditions can be tuned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allow for production of either olefin (ethylene and propylene) gases and hydrocarbon liquids. We believe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flexibility to site and build a liquids plant close to low-cost plastic waste feedstock sources will allow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Refinity to minimize transportation costs for plastic waste and reduce operating costs. Refinity expects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site an olefin gas plant adjacent to petrochemical steam cracker operations to take advantage of existing site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infrastructure and product purification while also minimizing cost for transporting the olefin product.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History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was launched in February 2018 as our second Innventure Company. The technology was acquired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P&amp;G, who conducted extensive R&amp;D and customer testing using iconic brands such as Dawn, Old Spice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Olay as part of a multi-year consumer research plan. AeroFlexx acquired sole exclusive rights to commercialize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globally, across all categories and with any partner, including any P&amp;G direct competitors without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restriction.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fluidized bed conversion technology underpinning Refinity was developed at VTT from 2014 to 2024.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developed a collaboration with VTT and Dow during 2024 and formed Refinity in December 2024.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and VTT executed a definitive agreement on December 11, 2024, and exclusively licensed a portfolio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advanced conversion of mixed plastic waste patents and patent applications from VTT.  Innventure and Dow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executed a collaboration agreement on December 13, 2024, for the companies to work together, including through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to scale and commercialize technologies aimed at converting mixed waste, including hard-to-recycle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plastic waste, to petrochemical feedstocks.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Current Status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is in the early stages of operations and is beginning to ramp up commercial production capabilities.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AeroFlexx’s first commercial line has been installed with a design nameplate capacity of up to 50 million units per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year. AeroFlexx is currently in the process of securing off-take agreements with partners wanting to harness first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mover advantage with a superior packaging format.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late 2023, AeroFlexx installed and commissioned its second converter, and the first to utilize recyclable film,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West Chester, Ohio. AeroFlexx’s next converter has been installed and is expected to be fully commissioned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end of the second quarter of 2025. The converting capacity at the facility in West Chester, Ohio (the “West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Chester Facility”) is expected to provide a total manufacturing capacity of approximately 100 million packages per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year, which is designed to demonstrate the minimum viable manufacturing footprint to achieve a cash flow break-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even run rate for the West Chester Facility. The current manufacturing footprint installed and on order is projected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57</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be sufficient to meet projected demand through mid-2025, with additional capacity expansions being staged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meet customer needs as offtake agreements and customer traction warrants.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is an early-stage company that is just beginning operations. In the first quarter of 2025, Refinity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building internal staff and developing capabilities to commercialize the fluidized bed technology licensed from VTT.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is advancing its plastic waste sourcing strategy and has commissioned experimental work at VTT for bench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pilot scale optimization of the fluidized bed process to convert available plastic wastes, sourced from the 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European markets, to drop-in chemicals, including olefin (ethylene and propylene) gases and hydrocarbon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liquids. That work is expected to continue through 2025. Refinity is working both independently and with Dow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identify candidate sites for first commercial demonstration plant and is engaging Engineering, Procurement,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Construction (EPC) firms to begin design work for the first plant.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Customer Landscape and Growth Strategy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is currently targeting CPG companies that utilize either rigid bottle with caps, pumps, or pouch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packaging to deliver their liquid products to consumers.  AeroFlexx is leveraging the increasing global demand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more sustainable packaging and offering a package format that offers many features and benefits for branded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consumer products, with a new and simplified liquid packaging manufacturing platform. AeroFlexx intends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deploy this platform by having centralized converting operations that are owned and operated by AeroFlexx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strategically located filling machines that are sold and located at or near where liquid products are formulated.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are targeting brands of large, medium, and small consumer products companies. AeroFlexx plans to sell filling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equipment directly to branded manufacturers or to their co-manufacturing partners that formulate the liquid.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produce the flat paks via our converting machines and intend to either partner with co-manufacturers to deliver filled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final packages to brands or sell the flat paks directly to the CPG companies to be filled on the AeroFlexx filling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equipment.  R&amp;D continues to innovate additional pak shapes and sizes along with enhancements to filling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equipment and converting machines.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will sell drop-in liquid and gas phase chemicals to petrochemical company customers, including Dow.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prospective customers include multinationals such as BASF, CP Chem, SABIC, LyondellBasell, and Shell.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establish a market which does not exist at a global scale today, Refinity envisions playing a bigger role to create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enable the end-to-end plastic waste supply chain. Refinity’s overarching strategy is (1) to build expertise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competitive advantage in affordable plastic waste feedstock sourcing and (2) to develop and deploy robust fluidized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bed conversion technologies which can use affordable wastes without much sorting or pretreatment to assure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economical, globally scalable solutions.  In addition, a market for liquid hydrocarbon products, including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hydrotreated pyrolysis oil and sustainable/circular naphtha, already exists. Petrochemical companies currently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 various sustainable liquid products as supplements or replacements for fossil naphtha, so Refinity’s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entrance into that market is expected to be straightforward.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Competition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competes directly with different package format options that CPG companies can choose for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specific liquid product that is sold to consumers. These package formats include, but may not be limited to, rigid,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stand cap, or pouch packaging. Some of these package formats may also incorporate some type of air chamber as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added feature.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While many options exist for advanced recycling of plastic waste, few processes have achieved meaningful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global success in the market. Mechanical recycling is the incumbent technology that accounts for most of the 9%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plastics recycling today.  However, Refinity primarily considers players with thermal depolymerization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pyrolysis recycling technologies as potential competitors.  Firms such as Alterra, Brightmark, Plastic Energy, Mura/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Licella, Eastman Chemical, and ExxonMobil use thermochemical conversion processes to convert plastic waste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hydrocarbon liquids.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Materials from mechanical recycling can only be used in niche applications and as such have limited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potential, while producing hydrocarbon liquids and gases as raw materials for the petrochemical industry which can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 directly or indirectly used into virgin polymer supply chains have greater market potential. Refinity believes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its fluidized bed processing technology can utilize mixed plastic waste with minimal sorting and pretreatment, so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expects to enable better economic viability than competing processes. The resulting hydrocarbon liquid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(e.g., naphtha substitute) and gas (e.g., olefins including ethylene and propylene) products can be fed directly into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existing olefins supply chain, providing access to large end markets. Refinity believes that the greatest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competitive advantage of our fluidized bed technology versus other competing thermochemical conversion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technologies and companies is higher yield of plastic waste to drop-in chemical products. Compared to pyrolysis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conversion of plastic waste to pyrolysis oil, Refinity believes that its fluidized bed process yield to hydrocarbon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liquids will be 30-50% higher.</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Intellectual Property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is commercializing a liquid packaging technology that was initially developed by P&amp;G. P&amp;G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granted AeroFlexx a worldwide license under an Amended and Restated Patent and Know-How License Agreement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dated October 25, 2021, between P&amp;G and AeroFlexx for a proprietary flexible package using an air frame and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integrated valve or closure, along with methods of manufacturing. AeroFlexx has developed and owns IP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trademarks and in improvements solely developed by AeroFlexx to the package around materials and recyclability,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those improvements are in the form of AeroFlexx trade secrets and issued and pending patents.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Refinity is in the process of developing a comprehensive IP strategy that will build upon the portfolio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advanced recycling of mixed plastic waste patents and patent applications exclusively licensed from VTT.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MANAGEMENT</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Our Board of Directors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Class I Directors</w:t>
      </w:r>
    </w:p>
    <w:p>
      <w:pPr>
        <w:pStyle w:val="TextBody"/>
        <w:bidi w:val="0"/>
        <w:spacing w:lineRule="atLeast" w:line="200" w:before="0" w:after="0"/>
        <w:jc w:val="left"/>
        <w:rPr/>
      </w:pPr>
      <w:r>
        <w:rPr>
          <w:rFonts w:ascii="Times New Roman;sans-serif" w:hAnsi="Times New Roman;sans-serif"/>
          <w:b/>
          <w:i/>
          <w:sz w:val="20"/>
        </w:rPr>
        <w:t>Gregory William (“Bill”) Haskell</w:t>
      </w:r>
      <w:r>
        <w:rPr>
          <w:rFonts w:ascii="Times New Roman;sans-serif" w:hAnsi="Times New Roman;sans-serif"/>
          <w:b w:val="false"/>
          <w:i w:val="false"/>
          <w:caps w:val="false"/>
          <w:smallCaps w:val="false"/>
          <w:sz w:val="20"/>
        </w:rPr>
        <w:t xml:space="preserve">, 68, is Innventure’s CEO and a Class I director. Mr. Haskell previously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served as Chief Executive Officer and Manager of Innventure LLC from 2021 until 2024. Prior to his time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he was a co-founder and President of both XL Vision and XL TechGroup (“XLTG”),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created the foundational business building methodology upon which Innventure is based, from 1993 to 1999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2001 to 2011, respectively. Mr. Haskell has worked with the key principals of Innventure for over 20 years. He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also served as a CEO of a London Stock Exchange-listed company and has been a director of over a dozen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Most recently, Mr. Haskell was a partner at Bellview Associates,  a boutique investment bank focused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converting private companies into employee-owned enterprises from 2019 to 2021. He has over 30 years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experience in company creation and development. Mr. Haskell holds a B.S. degree in engineering and conducted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post-graduate work in applied mathematics at Iowa State University. The Company believes Mr. Haskell is qualified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serve as a member of the Board due to his significant corporate leadership experience and deep understanding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our business.</w:t>
      </w:r>
    </w:p>
    <w:p>
      <w:pPr>
        <w:pStyle w:val="TextBody"/>
        <w:bidi w:val="0"/>
        <w:spacing w:lineRule="atLeast" w:line="200" w:before="0" w:after="0"/>
        <w:jc w:val="left"/>
        <w:rPr/>
      </w:pPr>
      <w:r>
        <w:rPr>
          <w:rFonts w:ascii="Times New Roman;sans-serif" w:hAnsi="Times New Roman;sans-serif"/>
          <w:b/>
          <w:i/>
          <w:sz w:val="20"/>
        </w:rPr>
        <w:t>Daniel J. Hennessy</w:t>
      </w:r>
      <w:r>
        <w:rPr>
          <w:rFonts w:ascii="Times New Roman;sans-serif" w:hAnsi="Times New Roman;sans-serif"/>
          <w:b w:val="false"/>
          <w:i w:val="false"/>
          <w:caps w:val="false"/>
          <w:smallCaps w:val="false"/>
          <w:sz w:val="20"/>
        </w:rPr>
        <w:t xml:space="preserve">, 67, is a Class I director and Learn CW’s director designee pursuant to the terms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Combination Agreement. Mr. Hennessy currently serves as Chairman and CEO of Hennessy Capital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Corp. VII (NASDAQ: HVII) and Chairman and CEO of Hennessy Capital Investment Corp. VI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(Nasdaq: HCVI), a special purpose acquisition company, and as Chairman of the board of directors of Compass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Digital Acquisition Corp. (NASDAQ: CDAQ), a special purpose acquisition company. Mr. Hennessy also founded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Hennessy Capital Group LLC as an alternative investment firm in 2013 to focus on investments in the sustainable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industrial technology and infrastructure sectors. From October 2020 to December 2022, Mr. Hennessy served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Chairman and CEO of Hennessy Capital Investment Corp. V, a special purpose acquisition company. Mr. Hennessy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also served as Chairman &amp; CEO of Hennessy Capital Acquisition Corp. IV, a special purpose acquisition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in December of 2020, completed its business combination with Canoo Holdings Ltd. He also served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member of the board of directors of Daseke, Inc. (NASDAQ: DSKE), a North American trucking and logistics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from 2017 to 2021. Mr. Hennessy began his career in 1981 in the oil and gas lending group at Continental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Illinois National Bank, now Bank of America, where he was a Banking Officer. Mr. Hennessy has dedicated over 25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years to serving non-profit healthcare, higher education and conservation organizations, including board positions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Lurie Children’s Hospital of Chicago, National MS Society, John G. Shedd Aquarium, Georgetown University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Yellowstone Forever. Mr. Hennessy has a B.A. from Boston College and an MBA from the University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Michigan. The Company believes that Mr. Hennessy is well qualified to serve as a member of the Board due to 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significant investment, strategic and leadership experience.</w:t>
      </w:r>
    </w:p>
    <w:p>
      <w:pPr>
        <w:pStyle w:val="TextBody"/>
        <w:bidi w:val="0"/>
        <w:spacing w:lineRule="atLeast" w:line="200" w:before="0" w:after="0"/>
        <w:jc w:val="left"/>
        <w:rPr/>
      </w:pPr>
      <w:r>
        <w:rPr>
          <w:rFonts w:ascii="Times New Roman;sans-serif" w:hAnsi="Times New Roman;sans-serif"/>
          <w:b/>
          <w:i/>
          <w:sz w:val="20"/>
        </w:rPr>
        <w:t>Michael Amalfitano</w:t>
      </w:r>
      <w:r>
        <w:rPr>
          <w:rFonts w:ascii="Times New Roman;sans-serif" w:hAnsi="Times New Roman;sans-serif"/>
          <w:b w:val="false"/>
          <w:i w:val="false"/>
          <w:caps w:val="false"/>
          <w:smallCaps w:val="false"/>
          <w:sz w:val="20"/>
        </w:rPr>
        <w:t xml:space="preserve">, 64, is a Class I director of Innventure. Mr. Amalfitano has served as the President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CEO of Embraer Executive Aircraft, Inc., an operating subsidiary of Embraer Aircraft Holdings and Embraer S.A.,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global aircraft manufacturing and sales company (“Embraer”), since 2017. Prior to joining Embraer, Mr. Amalfitano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served as Executive Vice President, Senior Managing Director of Business Aviation at Stonebriar Commercial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Finance, a financing solution company, from 2015 to 2017. Mr. Amalfitano also led as Managing Director,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Executive Head of Global Corporate Aircraft Finance at Bank of America Merrill Lynch for over 22 years,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following a decade-long tenure in sales management at GE Capital. Mr. Amalfitano also currently serves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 of Eve Holding, Inc., a publicly traded air mobility solutions company (NYSE: EVEX). He is also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member of the Board of Trustees at Embry-Riddle Aeronautical University (ERAU) and serves on their Finance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Committees. Mr. Amalfitano currently serves on the Finance, Investment, and Strategic Committees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General Aviation Manufacturer’s Association, is a member of the Advisory Council and Leadership Council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National Business Aviation Association, and serves on the board of the Corporate Angel Network, a non-profit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Past board positions include former four-term OEM President of the International Aircraft Dealers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Association, Chairman of the Associate Members Advisory Council for the National Aircraft Resellers Association,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former two-term President of the National Aircraft Finance Association. Mr. Amalfitano holds a B.A.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Economics and a Master’s in Financial Management from Fairfield University in Fairfield, Connecticut.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60</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believes that Mr. Amalfitano is well qualified to serve as a member of the Board due to his years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executive leadership and public company director experience.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Class II Directors</w:t>
      </w:r>
    </w:p>
    <w:p>
      <w:pPr>
        <w:pStyle w:val="TextBody"/>
        <w:bidi w:val="0"/>
        <w:spacing w:lineRule="atLeast" w:line="200" w:before="0" w:after="0"/>
        <w:jc w:val="left"/>
        <w:rPr/>
      </w:pPr>
      <w:r>
        <w:rPr>
          <w:rFonts w:ascii="Times New Roman;sans-serif" w:hAnsi="Times New Roman;sans-serif"/>
          <w:b/>
          <w:i/>
          <w:sz w:val="20"/>
        </w:rPr>
        <w:t>David Yablunosky</w:t>
      </w:r>
      <w:r>
        <w:rPr>
          <w:rFonts w:ascii="Times New Roman;sans-serif" w:hAnsi="Times New Roman;sans-serif"/>
          <w:b w:val="false"/>
          <w:i w:val="false"/>
          <w:caps w:val="false"/>
          <w:smallCaps w:val="false"/>
          <w:sz w:val="20"/>
        </w:rPr>
        <w:t xml:space="preserve">, 63, is Innventure’s CFO and a Class II director. Mr. Yablunosky has served as CFO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since 2023. Previously, he was CFO of Embraer Aircraft Holding, Inc., the U.S. subsidiary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Brazilian aerospace and defense conglomerate Embraer, from 2022 to 2023; CFO and a Board Member of Embraer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Executive Aircraft, Inc., another subsidiary of Embraer, from 2021 to 2023; and a Board Member of Embraer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Defense and Security, Inc., another subsidiary of Embraer, from 2021 to 2023. Prior to 2021, Mr. Yablunosky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served as the Director of Corporate Finance at Oxbow Carbon, LLC, a privately-held energy company. He brings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over 30 years of finance experience working for large MNCs such as Ford Motor Company, Ford Credit, Office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Depot, Oxbow Carbon LLC, and Embraer. Before his career in finance, Mr. Yablunosky served nine years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 Navy and worked in the Pentagon on General Colin Powell’s staff. Mr. Yablunosky holds a B.S.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Mathematics from the U.S. Naval Academy and an MBA in Finance from the University of Maryland. He also holds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graduate-level Certificate in Accounting from the Harvard University Extension School and has completed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Advanced Management Program at the Harvard Business School. The Company believes Mr. Yablunosky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qualified to serve as a member of the Board due to his expertise in finance and deep understanding of our business.</w:t>
      </w:r>
    </w:p>
    <w:p>
      <w:pPr>
        <w:pStyle w:val="TextBody"/>
        <w:bidi w:val="0"/>
        <w:spacing w:lineRule="atLeast" w:line="200" w:before="0" w:after="0"/>
        <w:jc w:val="left"/>
        <w:rPr/>
      </w:pPr>
      <w:r>
        <w:rPr>
          <w:rFonts w:ascii="Times New Roman;sans-serif" w:hAnsi="Times New Roman;sans-serif"/>
          <w:b/>
          <w:i/>
          <w:sz w:val="20"/>
        </w:rPr>
        <w:t>James (“Jim”) O. Donnally</w:t>
      </w:r>
      <w:r>
        <w:rPr>
          <w:rFonts w:ascii="Times New Roman;sans-serif" w:hAnsi="Times New Roman;sans-serif"/>
          <w:b w:val="false"/>
          <w:i w:val="false"/>
          <w:caps w:val="false"/>
          <w:smallCaps w:val="false"/>
          <w:sz w:val="20"/>
        </w:rPr>
        <w:t xml:space="preserve">, 60, is a Class II director of Innventure. Mr. Donnally has served as a Manager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since 2015 and as the Managing Member of Bellringer Consulting Group, LLC, a startup consulting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and the General Partner of the Glockner Family Venture Fund, LP, since 2023. He previously served as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Vice President and CFO for Glockner Enterprises, whose family office investment thesis is around green technology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manufacturing and was the original funding partner for Innventure, PureCycle and AeroFlexx, from 1996 to 2023.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Glockner Enterprises includes consumer and commercial finance divisions, wholesale lubricant and fuel divisions,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several dealer-controlled used car finance operations, captive and independent insurance agencies and franchise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automobile dealerships in Ohio and Kentucky. Mr. Donnally is also highly involved in organizations and companies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are helping grow southeast Ohio communities and sits on numerous boards. Mr. Donnally was the CFO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PureCycle, an innovative plastic waste processing company, from January 2017 to December 2020. In his prior role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CFO at Glockner Enterprises, he managed the Information Technology, Human Resources, accounting and legal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departments, giving him the ideal view of the inner workings of the enterprise – such as treasury and other asset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lender and regulatory relations and employee benefit administration. Prior to joining Glockner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Enterprises in 1996, Mr. Donnally was a Certified Public Accountant at Hayflich &amp; Steinberg, where he performed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for-profit audit, review, compilation and tax engagements for regional wholesale, retail, manufacturing and service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concerns, specializing in consolidations. Mr. Donnally received his bachelor’s in accounting with minors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economics, finance, philosophy, psychology and theater in 1991 from Marshall University. The Company believes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Mr. Donnally is qualified to serve as a member of the Board due to his over 30 years of experience in finance,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accounting and company development.</w:t>
      </w:r>
    </w:p>
    <w:p>
      <w:pPr>
        <w:pStyle w:val="TextBody"/>
        <w:bidi w:val="0"/>
        <w:spacing w:lineRule="atLeast" w:line="200" w:before="0" w:after="0"/>
        <w:jc w:val="left"/>
        <w:rPr/>
      </w:pPr>
      <w:r>
        <w:rPr>
          <w:rFonts w:ascii="Times New Roman;sans-serif" w:hAnsi="Times New Roman;sans-serif"/>
          <w:b/>
          <w:i/>
          <w:sz w:val="20"/>
        </w:rPr>
        <w:t>Bruce Brown</w:t>
      </w:r>
      <w:r>
        <w:rPr>
          <w:rFonts w:ascii="Times New Roman;sans-serif" w:hAnsi="Times New Roman;sans-serif"/>
          <w:b w:val="false"/>
          <w:i w:val="false"/>
          <w:caps w:val="false"/>
          <w:smallCaps w:val="false"/>
          <w:sz w:val="20"/>
        </w:rPr>
        <w:t xml:space="preserve">, 66, is a Class II director of Innventure. Mr. Brown retired from P&amp;G in 2014 after 34 years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service, including six years with the company as Chief Technology Officer (“CTO”), where he was responsible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company’s R&amp;D Organization, and Innovation &amp; Technology Programs. Before his tenure as CTO, he worked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P&amp;G in Europe &amp; Asia driving international business expansions. Mr. Brown currently serves on the board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Magnera Corporation, a global manufacturing company (NYSE: MAGN), and has previously served on the board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Nokia Corporation, a Finnish telecommunications, information technology, and consumer electronics corporation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(NYSE: NOK), where, after 11 years and upon reaching the tenure limit, he concluded his term in 2023. Formerly,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Mr. Brown was a director of Medpace Holdings, Inc. (NASDAQ: MEDP) from 2016 to 2019. Mr. Brown was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appointed in 2011 by the Government of Singapore as a member of the board of directors of the Agency for Science,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and Research (ASTAR), giving him experience on how to operate within and through government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agencies across the globe. Mr. Brown has also served on the board of directors of Xavier University in Cincinnati,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Ohio. Mr. Brown has a B.S. in Chemical Engineering from the Polytechnic Institute of New York University, and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MBA in Marketing and Finance from Xavier University. The Company believes that Mr. Brown is well qualified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 as a member of the Board due to his organizational leadership development and years of experience as a public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company director.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61</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Class III Directors</w:t>
      </w:r>
    </w:p>
    <w:p>
      <w:pPr>
        <w:pStyle w:val="TextBody"/>
        <w:bidi w:val="0"/>
        <w:spacing w:lineRule="atLeast" w:line="200" w:before="0" w:after="0"/>
        <w:jc w:val="left"/>
        <w:rPr/>
      </w:pPr>
      <w:r>
        <w:rPr>
          <w:rFonts w:ascii="Times New Roman;sans-serif" w:hAnsi="Times New Roman;sans-serif"/>
          <w:b/>
          <w:i/>
          <w:sz w:val="20"/>
        </w:rPr>
        <w:t>Michael (“Mike”) Otworth</w:t>
      </w:r>
      <w:r>
        <w:rPr>
          <w:rFonts w:ascii="Times New Roman;sans-serif" w:hAnsi="Times New Roman;sans-serif"/>
          <w:b w:val="false"/>
          <w:i w:val="false"/>
          <w:caps w:val="false"/>
          <w:smallCaps w:val="false"/>
          <w:sz w:val="20"/>
        </w:rPr>
        <w:t xml:space="preserve">, 63, is Innventure’s Executive Chairman and a Class III director. Mr. Otworth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served as Executive Chairman of Innventure LLC since 2015. Mr. Otworth was the Founding CEO and Chairman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Board of PureCycle, an innovative plastic waste processing company, from 2015 to 2022. Mr. Otworth and team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took PCT from an early-stage concept to an operational pilot and funded its first commercial plant, followed by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successful public offering in March of 2021. Prior to Innventure, Mr. Otworth served as President and Founding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Partner of Green Ocean Innovation, a company that provided technology sourcing, innovation strategy,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development services to Lilly/Elanco Animal Health, from 2008 to 2015. Mr. Otworth also served as Vice-President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Founding CEO of multiple start-ups at XLTG from 1996 to 2000. Mr. Otworth began his career on Capitol Hill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working as a legislative aide and committee staff member in the U.S. House of Representatives.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believes Mr. Otworth is qualified to serve as a member of the Board due to his more than 25 years of experience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leading start-ups in the technology industry, as well as his deep understanding of our business.</w:t>
      </w:r>
    </w:p>
    <w:p>
      <w:pPr>
        <w:pStyle w:val="TextBody"/>
        <w:bidi w:val="0"/>
        <w:spacing w:lineRule="atLeast" w:line="200" w:before="0" w:after="0"/>
        <w:jc w:val="left"/>
        <w:rPr/>
      </w:pPr>
      <w:r>
        <w:rPr>
          <w:rFonts w:ascii="Times New Roman;sans-serif" w:hAnsi="Times New Roman;sans-serif"/>
          <w:b/>
          <w:i/>
          <w:sz w:val="20"/>
        </w:rPr>
        <w:t>Suzanne Niemeyer</w:t>
      </w:r>
      <w:r>
        <w:rPr>
          <w:rFonts w:ascii="Times New Roman;sans-serif" w:hAnsi="Times New Roman;sans-serif"/>
          <w:b w:val="false"/>
          <w:i w:val="false"/>
          <w:caps w:val="false"/>
          <w:smallCaps w:val="false"/>
          <w:sz w:val="20"/>
        </w:rPr>
        <w:t xml:space="preserve">, 54, is Innventure’s General Counsel and a Class III director. She also serves as a director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Refinity Holdings, LLC. Ms. Niemeyer previously served as the General Counsel and Corporate Secretary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Magis Capital Partners, a private equity company with a focus on fintech solutions from 2019 to 2024. From 2003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2019, Ms. Niemeyer served as General Counsel, Managing Director, Corporate Secretary and a member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Acquisitions Committee at Actua Corporation, where she was previously the Vice President of Legal from 2000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2003. While serving Actua, Ms. Niemeyer structured and negotiated dozens of complex mergers and acquisitions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(“M&amp;A”) transactions, oversaw public company compliance with SEC regulations, and presided over all aspects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corporate governance, including stockholder engagement. Prior to joining Actua, Ms. Niemeyer was an Associate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Corporate Department at Dechert LLP. Ms. Niemeyer has previously served on the board of directors for Astea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International Inc. (June to December 2019), Acquirgy, Inc., Bryn Mawr Rehabilitation Hospital Foundation,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Investor Force Holdings. Ms. Niemeyer has a B.A. from Duke University, and a J.D. from Georgetown University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Law Center. The Company believes that Ms. Niemeyer is well qualified to serve as a member of the Board due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her legal acumen and her significant experience in corporate governance matters and advising publicly-traded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companies.</w:t>
      </w:r>
    </w:p>
    <w:p>
      <w:pPr>
        <w:pStyle w:val="TextBody"/>
        <w:bidi w:val="0"/>
        <w:spacing w:lineRule="atLeast" w:line="200" w:before="0" w:after="0"/>
        <w:jc w:val="left"/>
        <w:rPr/>
      </w:pPr>
      <w:r>
        <w:rPr>
          <w:rFonts w:ascii="Times New Roman;sans-serif" w:hAnsi="Times New Roman;sans-serif"/>
          <w:b/>
          <w:i/>
          <w:sz w:val="20"/>
        </w:rPr>
        <w:t>Elizabeth Williams</w:t>
      </w:r>
      <w:r>
        <w:rPr>
          <w:rFonts w:ascii="Times New Roman;sans-serif" w:hAnsi="Times New Roman;sans-serif"/>
          <w:b w:val="false"/>
          <w:i w:val="false"/>
          <w:caps w:val="false"/>
          <w:smallCaps w:val="false"/>
          <w:sz w:val="20"/>
        </w:rPr>
        <w:t xml:space="preserve">, 56, is a Class III director of Innventure. Ms. Williams has served as Managing Partner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Founder of &amp;Minds Partners, a consulting firm, since 2019 and is also a full time Finance faculty member at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University of Dayton’s Business School. Before founding &amp;Minds Partners, Ms. Williams held roles of increasing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responsibility, ultimately leading Corporate Development and Strategy functions as a C-Suite executive for several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Fortune 500 industrial businesses. Ms. Williams was formerly the Vice President of Commercial and Industrial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Customer Journey and Products at Entergy Corporation, an publicly-traded energy company (NYSE: ENT)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2021 to 2022, where she helped large industrial processing businesses achieve sustainability goals through emission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reduction solutions.  From 2017 to 2019, Ms. Williams was the Senior Vice President of Strategy and Corporate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Development at Tenneco Inc., where she focused on improving financial and capital markets performance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defining long-term strategy. Ms. Williams served as the Vice President and Head of Corporate Strategy from 2014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2016 at Maersk, where she simultaneously helped capitalize on end of life oil fields, and reduced portfolio risk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oil price exposures. From 2011 to 2014, she was the Senior Vice President and Head of Corporate Strategy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ABB, where she spearheaded the strategic planning, implementation, and execution of $20 billion in institutional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investments over four years, including R&amp;D allocation, selling, general, and administrative expenses, M&amp;A,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expenditure initiatives. Prior to 2011, Ms. Williams served as the Director of Corporate Development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United Technologies. Ms. Williams has a B.A. in economics from Stanford University, and an MBA from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University of Chicago. The Company believes that Ms. Williams is well qualified to serve as a member of the Board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due to her significant experience in corporate strategy and development.</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Our Executive Officers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to Mr. Haskell, our CEO, Mr. Yablunosky and our CFO, Mr. Otworth, our Executive Chairman,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executive officers are:</w:t>
      </w:r>
    </w:p>
    <w:p>
      <w:pPr>
        <w:pStyle w:val="TextBody"/>
        <w:bidi w:val="0"/>
        <w:spacing w:lineRule="atLeast" w:line="200" w:before="0" w:after="0"/>
        <w:jc w:val="left"/>
        <w:rPr/>
      </w:pPr>
      <w:r>
        <w:rPr>
          <w:rFonts w:ascii="Times New Roman;sans-serif" w:hAnsi="Times New Roman;sans-serif"/>
          <w:b/>
          <w:i/>
          <w:sz w:val="20"/>
        </w:rPr>
        <w:t>Dr. John Scott</w:t>
      </w:r>
      <w:r>
        <w:rPr>
          <w:rFonts w:ascii="Times New Roman;sans-serif" w:hAnsi="Times New Roman;sans-serif"/>
          <w:b w:val="false"/>
          <w:i w:val="false"/>
          <w:caps w:val="false"/>
          <w:smallCaps w:val="false"/>
          <w:sz w:val="20"/>
        </w:rPr>
        <w:t xml:space="preserve">, 74, is Innventure’s Chief Strategy Officer. Dr. Scott has served as Chief Strategy Officer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since 2015. Prior to co-founding Innventure LLC, Dr. Scott served as Founder and CEO of XLTG,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62</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where he developed the DownSelect method that Innventure uses today to vet disruptive technologies from top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MNCs and their associated business opportunities, from 1993 to 2013. Dr. Scott also served as an academic scientist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numerous universities and government labs, including the University of Maryland, the University of North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Carolina and the University of Arizona, as well as the NASA Goddard Space Flight Center. He earned his Ph.D.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Physics and Astrophysics from the University of Arizona and has published over 60 academic papers.</w:t>
      </w:r>
    </w:p>
    <w:p>
      <w:pPr>
        <w:pStyle w:val="TextBody"/>
        <w:bidi w:val="0"/>
        <w:spacing w:lineRule="atLeast" w:line="200" w:before="0" w:after="0"/>
        <w:jc w:val="left"/>
        <w:rPr/>
      </w:pPr>
      <w:r>
        <w:rPr>
          <w:rFonts w:ascii="Times New Roman;sans-serif" w:hAnsi="Times New Roman;sans-serif"/>
          <w:b/>
          <w:i/>
          <w:sz w:val="20"/>
        </w:rPr>
        <w:t>Roland Austrup</w:t>
      </w:r>
      <w:r>
        <w:rPr>
          <w:rFonts w:ascii="Times New Roman;sans-serif" w:hAnsi="Times New Roman;sans-serif"/>
          <w:b w:val="false"/>
          <w:i w:val="false"/>
          <w:caps w:val="false"/>
          <w:smallCaps w:val="false"/>
          <w:sz w:val="20"/>
        </w:rPr>
        <w:t xml:space="preserve">, 61, is Innventure’s Chief Growth Officer. Roland has served as Innventure LLC’s Chief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Growth Officer since June 2024 and as a member of Innventure LLC’s Executive Committee since 2023. Prior to 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 of title to Chief Growth Officer in June 2024, Mr. Austrup had served as Head of Capital Markets since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2023, and he also previously served as Innventure LLC’s CFO from 2021 to 2023. Since 2019, Mr. Austrup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served as Chairman &amp; Managing Principal of WaveFront Global Asset Management Corp., a Toronto-based global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hedge fund company he co-founded in 2003. Mr. Austrup is also a co-founder and director of Envest Corp.,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downstream energy company, and an Advisory Board member of both the Master of Quantitative Finance program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the University of Waterloo and First Tracks Capital, a Canadian private equity firm. Prior to that, Roland was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Advisor with BMO Nesbitt Burns Inc. and began his career as a Commodities Broker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ScotiaMcLeod Inc. where he was primarily involved with hedging commodity price risk for corporate clients.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Roland holds a B.A. with Honours from the University of Western Ontario.</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 xml:space="preserve">Board Composition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business and affairs of Innventure are managed under the direction of our Board. Our Board consists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nine directors. Each director will continue to serve as a director until the election and qualification of his or 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successor or until his or her earlier death, resignation or removal. Subject to the rights of holders of any series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preferred stock outstanding, directors may be removed only for cause by an affirmative vote of at least two-thirds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total voting power, at a meeting called for that purpose. The authorized number of directors may be changed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resolution of our Board. Vacancies on our Board can be filled by resolution of our Board.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our Certificate of Incorporation, our Board is divided into three classes, each serving staggered,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three-year terms. Only one class of directors will be elected at each annual meeting of stockholders, with the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classes continuing for the remainder of their respective three-year terms. Our Board is designated as follows: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our Class I directors are Gregory W. Haskell, Daniel J. Hennessy and Michael Amalfitano, and their terms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will expire at this year’s annual meeting;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our Class II directors are David Yablunosky, James O. Donnally and Bruce Brown, and their terms will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expire at the annual meeting of stockholders to be held in 2026; and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our Class III directors are Michael Otworth, Suzanne Niemeyer and Elizabeth Williams, and their terms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expire at the annual meeting of stockholders to be held in 2027.</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additional directorships resulting from an increase in the authorized number of directors will be distributed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among the three classes so that, as nearly as possible, each class will consist of one-third of our authorized number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directors.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Director Nominations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Nominating and Corporate Governance (“N&amp;CG”) Committee is responsible for identifying and reviewing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qualifications of potential director candidates and recommending to the Board those individuals for election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Board. The N&amp;CG Committee recommends directors who have the experience, qualifications, skills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attributes to guide the Company and function effectively. The N&amp;CG Committee is also responsible for making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recommendations to the Board of the criteria to be used by the N&amp;CG Committee in seeking nominees for election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to the Board.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Agreements to Nominate Certain Directors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Mr. Hennessy is a director designated by Learn CW pursuant to the Business Combination Agreement.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63</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in connection with the Closing, the Company, certain of the members of Innventure LLC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Founding Investors”) and other parties entered into the Amended &amp; Restated Investor Rights Agreement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Investor Rights Agreement” or “IRA”). Pursuant to the Investor Rights Agreement, the Company agreed to grant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Founding Investors certain rights with respect to nomination of the directors of the Board, as further described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below.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Investor Rights Agreement, at each annual meeting or special meeting of stockholders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at which directors are to be elected, the Founding Investors will have the right to nominate for election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Board a number of nominees (“Founding Investor Nominees”). The number of Founding Investor Nominees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with respect to any meeting of stockholders at which directors are to be elected will be as follows: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up to seven (7) directors, so long as the Founding Investors beneficially own greater than 70%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outstanding shares of Common Stock;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up to six (6) directors, so long as the Founding Investors beneficially own more than 50%, but less than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70%, of the outstanding shares of Common Stock;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up to four (4) directors, so long as the Founding Investors beneficially own at least 40%, but less than 50%,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of the outstanding shares of Common Stock;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up to three (3) directors, so long as the Founding Investors beneficially own at least 20%, but less than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40%, of the outstanding shares of Common Stock;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up to two (2) director, so long as the Founding Investors beneficially own at least 5%, but less than 20%,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outstanding common shares of the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event that the size of the Board is increased or decreased to a number of authorized directors other than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nine (9), the Founding Investors’ nomination rights will be proportionately increased or decreased, respectively,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rounded up to the nearest whole number. In the event that a vacancy is created on the Board by the death, disability,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resignation or removal of a Founding Investor Nominee, the Founding Investors will be entitled to designate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individual to fill the vacancy. The Founding Investors currently have the right to nominate for election to the Board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four (4) Founding Investor Nominees.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Stockholder Nominations &amp; Filling Vacancies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Section 2.14 of our Bylaws, a stockholder may make a nomination of a person or persons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election to the Board upon (a) Timely Notice (as defined by the Bylaws) in writing and in proper form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Secretary of the Company, (b) providing the information, agreements, and questionnaires with respect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nominating stockholder and the stockholder’s nominee as required by the Bylaws, and (c) providing any updates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supplements to such notices as further required by the Bylaws.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Article VI of our Certificate of Incorporation, subject to the rights, if any, of the holders of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series of preferred stock and the rights of Learn CW and the Founding Investors under the Business Combination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and the IRA, respectively, directors may be removed only for cause by an affirmative vote of at least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two-thirds of the total voting power of all the outstanding shares of capital stock of the Company entitled to vote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generally in the election of directors, voting together as a single class, at a meeting duly called for that purpose.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the rights, if any, of the holders of any series of preferred stock and the rights of Learn CW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Founding Investors under the Business Combination Agreement and the IRA, respectively, newly created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directorships resulting from any increase in the number of directors and any vacancies on the Board resulting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death, resignation, disqualification, removal, or other cause will be filled exclusively by the affirmative vote of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majority of the directors then in office, even though less than a quorum, or by a sole remaining director, and not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stockholders. Any director so chosen will hold office until the next election of the class for which such director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has been chosen, and until his successor is elected and qualified or until such director’s earlier death, resignation,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retirement, disqualification, or removal. No decrease in the number of directors constituting the Board may shorten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term of any incumbent director.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64</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event that a vacancy is created on the Board at any time by the death, disability, resignation or removal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director designated by the Founding Investors pursuant to the IRA, then the Founding Investors will be entitled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designate an individual to fill the vacancy. The Company will take all necessary action (to the extent permitted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law and to the extent such action is consistent with the fiduciary duties of the directors under Delaware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law) to cause such replacement designee to become a member of the Board. Additionally, for so long as Learn CW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has the right to select one director to the Board, any vacancy with respect to the Learn CW director may only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filled by Learn CW.</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Board Committees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During 2024, our Board had an Audit Committee, a Compensation Committee, and a N&amp;CG Committee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support the full Board with various risk management governance, and strategic responsibilities. The current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members of these committees are described below.</w:t>
      </w:r>
    </w:p>
    <w:tbl>
      <w:tblPr>
        <w:tblW w:w="10017" w:type="dxa"/>
        <w:jc w:val="left"/>
        <w:tblInd w:w="0" w:type="dxa"/>
        <w:tblLayout w:type="fixed"/>
        <w:tblCellMar>
          <w:top w:w="28" w:type="dxa"/>
          <w:left w:w="28" w:type="dxa"/>
          <w:bottom w:w="28" w:type="dxa"/>
          <w:right w:w="28" w:type="dxa"/>
        </w:tblCellMar>
      </w:tblPr>
      <w:tblGrid>
        <w:gridCol w:w="1801"/>
        <w:gridCol w:w="766"/>
        <w:gridCol w:w="109"/>
        <w:gridCol w:w="586"/>
        <w:gridCol w:w="109"/>
        <w:gridCol w:w="736"/>
        <w:gridCol w:w="109"/>
        <w:gridCol w:w="781"/>
        <w:gridCol w:w="109"/>
        <w:gridCol w:w="931"/>
        <w:gridCol w:w="109"/>
        <w:gridCol w:w="736"/>
        <w:gridCol w:w="109"/>
        <w:gridCol w:w="1051"/>
        <w:gridCol w:w="109"/>
        <w:gridCol w:w="826"/>
        <w:gridCol w:w="109"/>
        <w:gridCol w:w="931"/>
      </w:tblGrid>
      <w:tr>
        <w:trPr/>
        <w:tc>
          <w:tcPr>
            <w:tcW w:w="18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017" w:type="dxa"/>
            <w:gridSpan w:val="18"/>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Committee Assignments</w:t>
            </w:r>
          </w:p>
        </w:tc>
      </w:tr>
      <w:tr>
        <w:trPr/>
        <w:tc>
          <w:tcPr>
            <w:tcW w:w="18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Donnally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Brown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Williams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Hennessy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Amalfitano</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Haskell*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Yablunosky*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Otworth*</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Niemeyer*</w:t>
            </w:r>
          </w:p>
        </w:tc>
      </w:tr>
      <w:tr>
        <w:trPr/>
        <w:tc>
          <w:tcPr>
            <w:tcW w:w="180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Audit</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Compensation</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180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N&amp;CG</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strike w:val="false"/>
          <w:dstrike w:val="false"/>
          <w:sz w:val="16"/>
          <w:u w:val="none"/>
          <w:effect w:val="none"/>
        </w:rPr>
      </w:pPr>
      <w:r>
        <w:rPr>
          <w:rFonts w:ascii="Times New Roman;sans-serif" w:hAnsi="Times New Roman;sans-serif"/>
          <w:b w:val="false"/>
          <w:i/>
          <w:strike w:val="false"/>
          <w:dstrike w:val="false"/>
          <w:sz w:val="16"/>
          <w:u w:val="none"/>
          <w:effect w:val="none"/>
        </w:rPr>
        <w:t xml:space="preserve">All standing committee members are independent. </w:t>
      </w:r>
    </w:p>
    <w:p>
      <w:pPr>
        <w:pStyle w:val="TextBody"/>
        <w:bidi w:val="0"/>
        <w:spacing w:lineRule="atLeast" w:line="160" w:before="0" w:after="0"/>
        <w:jc w:val="left"/>
        <w:rPr>
          <w:rFonts w:ascii="Times New Roman;sans-serif" w:hAnsi="Times New Roman;sans-serif"/>
          <w:b w:val="false"/>
          <w:i/>
          <w:strike w:val="false"/>
          <w:dstrike w:val="false"/>
          <w:sz w:val="16"/>
          <w:u w:val="none"/>
          <w:effect w:val="none"/>
        </w:rPr>
      </w:pPr>
      <w:r>
        <w:rPr>
          <w:rFonts w:ascii="Times New Roman;sans-serif" w:hAnsi="Times New Roman;sans-serif"/>
          <w:b w:val="false"/>
          <w:i/>
          <w:strike w:val="false"/>
          <w:dstrike w:val="false"/>
          <w:sz w:val="16"/>
          <w:u w:val="none"/>
          <w:effect w:val="none"/>
        </w:rPr>
        <w:t>*Not independent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member of our three standing committees is independent under applicable SEC and NASDAQ rules.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Therefore, Mr. Haskell, Mr. Yablunosky, Mr. Otworth and Ms. Niemeyer do not serve on any of our three standing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committees. The Board has determined that the members of the Audit Committee meet the requirements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independence of Audit Committee members under applicable SEC and NASDAQ rules. All of the members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Audit Committee also meet the requirements for financial literacy under the applicable rules and regulations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 and NASDAQ. In addition, each of Mr. Donnally, Mr. Hennessy and Ms. Williams qualify as an “audit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committee financial expert,” as such term is defined in Item 407 of Regulation S-K.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EXECUTIVE AND DIRECTOR COMPENSATION OF INNVENTURE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All dollar amounts (“$”) in this section reflect actual amounts.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an emerging growth company and smaller reporting company, Innventure has opted to comply with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executive compensation disclosure rules applicable to “emerging growth companies” and “smaller reporting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as each such term is defined in the rules promulgated under the Securities Act, which, in general,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require compensation disclosure for Innventure’s principal executive officer and its two other most highly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compensated executive officers. Innventure’s principal executive officer and its two other most highly compensated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executive officers are referred to herein as our named executive officers (the “NEOs”).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Gregory W. (Bill) Haskell was Innventure’s principal executive officer for the entirety of 2024. The two most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highly compensated executive officers of Innventure that were serving in such capacity at the end of 2024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than Mr. Haskell) were Mike Otworth and Dr. John Scott.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Therefore, for the fiscal year ended December 31, 2024, Innventure’s NEOs were: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Gregory W. (Bill) Haskell, Chief Executive Officer and Manager;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Mike Otworth, Executive Chairman;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Dr. John Scott, Chief Strategy Officer.</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2024 Business Combination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2, 2024, we consummated our Business Combination. The information provided in this disclosure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reflects both compensation from Innventure LLC (up until the date of the Business Combination, as applicable)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compensation from the Company (from the date of the Business Combination through the end of 2024). Messrs.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Haskell and Otworth and Dr. Scott are still serving as executive officers of Innventure following the consummation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the Business Combination.</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2024 Summary Compensation Table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provides information regarding the compensation of Innventure’s NEOs for 2024 and 2023,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applicable. </w:t>
      </w:r>
    </w:p>
    <w:tbl>
      <w:tblPr>
        <w:tblW w:w="8906" w:type="dxa"/>
        <w:jc w:val="left"/>
        <w:tblInd w:w="0" w:type="dxa"/>
        <w:tblLayout w:type="fixed"/>
        <w:tblCellMar>
          <w:top w:w="28" w:type="dxa"/>
          <w:left w:w="28" w:type="dxa"/>
          <w:bottom w:w="28" w:type="dxa"/>
          <w:right w:w="28" w:type="dxa"/>
        </w:tblCellMar>
      </w:tblPr>
      <w:tblGrid>
        <w:gridCol w:w="1756"/>
        <w:gridCol w:w="109"/>
        <w:gridCol w:w="466"/>
        <w:gridCol w:w="109"/>
        <w:gridCol w:w="691"/>
        <w:gridCol w:w="109"/>
        <w:gridCol w:w="826"/>
        <w:gridCol w:w="109"/>
        <w:gridCol w:w="826"/>
        <w:gridCol w:w="109"/>
        <w:gridCol w:w="826"/>
        <w:gridCol w:w="109"/>
        <w:gridCol w:w="841"/>
        <w:gridCol w:w="109"/>
        <w:gridCol w:w="841"/>
        <w:gridCol w:w="109"/>
        <w:gridCol w:w="961"/>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Name and Principal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Position</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Fiscal</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Year</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Salary</w:t>
            </w:r>
          </w:p>
          <w:p>
            <w:pPr>
              <w:pStyle w:val="TableContents"/>
              <w:bidi w:val="0"/>
              <w:spacing w:lineRule="atLeast" w:line="142" w:before="0" w:after="0"/>
              <w:jc w:val="left"/>
              <w:rPr/>
            </w:pPr>
            <w:r>
              <w:rPr>
                <w:rFonts w:ascii="Times New Roman;sans-serif" w:hAnsi="Times New Roman;sans-serif"/>
                <w:b/>
                <w:i w:val="false"/>
                <w:caps w:val="false"/>
                <w:smallCaps w:val="false"/>
                <w:strike w:val="false"/>
                <w:dstrike w:val="false"/>
                <w:sz w:val="12"/>
                <w:u w:val="none"/>
                <w:effect w:val="none"/>
              </w:rPr>
              <w:t>($)</w:t>
            </w:r>
            <w:r>
              <w:rPr>
                <w:rFonts w:ascii="Times New Roman;sans-serif" w:hAnsi="Times New Roman;sans-serif"/>
                <w:b/>
                <w:i w:val="false"/>
                <w:caps w:val="false"/>
                <w:smallCaps w:val="false"/>
                <w:strike w:val="false"/>
                <w:dstrike w:val="false"/>
                <w:sz w:val="8"/>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Bonus</w:t>
            </w:r>
          </w:p>
          <w:p>
            <w:pPr>
              <w:pStyle w:val="TableContents"/>
              <w:bidi w:val="0"/>
              <w:spacing w:lineRule="atLeast" w:line="142" w:before="0" w:after="0"/>
              <w:jc w:val="left"/>
              <w:rPr/>
            </w:pPr>
            <w:r>
              <w:rPr>
                <w:rFonts w:ascii="Times New Roman;sans-serif" w:hAnsi="Times New Roman;sans-serif"/>
                <w:b/>
                <w:i w:val="false"/>
                <w:caps w:val="false"/>
                <w:smallCaps w:val="false"/>
                <w:strike w:val="false"/>
                <w:dstrike w:val="false"/>
                <w:sz w:val="12"/>
                <w:u w:val="none"/>
                <w:effect w:val="none"/>
              </w:rPr>
              <w:t>($)</w:t>
            </w:r>
            <w:r>
              <w:rPr>
                <w:rFonts w:ascii="Times New Roman;sans-serif" w:hAnsi="Times New Roman;sans-serif"/>
                <w:b/>
                <w:i w:val="false"/>
                <w:caps w:val="false"/>
                <w:smallCaps w:val="false"/>
                <w:strike w:val="false"/>
                <w:dstrike w:val="false"/>
                <w:sz w:val="8"/>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Stock</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Awards</w:t>
            </w:r>
          </w:p>
          <w:p>
            <w:pPr>
              <w:pStyle w:val="TableContents"/>
              <w:bidi w:val="0"/>
              <w:spacing w:lineRule="atLeast" w:line="142" w:before="0" w:after="0"/>
              <w:jc w:val="left"/>
              <w:rPr/>
            </w:pPr>
            <w:r>
              <w:rPr>
                <w:rFonts w:ascii="Times New Roman;sans-serif" w:hAnsi="Times New Roman;sans-serif"/>
                <w:b/>
                <w:i w:val="false"/>
                <w:caps w:val="false"/>
                <w:smallCaps w:val="false"/>
                <w:strike w:val="false"/>
                <w:dstrike w:val="false"/>
                <w:sz w:val="12"/>
                <w:u w:val="none"/>
                <w:effect w:val="none"/>
              </w:rPr>
              <w:t>($)</w:t>
            </w:r>
            <w:r>
              <w:rPr>
                <w:rFonts w:ascii="Times New Roman;sans-serif" w:hAnsi="Times New Roman;sans-serif"/>
                <w:b/>
                <w:i w:val="false"/>
                <w:caps w:val="false"/>
                <w:smallCaps w:val="false"/>
                <w:strike w:val="false"/>
                <w:dstrike w:val="false"/>
                <w:sz w:val="8"/>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Option</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Awards</w:t>
            </w:r>
          </w:p>
          <w:p>
            <w:pPr>
              <w:pStyle w:val="TableContents"/>
              <w:bidi w:val="0"/>
              <w:spacing w:lineRule="atLeast" w:line="142" w:before="0" w:after="0"/>
              <w:jc w:val="left"/>
              <w:rPr/>
            </w:pPr>
            <w:r>
              <w:rPr>
                <w:rFonts w:ascii="Times New Roman;sans-serif" w:hAnsi="Times New Roman;sans-serif"/>
                <w:b/>
                <w:i w:val="false"/>
                <w:caps w:val="false"/>
                <w:smallCaps w:val="false"/>
                <w:strike w:val="false"/>
                <w:dstrike w:val="false"/>
                <w:sz w:val="12"/>
                <w:u w:val="none"/>
                <w:effect w:val="none"/>
              </w:rPr>
              <w:t>($)</w:t>
            </w:r>
            <w:r>
              <w:rPr>
                <w:rFonts w:ascii="Times New Roman;sans-serif" w:hAnsi="Times New Roman;sans-serif"/>
                <w:b/>
                <w:i w:val="false"/>
                <w:caps w:val="false"/>
                <w:smallCaps w:val="false"/>
                <w:strike w:val="false"/>
                <w:dstrike w:val="false"/>
                <w:sz w:val="8"/>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Non-Equity</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Incentive Plan</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Compensation</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All Other</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Compensation</w:t>
            </w:r>
          </w:p>
          <w:p>
            <w:pPr>
              <w:pStyle w:val="TableContents"/>
              <w:bidi w:val="0"/>
              <w:spacing w:lineRule="atLeast" w:line="142" w:before="0" w:after="0"/>
              <w:jc w:val="left"/>
              <w:rPr/>
            </w:pPr>
            <w:r>
              <w:rPr>
                <w:rFonts w:ascii="Times New Roman;sans-serif" w:hAnsi="Times New Roman;sans-serif"/>
                <w:b/>
                <w:i w:val="false"/>
                <w:caps w:val="false"/>
                <w:smallCaps w:val="false"/>
                <w:strike w:val="false"/>
                <w:dstrike w:val="false"/>
                <w:sz w:val="12"/>
                <w:u w:val="none"/>
                <w:effect w:val="none"/>
              </w:rPr>
              <w:t>($)</w:t>
            </w:r>
            <w:r>
              <w:rPr>
                <w:rFonts w:ascii="Times New Roman;sans-serif" w:hAnsi="Times New Roman;sans-serif"/>
                <w:b/>
                <w:i w:val="false"/>
                <w:caps w:val="false"/>
                <w:smallCaps w:val="false"/>
                <w:strike w:val="false"/>
                <w:dstrike w:val="false"/>
                <w:sz w:val="8"/>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Total ($)</w:t>
            </w:r>
          </w:p>
        </w:tc>
      </w:tr>
      <w:tr>
        <w:trPr/>
        <w:tc>
          <w:tcPr>
            <w:tcW w:w="17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Gregory W. (Bill) </w:t>
            </w:r>
          </w:p>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Haskell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2,500,000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2,813,800</w:t>
            </w:r>
          </w:p>
        </w:tc>
      </w:tr>
      <w:tr>
        <w:trPr/>
        <w:tc>
          <w:tcPr>
            <w:tcW w:w="175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Chief Executive </w:t>
            </w:r>
          </w:p>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Officer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300,000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180,000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492,000</w:t>
            </w:r>
          </w:p>
        </w:tc>
      </w:tr>
      <w:tr>
        <w:trPr/>
        <w:tc>
          <w:tcPr>
            <w:tcW w:w="1756"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Mike Otworth</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7,001,001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7,577,786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14,878,787</w:t>
            </w:r>
          </w:p>
        </w:tc>
      </w:tr>
      <w:tr>
        <w:trPr/>
        <w:tc>
          <w:tcPr>
            <w:tcW w:w="1756"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sz w:val="16"/>
                <w:u w:val="none"/>
                <w:effect w:val="none"/>
              </w:rPr>
              <w:t>Executive Chairman</w:t>
            </w:r>
            <w:r>
              <w:rPr>
                <w:rFonts w:ascii="Times New Roman;sans-serif" w:hAnsi="Times New Roman;sans-serif"/>
                <w:b w:val="false"/>
                <w:i w:val="false"/>
                <w:caps w:val="false"/>
                <w:smallCaps w:val="false"/>
                <w:strike w:val="false"/>
                <w:dstrike w:val="false"/>
                <w:sz w:val="10"/>
                <w:u w:val="none"/>
                <w:effect w:val="none"/>
              </w:rPr>
              <w:t>(6)</w:t>
            </w:r>
            <w:r>
              <w:rPr>
                <w:caps w:val="false"/>
                <w:smallCaps w:val="false"/>
              </w:rPr>
              <w:t xml:space="preserv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300,000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180,000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480,000</w:t>
            </w:r>
          </w:p>
        </w:tc>
      </w:tr>
      <w:tr>
        <w:trPr/>
        <w:tc>
          <w:tcPr>
            <w:tcW w:w="1756"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Dr. John Scott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4,100,005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6,935,489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11,335,494</w:t>
            </w:r>
          </w:p>
        </w:tc>
      </w:tr>
      <w:tr>
        <w:trPr/>
        <w:tc>
          <w:tcPr>
            <w:tcW w:w="175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Chief Strategy </w:t>
            </w:r>
          </w:p>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sz w:val="16"/>
                <w:u w:val="none"/>
                <w:effect w:val="none"/>
              </w:rPr>
              <w:t>Officer</w:t>
            </w:r>
            <w:r>
              <w:rPr>
                <w:rFonts w:ascii="Times New Roman;sans-serif" w:hAnsi="Times New Roman;sans-serif"/>
                <w:b w:val="false"/>
                <w:i w:val="false"/>
                <w:caps w:val="false"/>
                <w:smallCaps w:val="false"/>
                <w:strike w:val="false"/>
                <w:dstrike w:val="false"/>
                <w:sz w:val="10"/>
                <w:u w:val="none"/>
                <w:effect w:val="none"/>
              </w:rPr>
              <w:t>(7)</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300,000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180,000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480,000</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(1)The amount in this column for 2024 for Mr. Haskell represents base salary earned during 2024. For Dr. Scott, the amount represents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payments to Corporate Development Group LLC (a company 100% owned by Dr. Scott) with respect to Dr. Scott’s consulting services to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Innventure during 2024. For Mr. Otworth, the amount in this column for 2024 represents payments to Sugar Grove Ventures, LLC (a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company 100% owned by Mr. Otworth) with respect to Mr. Otworth’s consulting services to Innventure for 2024.</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(2)The amount in this column for Mr. Haskell in 2024 represents a transaction bonus earned in connection with the Business Combination.</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(3)The amounts in this column reflect the aggregate grant date fair value of service-based RSU awards granted by the Company to the NEOs in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2024 and, with respect to Mr. Otworth, the amount includes the aggregate grant date fair value of the Accelsius Incentive Units (as defined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below) granted by Accelsius to him in 2024, each calculated in accordance with Financial Accounting Standards Board Accounting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Standards Codification (“FASB ASC”) Topic 718. For information regarding the assumptions used in calculating the value of these awards,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see Note 14 to the consolidated financial statements included elsewhere in this prospectus. For more information regarding the awards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disclosed in this column, see “2024 Equity-Based Compensation” below. The Refinity Incentive Units discussed in such section had an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aggregate grant date fair value of $0.</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66</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(4)The amounts in this column reflect the aggregate grant date fair values of option awards and stock appreciation right awards (“SARs”)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granted by the Company to the NEOs in 2024, each calculated in accordance with FASB ASC Topic 718. For information regarding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assumptions used in calculating the value of these awards, see Note 14 to the consolidated financial statements included elsewhere in this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prospectus. For more information regarding the awards disclosed in this column, see “2024 Equity-Based Compensation” below.</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(5)The amount in this column represents matching contributions provided by Innventure under the 401(k) Plan (as defined and described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below).</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(6)Mr. Otworth provided services to Innventure in a consulting capacity during 2024 through a contract between Innventure LLC and Sugar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Grove Ventures, LLC.</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(7)Dr. Scott provided services to Innventure in a consulting capacity during 2024 through a contract between Innventure LLC and Corporate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Development Group LLC, pursuant to which Dr. Scott, the founder and principal of Corporate Development Group LLC, provided strategic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guidance and consulting services to Innventure.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Narrative Disclosure to 2024 Summary Compensation Table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Key 2024 Named Executive Officer Compensation Components and Decisions</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2024 Base Salary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terms of their employment or consulting arrangements, as applicable, the NEOs were entitled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base salaries or service fees, as applicable, at the following annual rates during 2024:</w:t>
      </w:r>
    </w:p>
    <w:tbl>
      <w:tblPr>
        <w:tblW w:w="8751" w:type="dxa"/>
        <w:jc w:val="left"/>
        <w:tblInd w:w="0" w:type="dxa"/>
        <w:tblLayout w:type="fixed"/>
        <w:tblCellMar>
          <w:top w:w="28" w:type="dxa"/>
          <w:left w:w="28" w:type="dxa"/>
          <w:bottom w:w="28" w:type="dxa"/>
          <w:right w:w="28" w:type="dxa"/>
        </w:tblCellMar>
      </w:tblPr>
      <w:tblGrid>
        <w:gridCol w:w="7396"/>
        <w:gridCol w:w="109"/>
        <w:gridCol w:w="1246"/>
      </w:tblGrid>
      <w:tr>
        <w:trPr/>
        <w:tc>
          <w:tcPr>
            <w:tcW w:w="7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73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NEO</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2024 Base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Salary/Service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Fee Rate</w:t>
            </w:r>
          </w:p>
        </w:tc>
      </w:tr>
      <w:tr>
        <w:trPr/>
        <w:tc>
          <w:tcPr>
            <w:tcW w:w="73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Gregory Haskell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$300,000</w:t>
            </w:r>
          </w:p>
        </w:tc>
      </w:tr>
      <w:tr>
        <w:trPr/>
        <w:tc>
          <w:tcPr>
            <w:tcW w:w="739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Mike Otworth</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$300,000</w:t>
            </w:r>
          </w:p>
        </w:tc>
      </w:tr>
      <w:tr>
        <w:trPr/>
        <w:tc>
          <w:tcPr>
            <w:tcW w:w="73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Dr. John Scott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$300,000</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did not modify the base salary or service fee rates of any of the NEOs during 2024. However, we increased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base salary and service fee rates of the NEOs in January 2025.</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2024 Bonus Compensation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of Messrs. Haskell and Otworth and Dr. Scott is eligible for a target 2024 annual bonus opportunity equal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$300,000 based on Innventure’s performance against certain goals established by the board of directors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 LLC. The 2024 bonus goals and applicable weighting percentages are set forth in the table below.</w:t>
      </w:r>
    </w:p>
    <w:tbl>
      <w:tblPr>
        <w:tblW w:w="9131" w:type="dxa"/>
        <w:jc w:val="left"/>
        <w:tblInd w:w="0" w:type="dxa"/>
        <w:tblLayout w:type="fixed"/>
        <w:tblCellMar>
          <w:top w:w="28" w:type="dxa"/>
          <w:left w:w="28" w:type="dxa"/>
          <w:bottom w:w="28" w:type="dxa"/>
          <w:right w:w="28" w:type="dxa"/>
        </w:tblCellMar>
      </w:tblPr>
      <w:tblGrid>
        <w:gridCol w:w="6751"/>
        <w:gridCol w:w="109"/>
        <w:gridCol w:w="856"/>
        <w:gridCol w:w="109"/>
        <w:gridCol w:w="1306"/>
      </w:tblGrid>
      <w:tr>
        <w:trPr/>
        <w:tc>
          <w:tcPr>
            <w:tcW w:w="6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67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2024 Bonus Goal</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Weighting</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Goal Achieved?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(yes or no)</w:t>
            </w:r>
          </w:p>
        </w:tc>
      </w:tr>
      <w:tr>
        <w:trPr/>
        <w:tc>
          <w:tcPr>
            <w:tcW w:w="6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Formation of a new (4th) operating company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Yes</w:t>
            </w:r>
          </w:p>
        </w:tc>
      </w:tr>
      <w:tr>
        <w:trPr/>
        <w:tc>
          <w:tcPr>
            <w:tcW w:w="67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Complete the Business Combination with more than $20 million of net proceeds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Yes</w:t>
            </w:r>
          </w:p>
        </w:tc>
      </w:tr>
      <w:tr>
        <w:trPr/>
        <w:tc>
          <w:tcPr>
            <w:tcW w:w="7716" w:type="dxa"/>
            <w:gridSpan w:val="3"/>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Meeting each of the following milestones (or a achieving a certain threshold share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r>
      <w:tr>
        <w:trPr/>
        <w:tc>
          <w:tcPr>
            <w:tcW w:w="6751" w:type="dxa"/>
            <w:tcBorders/>
            <w:shd w:fill="FFFFFF" w:val="clear"/>
            <w:vAlign w:val="center"/>
          </w:tcPr>
          <w:p>
            <w:pPr>
              <w:pStyle w:val="TableContents"/>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Formation of a new (4th) operating company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Yes</w:t>
            </w:r>
          </w:p>
        </w:tc>
      </w:tr>
      <w:tr>
        <w:trPr/>
        <w:tc>
          <w:tcPr>
            <w:tcW w:w="6751" w:type="dxa"/>
            <w:tcBorders/>
            <w:shd w:fill="CCEEFF" w:val="clear"/>
            <w:vAlign w:val="center"/>
          </w:tcPr>
          <w:p>
            <w:pPr>
              <w:pStyle w:val="TableContents"/>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$10 million of booked revenue for Accelsius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No</w:t>
            </w:r>
          </w:p>
        </w:tc>
      </w:tr>
      <w:tr>
        <w:trPr/>
        <w:tc>
          <w:tcPr>
            <w:tcW w:w="6751" w:type="dxa"/>
            <w:tcBorders/>
            <w:shd w:fill="FFFFFF" w:val="clear"/>
            <w:vAlign w:val="center"/>
          </w:tcPr>
          <w:p>
            <w:pPr>
              <w:pStyle w:val="TableContents"/>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$15 million of GAAP revenue for AeroFlexx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No</w:t>
            </w:r>
          </w:p>
        </w:tc>
      </w:tr>
    </w:tbl>
    <w:p>
      <w:pPr>
        <w:pStyle w:val="TextBody"/>
        <w:bidi w:val="0"/>
        <w:spacing w:lineRule="atLeast" w:line="200" w:before="0" w:after="0"/>
        <w:jc w:val="left"/>
        <w:rPr/>
      </w:pPr>
      <w:r>
        <w:rPr>
          <w:rFonts w:ascii="Times New Roman;sans-serif" w:hAnsi="Times New Roman;sans-serif"/>
          <w:b w:val="false"/>
          <w:i w:val="false"/>
          <w:caps w:val="false"/>
          <w:smallCaps w:val="false"/>
          <w:sz w:val="20"/>
        </w:rPr>
        <w:t>The 2024 bonuses were also subject to a stretch goal (formation of a new (5</w:t>
      </w:r>
      <w:r>
        <w:rPr>
          <w:rFonts w:ascii="Times New Roman;sans-serif" w:hAnsi="Times New Roman;sans-serif"/>
          <w:b w:val="false"/>
          <w:i w:val="false"/>
          <w:caps w:val="false"/>
          <w:smallCaps w:val="false"/>
          <w:sz w:val="13"/>
        </w:rPr>
        <w:t>th</w:t>
      </w:r>
      <w:r>
        <w:rPr>
          <w:rFonts w:ascii="Times New Roman;sans-serif" w:hAnsi="Times New Roman;sans-serif"/>
          <w:b w:val="false"/>
          <w:i w:val="false"/>
          <w:caps w:val="false"/>
          <w:smallCaps w:val="false"/>
          <w:sz w:val="20"/>
        </w:rPr>
        <w:t xml:space="preserve">) operating company),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would have resulted in an additional 50% payout.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2025, the Compensation Committee (and the Board with respect to Mr. Haskell) determined that 85%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2024 bonus goals were achieved (as shown in the table above) and that the stretch goal was not achieved.  As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Compensation Committee (or Board, as applicable) determined that each NEO notionally earned a payout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percentage of 85% of the target bonus, which corresponds to the following payout amounts: $255,000 for Mr.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Haskell; $255,000 for Mr. Otworth; and $255,000 for Dr. Scott.  Payout of such amounts is generally contingent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NEO’s continued service through the date of payment.  Such amounts are expected to be disclosed in a future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Summary Compensation Table once payment is made and the applicable service requirements have lapsed.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67</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Mr. Haskell also earned a cash bonus of $2,500,000 in connection with the successful consummation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Business Combination in 2024.</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2024 Equity-Based Compensation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Business Combination, we adopted the Innventure, Inc. 2024 Equity and Incentive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Compensation Plan (the “2024 Plan”). The 2024 Plan allows for equity compensation awards to our directors,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employees and certain other service providers.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December 2024, the Compensation Committee approved equity incentive awards for the NEOs consisting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service-based RSUs and stock options under the 2024 Plan. Awards for our NEOs were as follows:</w:t>
      </w:r>
    </w:p>
    <w:tbl>
      <w:tblPr>
        <w:tblW w:w="7961" w:type="dxa"/>
        <w:jc w:val="left"/>
        <w:tblInd w:w="0" w:type="dxa"/>
        <w:tblLayout w:type="fixed"/>
        <w:tblCellMar>
          <w:top w:w="28" w:type="dxa"/>
          <w:left w:w="28" w:type="dxa"/>
          <w:bottom w:w="28" w:type="dxa"/>
          <w:right w:w="28" w:type="dxa"/>
        </w:tblCellMar>
      </w:tblPr>
      <w:tblGrid>
        <w:gridCol w:w="6136"/>
        <w:gridCol w:w="109"/>
        <w:gridCol w:w="781"/>
        <w:gridCol w:w="109"/>
        <w:gridCol w:w="826"/>
      </w:tblGrid>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61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NEO</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RSUs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Options*</w:t>
            </w:r>
          </w:p>
        </w:tc>
      </w:tr>
      <w:tr>
        <w:trPr/>
        <w:tc>
          <w:tcPr>
            <w:tcW w:w="61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Gregory Haskell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3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Mike Otworth</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537,705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262,295</w:t>
            </w:r>
          </w:p>
        </w:tc>
      </w:tr>
      <w:tr>
        <w:trPr/>
        <w:tc>
          <w:tcPr>
            <w:tcW w:w="61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Dr. John Scott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336,066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163,934</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*The options set forth in the table above were granted with an exercise price of $12.20, the closing stock price on the date of grant.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general, the Options and RSUs granted to Mr. Otworth and Dr. Scott vest on October 2, 2025, or, if earlier,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the same date that the lock-up set forth in the contractual lock-up agreement entered into by such individual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October 24, 2023 terminates pursuant to its terms, subject to each NEO’s continuous service until the applicable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vesting date.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December 2024, the Compensation Committee also approved a grant of 150,000 SARs (the “Accelsius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SARs”) for each of Mr. Otworth and Dr. Scott. The Accelsius SARs each represent the right of the participant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receive a number of shares of Common Stock with a value equal to the appreciation in the value of a Class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Unit of Accelsius Holdings LLC over a base price of $12.175. In general, the Accelsius SARs will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automatically exercised upon the earliest to occur of: (i) the 24-month anniversary of the grant date, (ii)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participant’s death, or (iii) the participant’s “disability” (as defined in the applicable award agreement).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Compensation Committee may, in its discretion, determine that the participant will receive cash instead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December 11, 2024, Refinity Holdings granted 109,000 Class PI Units of Refinity Holdings (“Refinity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Incentive Units”) to each of our NEOs pursuant to the Refinity Holdings PI Unit Incentive Plan. The Refinity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Incentive Units are intended to be “profits interests” for U.S. federal income tax purposes, and holders of Refinity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Incentive Units did not have any voting rights with respect to such Refinity Incentive Units except as required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law. The Refinity Incentive Units entitle the holders thereof to participate in distributions of Refinity Holdings after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members of Refinity Holdings have received the return of an amount specified with respect to the Refinity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Incentive Unit award (the “Refinity Distribution Threshold”). The Refinity Incentive Units generally vest over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three-year period, with 25% vesting on the one-year anniversary of the grant date and 9.375% vesting quarterly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thereafter, subject to each NEO’s continued service to Refinity Holdings or one of its subsidiaries.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March 2024, Accelsius granted 100,000 Class C Units of Accelsius (“Accelsius Incentive Units”) to Mr.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Otworth. The Accelsius Incentive Units are intended to be “profits interests” for U.S. federal income tax purposes,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holders of Accelsius Incentive Units do not have any voting rights with respect to such Accelsius Incentive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Units except as required by law. The Accelsius Incentive Units entitle the holders thereof to participate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distributions of Accelsius after certain members of Accelsius have received the return of an amount specified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 to the Accelsius Incentive Unit award (the “Accelsius Distribution Threshold”). Mr. Otworth’s Accelsius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Incentive Units were granted with an Accelsius Distribution Threshold of $4.41. The Accelsius Incentive Units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generally vest over a three-year period, with 25% vesting on the grant date and 9.375% vesting quarterly beginning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the one-year anniversary of the grant date, subject to Mr. Otworth’s continued service to Accelsius or one of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subsidiaries.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68</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Policies and Practices Related to the Grant of Certain Equity Awards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Compensation Committee approves equity awards granted to our named executive officers on or before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grant date, but grants are not currently made on a predetermined schedule. The Compensation Committee does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take material nonpublic information into account when determining the timing and terms of such awards.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has not timed the disclosure of material nonpublic information for the purpose of affecting the value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executive compensation.</w:t>
      </w:r>
    </w:p>
    <w:tbl>
      <w:tblPr>
        <w:tblW w:w="9656" w:type="dxa"/>
        <w:jc w:val="left"/>
        <w:tblInd w:w="0" w:type="dxa"/>
        <w:tblLayout w:type="fixed"/>
        <w:tblCellMar>
          <w:top w:w="28" w:type="dxa"/>
          <w:left w:w="28" w:type="dxa"/>
          <w:bottom w:w="28" w:type="dxa"/>
          <w:right w:w="28" w:type="dxa"/>
        </w:tblCellMar>
      </w:tblPr>
      <w:tblGrid>
        <w:gridCol w:w="2251"/>
        <w:gridCol w:w="109"/>
        <w:gridCol w:w="961"/>
        <w:gridCol w:w="109"/>
        <w:gridCol w:w="1201"/>
        <w:gridCol w:w="109"/>
        <w:gridCol w:w="1276"/>
        <w:gridCol w:w="109"/>
        <w:gridCol w:w="1276"/>
        <w:gridCol w:w="109"/>
        <w:gridCol w:w="2146"/>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Name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securities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underlying the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award</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Exercise price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of the award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Grant date fair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value of the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award</w:t>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Percentage change in the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closing market price of the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securities underlying the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award between the trading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day ending immediately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prior to the disclosure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material nonpublic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information and the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trading day beginning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immediately following the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disclosure of material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nonpublic information</w:t>
            </w:r>
          </w:p>
        </w:tc>
      </w:tr>
      <w:tr>
        <w:trPr/>
        <w:tc>
          <w:tcPr>
            <w:tcW w:w="22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Gregory Haskell, CEO</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2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Mike Otworth, Executive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Chairman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12/9/2024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262,295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$1,712,786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(0.88)%</w:t>
            </w:r>
          </w:p>
        </w:tc>
      </w:tr>
      <w:tr>
        <w:trPr/>
        <w:tc>
          <w:tcPr>
            <w:tcW w:w="22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Dr. John Scott, Chief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Strategy Officer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12/9/2024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163,934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$1,070,489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(0.88)%</w:t>
            </w:r>
          </w:p>
        </w:tc>
      </w:tr>
    </w:tbl>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Incentive Units Granted in Prior Years</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Innventure LLC</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prior years, Innventure LLC granted Class C Units of Innventure LLC (“Innventure Incentive Units”)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service providers, including Mr. Haskell, pursuant to the Fourth Amended and Restated Limited Liability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Agreement of Innventure LLC, as subsequently amended or amended and restated from time to time.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Incentive Units were intended to be “profits interests” for U.S. federal income tax purposes, and 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Innventure Incentive Units did not have any voting rights with respect to such Innventure Incentive Units except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required by law. The Innventure Incentive Units entitled the holders thereof to participate in distributions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after certain members of Innventure LLC have received the return of an amount specified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 to the Innventure Incentive Unit award (the “Innventure Distribution Threshold”). At the time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 Combination, unvested Innventure Incentive Units held by the NEOs vested in full and were canceled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exchanged for shares of Common Stock. At the time of the Business Combination, Mr. Haskell held 430,000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Incentive Units with an Innventure Distribution Threshold of $2.2973. At the time of the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these Innventure Incentive Units were exchanged for shares of Common Stock. In accordance with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allocation schedule pursuant to the Business Combination Agreement, Mr. Haskell received 705,655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shares of Common Stock with respect to his Innventure Incentive Units.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 LLC did not grant Innventure Incentive Units to any of the NEOs in 2024.</w:t>
      </w:r>
    </w:p>
    <w:p>
      <w:pPr>
        <w:pStyle w:val="TextBody"/>
        <w:bidi w:val="0"/>
        <w:spacing w:lineRule="atLeast" w:line="200" w:before="0" w:after="0"/>
        <w:jc w:val="left"/>
        <w:rPr>
          <w:rFonts w:ascii="Times New Roman;sans-serif" w:hAnsi="Times New Roman;sans-serif"/>
          <w:b w:val="false"/>
          <w:i w:val="false"/>
          <w:caps w:val="false"/>
          <w:smallCaps w:val="false"/>
          <w:sz w:val="20"/>
          <w:u w:val="single"/>
        </w:rPr>
      </w:pPr>
      <w:r>
        <w:rPr>
          <w:rFonts w:ascii="Times New Roman;sans-serif" w:hAnsi="Times New Roman;sans-serif"/>
          <w:b w:val="false"/>
          <w:i w:val="false"/>
          <w:caps w:val="false"/>
          <w:smallCaps w:val="false"/>
          <w:sz w:val="20"/>
          <w:u w:val="single"/>
        </w:rPr>
        <w:t>Accelsius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prior years, Accelsius granted Accelsius Incentive Units to certain service providers, including Mr. Haskell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Dr. Scott, pursuant to the Limited Liability Company Agreement of Accelsius.  At the time of the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unvested Accelsius Incentive Units held by the NEOs remained outstanding in accordance with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terms of the award agreements pursuant to which such Accelsius Incentive Units were granted.</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Employment and Consulting Arrangements with our NEOs</w:t>
      </w:r>
    </w:p>
    <w:p>
      <w:pPr>
        <w:pStyle w:val="TextBody"/>
        <w:bidi w:val="0"/>
        <w:spacing w:lineRule="atLeast" w:line="200" w:before="0" w:after="0"/>
        <w:jc w:val="left"/>
        <w:rPr/>
      </w:pPr>
      <w:r>
        <w:rPr>
          <w:rFonts w:ascii="Times New Roman;sans-serif" w:hAnsi="Times New Roman;sans-serif"/>
          <w:b w:val="false"/>
          <w:i/>
          <w:sz w:val="20"/>
        </w:rPr>
        <w:t>Gregory W. (Bill) Haskell</w:t>
      </w:r>
      <w:r>
        <w:rPr>
          <w:rFonts w:ascii="Times New Roman;sans-serif" w:hAnsi="Times New Roman;sans-serif"/>
          <w:b w:val="false"/>
          <w:i w:val="false"/>
          <w:caps w:val="false"/>
          <w:smallCaps w:val="false"/>
          <w:sz w:val="20"/>
        </w:rPr>
        <w:t xml:space="preserve">: Innventure LLC is party to an offer letter, dated January 5, 2021, with Mr. Haskell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“Haskell Letter”). The Haskell Letter provides for, among other things, an initial base salary rate of $200,000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 year, and an opportunity for Mr. Haskell to receive certain equity awards from Innventure LLC and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69</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companies affiliated with Innventure LLC. Mr. Haskell’s base salary in 2024 was $300,000 per year. In January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2025, Mr. Haskell’s base salary was increased again to $700,000 per year.</w:t>
      </w:r>
    </w:p>
    <w:p>
      <w:pPr>
        <w:pStyle w:val="TextBody"/>
        <w:bidi w:val="0"/>
        <w:spacing w:lineRule="atLeast" w:line="200" w:before="0" w:after="0"/>
        <w:jc w:val="left"/>
        <w:rPr/>
      </w:pPr>
      <w:r>
        <w:rPr>
          <w:rFonts w:ascii="Times New Roman;sans-serif" w:hAnsi="Times New Roman;sans-serif"/>
          <w:b w:val="false"/>
          <w:i/>
          <w:sz w:val="20"/>
        </w:rPr>
        <w:t>Mike Otworth</w:t>
      </w:r>
      <w:r>
        <w:rPr>
          <w:rFonts w:ascii="Times New Roman;sans-serif" w:hAnsi="Times New Roman;sans-serif"/>
          <w:b w:val="false"/>
          <w:i w:val="false"/>
          <w:caps w:val="false"/>
          <w:smallCaps w:val="false"/>
          <w:sz w:val="20"/>
        </w:rPr>
        <w:t xml:space="preserve">: Innventure LLC is party to a Contractor Agreement for Services, effective November 16, 2023,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Sugar Grove Ventures, LLC, an independent contractor (the “Otworth Service Agreement”). Pursuant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Otworth Service Agreement, Mr. Otworth serves as the primary contact and responsible party in carrying out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services contemplated under the Otworth Service Agreement on behalf of Sugar Grove Ventures, LLC. Pursuant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Otworth Service Agreement, Sugar Grove Ventures, LLC provides consulting tasks as assigned in exchange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monthly service fee of $25,000 and a target bonus equal to 100% of annual consulting fees. In January 2025, Mr.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Otworth’s monthly service fee was increased to $37,500.</w:t>
      </w:r>
    </w:p>
    <w:p>
      <w:pPr>
        <w:pStyle w:val="TextBody"/>
        <w:bidi w:val="0"/>
        <w:spacing w:lineRule="atLeast" w:line="200" w:before="0" w:after="0"/>
        <w:jc w:val="left"/>
        <w:rPr/>
      </w:pPr>
      <w:r>
        <w:rPr>
          <w:rFonts w:ascii="Times New Roman;sans-serif" w:hAnsi="Times New Roman;sans-serif"/>
          <w:b w:val="false"/>
          <w:i/>
          <w:sz w:val="20"/>
        </w:rPr>
        <w:t>Dr. John Scott</w:t>
      </w:r>
      <w:r>
        <w:rPr>
          <w:rFonts w:ascii="Times New Roman;sans-serif" w:hAnsi="Times New Roman;sans-serif"/>
          <w:b w:val="false"/>
          <w:i w:val="false"/>
          <w:caps w:val="false"/>
          <w:smallCaps w:val="false"/>
          <w:sz w:val="20"/>
        </w:rPr>
        <w:t xml:space="preserve">: Innventure LLC is party to a Statement of Work, effective April 1, 2018, with Corporate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Development Group LLC, an independent contractor (as amended, the “Scott Service Agreement”). Pursuant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Scott Service Agreement, Corporate Development Group LLC provides strategic guidance and consulting services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Innventure LLC for a monthly service fee of $25,000. In January 2025, Dr. Scott’s monthly service fee was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increased to $37,500.</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Outstanding Equity Awards at 2024 Fiscal Year-End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and related footnotes set forth information about the outstanding equity awards held by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NEOs as of December 31, 2024.</w:t>
      </w:r>
    </w:p>
    <w:tbl>
      <w:tblPr>
        <w:tblW w:w="9620" w:type="dxa"/>
        <w:jc w:val="left"/>
        <w:tblInd w:w="0" w:type="dxa"/>
        <w:tblLayout w:type="fixed"/>
        <w:tblCellMar>
          <w:top w:w="28" w:type="dxa"/>
          <w:left w:w="28" w:type="dxa"/>
          <w:bottom w:w="28" w:type="dxa"/>
          <w:right w:w="28" w:type="dxa"/>
        </w:tblCellMar>
      </w:tblPr>
      <w:tblGrid>
        <w:gridCol w:w="2281"/>
        <w:gridCol w:w="109"/>
        <w:gridCol w:w="1171"/>
        <w:gridCol w:w="109"/>
        <w:gridCol w:w="781"/>
        <w:gridCol w:w="109"/>
        <w:gridCol w:w="691"/>
        <w:gridCol w:w="226"/>
        <w:gridCol w:w="109"/>
        <w:gridCol w:w="601"/>
        <w:gridCol w:w="109"/>
        <w:gridCol w:w="916"/>
        <w:gridCol w:w="109"/>
        <w:gridCol w:w="814"/>
        <w:gridCol w:w="266"/>
        <w:gridCol w:w="109"/>
        <w:gridCol w:w="836"/>
        <w:gridCol w:w="274"/>
      </w:tblGrid>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2" w:type="dxa"/>
            <w:gridSpan w:val="8"/>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Option Awards</w:t>
            </w:r>
          </w:p>
        </w:tc>
        <w:tc>
          <w:tcPr>
            <w:tcW w:w="109" w:type="dxa"/>
            <w:tcBorders/>
            <w:vAlign w:val="center"/>
          </w:tcPr>
          <w:p>
            <w:pPr>
              <w:pStyle w:val="TableContents"/>
              <w:bidi w:val="0"/>
              <w:spacing w:before="0" w:after="283"/>
              <w:jc w:val="left"/>
              <w:rPr>
                <w:sz w:val="4"/>
                <w:szCs w:val="4"/>
              </w:rPr>
            </w:pPr>
            <w:r>
              <w:rPr>
                <w:sz w:val="4"/>
                <w:szCs w:val="4"/>
              </w:rPr>
            </w:r>
          </w:p>
        </w:tc>
        <w:tc>
          <w:tcPr>
            <w:tcW w:w="2299" w:type="dxa"/>
            <w:gridSpan w:val="5"/>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sz w:val="12"/>
                <w:u w:val="none"/>
                <w:effect w:val="none"/>
              </w:rPr>
            </w:pPr>
            <w:r>
              <w:rPr>
                <w:rFonts w:ascii="Times New Roman;sans-serif" w:hAnsi="Times New Roman;sans-serif"/>
                <w:b/>
                <w:i w:val="false"/>
                <w:caps w:val="false"/>
                <w:smallCaps w:val="false"/>
                <w:strike w:val="false"/>
                <w:dstrike w:val="false"/>
                <w:sz w:val="12"/>
                <w:u w:val="none"/>
                <w:effect w:val="none"/>
              </w:rPr>
              <w:t>Stock Awards</w:t>
            </w:r>
          </w:p>
        </w:tc>
      </w:tr>
      <w:tr>
        <w:trPr/>
        <w:tc>
          <w:tcPr>
            <w:tcW w:w="228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Name</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Type of Award(1)</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Number of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Securities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Underlying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Unexercised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Options (#)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Exercisable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Number of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Securities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Underlying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Unexercised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Options (#)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Unexercisable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Option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Exercise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Price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Option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Expiration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Number of Shares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or Units of Stock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That Have Not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Vested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Market Value of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Shares or Units of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 xml:space="preserve">Stock That Have </w:t>
            </w:r>
          </w:p>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Not Vested ($)</w:t>
            </w:r>
          </w:p>
        </w:tc>
      </w:tr>
      <w:tr>
        <w:trPr/>
        <w:tc>
          <w:tcPr>
            <w:tcW w:w="22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sz w:val="16"/>
                <w:u w:val="none"/>
                <w:effect w:val="none"/>
              </w:rPr>
              <w:t>Gregory W. (Bill) Haskell</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Refinity Units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109,000</w:t>
            </w:r>
          </w:p>
        </w:tc>
        <w:tc>
          <w:tcPr>
            <w:tcW w:w="2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7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sz w:val="16"/>
                <w:u w:val="none"/>
                <w:effect w:val="none"/>
              </w:rPr>
              <w:t>Mike Otworth</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INV Options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262,295</w:t>
            </w:r>
          </w:p>
        </w:tc>
        <w:tc>
          <w:tcPr>
            <w:tcW w:w="22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12/9/2034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before="0" w:after="283"/>
              <w:jc w:val="left"/>
              <w:rPr>
                <w:sz w:val="4"/>
                <w:szCs w:val="4"/>
              </w:rPr>
            </w:pPr>
            <w:r>
              <w:rPr>
                <w:sz w:val="4"/>
                <w:szCs w:val="4"/>
              </w:rPr>
            </w:r>
          </w:p>
        </w:tc>
        <w:tc>
          <w:tcPr>
            <w:tcW w:w="274" w:type="dxa"/>
            <w:tcBorders/>
            <w:shd w:fill="FFFFFF" w:val="clear"/>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Refinity Units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109,000</w:t>
            </w:r>
          </w:p>
        </w:tc>
        <w:tc>
          <w:tcPr>
            <w:tcW w:w="26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74" w:type="dxa"/>
            <w:tcBorders/>
            <w:shd w:fill="FFFFFF" w:val="clear"/>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Accelsius SARs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150,000</w:t>
            </w:r>
          </w:p>
        </w:tc>
        <w:tc>
          <w:tcPr>
            <w:tcW w:w="22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12.175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12/31/2026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before="0" w:after="283"/>
              <w:jc w:val="left"/>
              <w:rPr>
                <w:sz w:val="4"/>
                <w:szCs w:val="4"/>
              </w:rPr>
            </w:pPr>
            <w:r>
              <w:rPr>
                <w:sz w:val="4"/>
                <w:szCs w:val="4"/>
              </w:rPr>
            </w:r>
          </w:p>
        </w:tc>
        <w:tc>
          <w:tcPr>
            <w:tcW w:w="274" w:type="dxa"/>
            <w:tcBorders/>
            <w:shd w:fill="FFFFFF" w:val="clear"/>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INV RSUs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537,705</w:t>
            </w:r>
          </w:p>
        </w:tc>
        <w:tc>
          <w:tcPr>
            <w:tcW w:w="26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7,447,214</w:t>
            </w:r>
          </w:p>
        </w:tc>
        <w:tc>
          <w:tcPr>
            <w:tcW w:w="274" w:type="dxa"/>
            <w:tcBorders/>
            <w:shd w:fill="FFFFFF" w:val="clear"/>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Accelsius Units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75,000</w:t>
            </w:r>
          </w:p>
        </w:tc>
        <w:tc>
          <w:tcPr>
            <w:tcW w:w="26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3,147,750</w:t>
            </w:r>
          </w:p>
        </w:tc>
        <w:tc>
          <w:tcPr>
            <w:tcW w:w="27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(7)</w:t>
            </w:r>
          </w:p>
        </w:tc>
      </w:tr>
      <w:tr>
        <w:trPr/>
        <w:tc>
          <w:tcPr>
            <w:tcW w:w="2281" w:type="dxa"/>
            <w:tcBorders/>
            <w:shd w:fill="CCEEFF" w:val="cle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sz w:val="16"/>
                <w:u w:val="none"/>
                <w:effect w:val="none"/>
              </w:rPr>
              <w:t>Dr. John Scott</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INV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163,934</w:t>
            </w:r>
          </w:p>
        </w:tc>
        <w:tc>
          <w:tcPr>
            <w:tcW w:w="22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12/9/2034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r>
      <w:tr>
        <w:trPr/>
        <w:tc>
          <w:tcPr>
            <w:tcW w:w="22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Refinity Units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109,000</w:t>
            </w:r>
          </w:p>
        </w:tc>
        <w:tc>
          <w:tcPr>
            <w:tcW w:w="26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74" w:type="dxa"/>
            <w:tcBorders/>
            <w:shd w:fill="CCEEFF" w:val="clear"/>
            <w:vAlign w:val="center"/>
          </w:tcPr>
          <w:p>
            <w:pPr>
              <w:pStyle w:val="TableContents"/>
              <w:bidi w:val="0"/>
              <w:spacing w:before="0" w:after="283"/>
              <w:jc w:val="left"/>
              <w:rPr>
                <w:sz w:val="4"/>
                <w:szCs w:val="4"/>
              </w:rPr>
            </w:pPr>
            <w:r>
              <w:rPr>
                <w:sz w:val="4"/>
                <w:szCs w:val="4"/>
              </w:rPr>
            </w:r>
          </w:p>
        </w:tc>
      </w:tr>
      <w:tr>
        <w:trPr/>
        <w:tc>
          <w:tcPr>
            <w:tcW w:w="22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Accelsius SARs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150,000</w:t>
            </w:r>
          </w:p>
        </w:tc>
        <w:tc>
          <w:tcPr>
            <w:tcW w:w="22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12/31/2026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r>
      <w:tr>
        <w:trPr/>
        <w:tc>
          <w:tcPr>
            <w:tcW w:w="22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INV RSUs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336,066</w:t>
            </w:r>
          </w:p>
        </w:tc>
        <w:tc>
          <w:tcPr>
            <w:tcW w:w="26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4,654,514</w:t>
            </w:r>
          </w:p>
        </w:tc>
        <w:tc>
          <w:tcPr>
            <w:tcW w:w="274" w:type="dxa"/>
            <w:tcBorders/>
            <w:shd w:fill="CCEEFF" w:val="clear"/>
            <w:vAlign w:val="center"/>
          </w:tcPr>
          <w:p>
            <w:pPr>
              <w:pStyle w:val="TableContents"/>
              <w:bidi w:val="0"/>
              <w:spacing w:before="0" w:after="283"/>
              <w:jc w:val="left"/>
              <w:rPr>
                <w:sz w:val="4"/>
                <w:szCs w:val="4"/>
              </w:rPr>
            </w:pPr>
            <w:r>
              <w:rPr>
                <w:sz w:val="4"/>
                <w:szCs w:val="4"/>
              </w:rPr>
            </w:r>
          </w:p>
        </w:tc>
      </w:tr>
      <w:tr>
        <w:trPr/>
        <w:tc>
          <w:tcPr>
            <w:tcW w:w="22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Accelsius Units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9,375</w:t>
            </w:r>
          </w:p>
        </w:tc>
        <w:tc>
          <w:tcPr>
            <w:tcW w:w="26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434,813</w:t>
            </w:r>
          </w:p>
        </w:tc>
        <w:tc>
          <w:tcPr>
            <w:tcW w:w="27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0"/>
                <w:u w:val="none"/>
                <w:effect w:val="none"/>
              </w:rPr>
            </w:pPr>
            <w:r>
              <w:rPr>
                <w:rFonts w:ascii="Times New Roman;sans-serif" w:hAnsi="Times New Roman;sans-serif"/>
                <w:b w:val="false"/>
                <w:i w:val="false"/>
                <w:caps w:val="false"/>
                <w:smallCaps w:val="false"/>
                <w:strike w:val="false"/>
                <w:dstrike w:val="false"/>
                <w:sz w:val="10"/>
                <w:u w:val="none"/>
                <w:effect w:val="none"/>
              </w:rPr>
              <w:t>(7)</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(1)Type of Award: Refinity Units – Refinity Incentive Units; INV Options – stock options to purchase shares of Common Stock; INV RSUs –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restricted stock units settled in shares of Common Stock; Accelsius SARs – awards granted by Innventure and settled in shares of Common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Stock, the value of which is determined based on the increase in value of Class A Common Units of Accelsius; Accelsius Units – Accelsius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Incentive Units.</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(2)In general, these stock options will vest on October 2, 2025, or, if earlier, on the same date that the lock-up set forth in the contractual Lock-</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up Agreement entered into by such individual on October 24, 2023 terminates pursuant to its terms, subject to each NEO’s continuous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service until the applicable vesting date.</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(3)In general, these Accelsius SARs will be automatically exercised upon the earliest to occur of: (i) the 24-month anniversary of the grant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date, (ii) the participant’s death, or (iii) the participant’s “disability” (as defined in the applicable award agreement).</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(4)On December 11, 2024, Refinity Holdings granted to each NEO 109,000 Refinity Incentive Units, with a Refinity Distribution Threshold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$0.00. Such Refinity Incentive Units will vest over a three-year period, with 25% vesting on the one-year anniversary of the grant date and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9.375% vesting quarterly thereafter.</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(5)In general, these RSUs will vest on October 2, 2025, or, if earlier, on the same date that the lock-up set forth in the contractual Lock-up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Agreement entered into by such individual on October 24, 2023 terminates pursuant to its terms, subject to each NEO’s continuous service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until the applicable vesting date.</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(6)On March 22, 2024, Accelsius granted to Mr. Otworth 100,000 Accelsius Incentive Units, with an Accelsius Distribution Threshold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$4.41.In general, these Accelsius Incentive Units will vest over a three-year period, with 25% vesting on the grant date and 9.375% vesting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quarterly beginning on the one-year anniversary of the grant date, subject to Mr. Otworth’s continued service to Accelsius or one of its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subsidiaries.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70</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(7)Because Accelsius was not publicly traded during 2024, these amounts represent the estimated market value of the unvested Accelsius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Incentive Units held by each of the NEOs as of December 31, 2024, as more fully described above under the heading “2024 Equity-Based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Compensation,” based on an external valuation dated as of December 31, 2024.</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(8)On May 5, 2022, Accelsius granted to Dr. Scott 100,000 Accelsius Incentive Units, with an Accelsius Distribution Threshold of $0.00. Such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Accelsius Incentive Units were 25% vested on the date of grant, and the remainder of the Accelsius Incentive Units vest in eight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substantially equal quarterly installments beginning 12 months after the date of grant. For a discussion of the treatment of the NEOs’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Incentive Units in the Business Combination, see “Incentive Units Granted in Prior Years” above.</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Additional Narrative Disclosure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Tax Qualified Retirement Plan</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Employees of Management Services, Accelsius</w:t>
      </w:r>
      <w:r>
        <w:rPr>
          <w:caps w:val="false"/>
          <w:smallCaps w:val="false"/>
        </w:rPr>
        <w:t xml:space="preserve"> </w:t>
      </w:r>
      <w:r>
        <w:rPr>
          <w:rFonts w:ascii="Times New Roman;sans-serif" w:hAnsi="Times New Roman;sans-serif"/>
          <w:b w:val="false"/>
          <w:i w:val="false"/>
          <w:caps w:val="false"/>
          <w:smallCaps w:val="false"/>
          <w:sz w:val="20"/>
        </w:rPr>
        <w:t>and Refinity Holdings are eligible to participate in a tax-</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qualified retirement savings plan (the “401(k) Plan”), under which participating employees may contribute up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99% of their eligible compensation into their 401(k) Plan accounts, subject to applicable limits under the 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Internal Revenue Code. Mr. Haskell participated in the 401(k) Plan in 2024.</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did not offer a defined benefit pension plan or nonqualified deferred compensation plan for its NEOs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during 2024.</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Severance and Change in Control Compensation</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Severance Under NEO Arrangements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None of the agreements or offer letters with the NEOs provide for severance compensation in the event of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termination of employment.</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Innventure Equity Compensation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general, RSUs, stock options and Accelsius SARs granted under the 2024 Plan are eligible to vest or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automatically exercised as follows in the event of certain termination and change in control scenarios.</w:t>
      </w:r>
    </w:p>
    <w:p>
      <w:pPr>
        <w:pStyle w:val="TextBody"/>
        <w:bidi w:val="0"/>
        <w:spacing w:lineRule="atLeast" w:line="200" w:before="0" w:after="0"/>
        <w:jc w:val="left"/>
        <w:rPr/>
      </w:pPr>
      <w:r>
        <w:rPr>
          <w:rFonts w:ascii="Times New Roman;sans-serif" w:hAnsi="Times New Roman;sans-serif"/>
          <w:b w:val="false"/>
          <w:i/>
          <w:sz w:val="20"/>
        </w:rPr>
        <w:t>RSUs.</w:t>
      </w:r>
      <w:r>
        <w:rPr>
          <w:caps w:val="false"/>
          <w:smallCaps w:val="false"/>
        </w:rPr>
        <w:t xml:space="preserve"> </w:t>
      </w:r>
      <w:r>
        <w:rPr>
          <w:rFonts w:ascii="Times New Roman;sans-serif" w:hAnsi="Times New Roman;sans-serif"/>
          <w:b w:val="false"/>
          <w:i w:val="false"/>
          <w:caps w:val="false"/>
          <w:smallCaps w:val="false"/>
          <w:sz w:val="20"/>
        </w:rPr>
        <w:t xml:space="preserve">If an NEO’s employment is terminated due to death or disability, the RSUs will vest in full. If an NEO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remains employed through the date of a “change in control” (as defined for purposes of the applicable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awards) and a replacement award is not provided, the RSUs will vest in full. If a replacement award is provided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any point within twelve months following a “change in control,” the employment of an NEO is terminated by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(or its successor) without “cause” or by the NEO for “good reason,” unvested RSUs held by the NEO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vest in full.</w:t>
      </w:r>
    </w:p>
    <w:p>
      <w:pPr>
        <w:pStyle w:val="TextBody"/>
        <w:bidi w:val="0"/>
        <w:spacing w:lineRule="atLeast" w:line="200" w:before="0" w:after="0"/>
        <w:jc w:val="left"/>
        <w:rPr/>
      </w:pPr>
      <w:r>
        <w:rPr>
          <w:rFonts w:ascii="Times New Roman;sans-serif" w:hAnsi="Times New Roman;sans-serif"/>
          <w:b w:val="false"/>
          <w:i/>
          <w:sz w:val="20"/>
        </w:rPr>
        <w:t>Stock Options.</w:t>
      </w:r>
      <w:r>
        <w:rPr>
          <w:caps w:val="false"/>
          <w:smallCaps w:val="false"/>
        </w:rPr>
        <w:t xml:space="preserve"> </w:t>
      </w:r>
      <w:r>
        <w:rPr>
          <w:rFonts w:ascii="Times New Roman;sans-serif" w:hAnsi="Times New Roman;sans-serif"/>
          <w:b w:val="false"/>
          <w:i w:val="false"/>
          <w:caps w:val="false"/>
          <w:smallCaps w:val="false"/>
          <w:sz w:val="20"/>
        </w:rPr>
        <w:t xml:space="preserve">If an NEO’s employment is terminated due to death or disability, the unvested portion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option will vest in full upon termination. If an NEO remains employed through the date of a “change in control”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defined for purposes of the applicable equity awards) and a replacement award is not provided, the option will vest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full. If a replacement award is provided and, at any point within two years following a “change in control,”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employment of an NEO is terminated by the Company (or its successor) without “cause” or by the NEO for “good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reason,” the replacement award will vest in full.</w:t>
      </w:r>
    </w:p>
    <w:p>
      <w:pPr>
        <w:pStyle w:val="TextBody"/>
        <w:bidi w:val="0"/>
        <w:spacing w:lineRule="atLeast" w:line="200" w:before="0" w:after="0"/>
        <w:jc w:val="left"/>
        <w:rPr/>
      </w:pPr>
      <w:r>
        <w:rPr>
          <w:rFonts w:ascii="Times New Roman;sans-serif" w:hAnsi="Times New Roman;sans-serif"/>
          <w:b w:val="false"/>
          <w:i/>
          <w:sz w:val="20"/>
        </w:rPr>
        <w:t xml:space="preserve">Accelsius SARs. </w:t>
      </w:r>
      <w:r>
        <w:rPr>
          <w:rFonts w:ascii="Times New Roman;sans-serif" w:hAnsi="Times New Roman;sans-serif"/>
          <w:b w:val="false"/>
          <w:i w:val="false"/>
          <w:caps w:val="false"/>
          <w:smallCaps w:val="false"/>
          <w:sz w:val="20"/>
        </w:rPr>
        <w:t xml:space="preserve">The Accelsius SARs granted in December 2024 were fully vested upon grant and will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automatically exercised upon the earliest to occur of: (i) the 24-month anniversary of the date of grant, (ii)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participant’s death, or (iii) the participant’s disability.</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Treatment of Incentive Units Upon a Termination of Employment or Engagement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respect to Innventure Incentive Units (when they were outstanding) and Accelsius Incentive Units, if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NEO’s employment or engagement is (or was) terminated, then Innventure or Accelsius, as applicable,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repurchase (or could have repurchased) such NEO’s vested Incentive Units for the greater of the book value or fair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 value (each as defined in the applicable award agreements pursuant to which Incentive Units were granted),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except that if the termination is (or was) voluntary on the part of the NEO or by Innventure or Accelsius,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for cause (as defined in the applicable award agreements pursuant to which Incentive Units were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71</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granted), such vested Incentive Units may be repurchased (or could have been repurchased) for their fair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value.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described above, Innventure Incentive Units held by the NEOs vested (to the extent unvested) at the time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Business Combination and were cancelled in exchange for shares of 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respect to Refinity Incentive Units, if an NEO’s employment or service is terminated, then Refinity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Holdings, LLC may redeem such NEO’s vested Refinity Incentive Units for their fair market value (as defined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award agreements pursuant to which Refinity Incentive Units are granted), except that if the termination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 by Refinity Holdings, LLC for cause (as defined in the Refinity Holdings, LLC PI Unit Incentive Plan),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vested and unvested Refinity Incentive Units may be redeemed by Refinity Holdings, LLC for $0.</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Treatment of Accelsius Incentive Units and Refinity Incentive Units upon a Change in Control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respect to Accelsius Incentive Units and Refinity Incentive Units if Accelsius or Refinity Holdings,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respectively, experiences a change in control (as defined in the applicable award agreement pursuant to which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Incentive Units were granted), 100% of such Accelsius Incentive Units or Refinity Incentive Units, as applicable,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extent not yet vested, will vest.</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Director Compensation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Bill Haskell, David Yablunosky, Mike Otworth, Suzanne Niemeyer, James Donnally, Bruce Brown, Elizabeth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Williams, Daniel Hennessy, and Michael Amalfitano served on the Innventure Board during 2024.</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Non-Management Director Compensation Policy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2024, our Board adopted the Innventure, Inc. Non-Management Director Compensation Plan (the “Director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Compensation Plan”). The Director Compensation Plan is intended to allow us to attract and retain qualified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individuals to serve on our Board and align their interests with those of our stockholders. The Director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Compensation Plan is generally administered by the Compensation Committee. The Director Compensation Plan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provides for the following cash retainers and equity awards under the 2024 Plan: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Initial Equity Grant</w:t>
      </w:r>
      <w:r>
        <w:rPr>
          <w:rFonts w:ascii="Times New Roman;sans-serif" w:hAnsi="Times New Roman;sans-serif"/>
          <w:b w:val="false"/>
          <w:i w:val="false"/>
          <w:caps w:val="false"/>
          <w:smallCaps w:val="false"/>
          <w:strike w:val="false"/>
          <w:dstrike w:val="false"/>
          <w:sz w:val="20"/>
          <w:u w:val="none"/>
          <w:effect w:val="none"/>
        </w:rPr>
        <w:t xml:space="preserve">: Each non-management director that became a member of our Board as of the Closing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Date and who was still serving on our Board on the third business day following the effective date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Director Compensation Plan received RSUs with a targeted value of $90,000 on such date, in respect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their service from the Closing and the date of the Company’s first annual meeting of stockholders. Such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RSUs will generally vest on the date of this year’s annual meeting, subject to each non-management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director providing service on our Board through such date.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Quarterly cash retainer</w:t>
      </w:r>
      <w:r>
        <w:rPr>
          <w:rFonts w:ascii="Times New Roman;sans-serif" w:hAnsi="Times New Roman;sans-serif"/>
          <w:b w:val="false"/>
          <w:i w:val="false"/>
          <w:caps w:val="false"/>
          <w:smallCaps w:val="false"/>
          <w:strike w:val="false"/>
          <w:dstrike w:val="false"/>
          <w:sz w:val="20"/>
          <w:u w:val="none"/>
          <w:effect w:val="none"/>
        </w:rPr>
        <w:t xml:space="preserve">: Each non-management director will receive an annual cash retainer fee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$80,000, paid in arrears on a quarterly basis. The annual cash retainer fee will be prorated in the event that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non-management director serves on our Board for a portion of any calendar quarter.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Annual equity retainer</w:t>
      </w:r>
      <w:r>
        <w:rPr>
          <w:rFonts w:ascii="Times New Roman;sans-serif" w:hAnsi="Times New Roman;sans-serif"/>
          <w:b w:val="false"/>
          <w:i w:val="false"/>
          <w:caps w:val="false"/>
          <w:smallCaps w:val="false"/>
          <w:strike w:val="false"/>
          <w:dstrike w:val="false"/>
          <w:sz w:val="20"/>
          <w:u w:val="none"/>
          <w:effect w:val="none"/>
        </w:rPr>
        <w:t xml:space="preserve">: On the date of each of our regularly scheduled annual meetings of stockholders,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each non-management director will receive a grant of RSUs with a targeted value of $120,000, which will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generally vest on the earlier of (i) the first anniversary of the grant date and (ii) the next annual meeting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stockholders that occurs following the grant date, subject to each non-management director providing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service on our Board on such vesting date. If a non-management director is elected to our Board other than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connection with an annual meeting of stockholders, such non-management director’s annual equity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retainer will be prorated based on the number of days of service until the scheduled date of the next annual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meeting of stockholders.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strike w:val="false"/>
          <w:dstrike w:val="false"/>
          <w:sz w:val="20"/>
          <w:u w:val="none"/>
          <w:effect w:val="none"/>
        </w:rPr>
        <w:t>Committee retainers</w:t>
      </w:r>
      <w:r>
        <w:rPr>
          <w:rFonts w:ascii="Times New Roman;sans-serif" w:hAnsi="Times New Roman;sans-serif"/>
          <w:b w:val="false"/>
          <w:i w:val="false"/>
          <w:caps w:val="false"/>
          <w:smallCaps w:val="false"/>
          <w:strike w:val="false"/>
          <w:dstrike w:val="false"/>
          <w:sz w:val="20"/>
          <w:u w:val="none"/>
          <w:effect w:val="none"/>
        </w:rPr>
        <w:t xml:space="preserve">: Each non-management director who serves as the chairperson of a standing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committee of our Board will receive an annual cash retainer fee of $20,000, paid in arrears on a quarterly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basis and prorated in the event that such non-management director serves in such position for a portion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any calendar quarter. Each non-management director who serves as a member, but not a chairperson, of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committee of our Board will receive an annual cash retainer fee of $10,000 for each committee, paid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72</w:t>
      </w:r>
    </w:p>
    <w:p>
      <w:pPr>
        <w:pStyle w:val="TextBody"/>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 xml:space="preserve">arrears on a quarterly basis and </w:t>
      </w:r>
      <w:r>
        <w:rPr>
          <w:rFonts w:ascii="Times New Roman;sans-serif" w:hAnsi="Times New Roman;sans-serif"/>
          <w:b w:val="false"/>
          <w:i w:val="false"/>
          <w:caps w:val="false"/>
          <w:smallCaps w:val="false"/>
          <w:sz w:val="20"/>
        </w:rPr>
        <w:t xml:space="preserve">prorated in the event that such non-management director serves in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position for a portion of any calendar quarter.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to the compensation provided under the Director Compensation Plan, James Donnally was granted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 award of 20,000 Accelsius SARs, as more fully described in footnote 2 to the 2024 Director Compensation Table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below, in 2024. The following table sets forth the total compensation received by our non-management directors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2024. Directors who were also executives of Innventure did not receive additional compensation in 2024 for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board service.</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2024 Director Compensation</w:t>
      </w:r>
    </w:p>
    <w:tbl>
      <w:tblPr>
        <w:tblW w:w="8541" w:type="dxa"/>
        <w:jc w:val="left"/>
        <w:tblInd w:w="0" w:type="dxa"/>
        <w:tblLayout w:type="fixed"/>
        <w:tblCellMar>
          <w:top w:w="28" w:type="dxa"/>
          <w:left w:w="28" w:type="dxa"/>
          <w:bottom w:w="28" w:type="dxa"/>
          <w:right w:w="28" w:type="dxa"/>
        </w:tblCellMar>
      </w:tblPr>
      <w:tblGrid>
        <w:gridCol w:w="3706"/>
        <w:gridCol w:w="109"/>
        <w:gridCol w:w="1216"/>
        <w:gridCol w:w="109"/>
        <w:gridCol w:w="1126"/>
        <w:gridCol w:w="109"/>
        <w:gridCol w:w="1231"/>
        <w:gridCol w:w="109"/>
        <w:gridCol w:w="826"/>
      </w:tblGrid>
      <w:tr>
        <w:trPr/>
        <w:tc>
          <w:tcPr>
            <w:tcW w:w="3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Name</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Fees earned or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paid in cash ($)</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Stock awards </w:t>
            </w:r>
          </w:p>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sz w:val="16"/>
                <w:u w:val="none"/>
                <w:effect w:val="none"/>
              </w:rPr>
              <w:t>($)</w:t>
            </w:r>
            <w:r>
              <w:rPr>
                <w:rFonts w:ascii="Times New Roman;sans-serif" w:hAnsi="Times New Roman;sans-serif"/>
                <w:b/>
                <w:i w:val="false"/>
                <w:caps w:val="false"/>
                <w:smallCaps w:val="false"/>
                <w:strike w:val="false"/>
                <w:dstrike w:val="false"/>
                <w:sz w:val="10"/>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Option awards </w:t>
            </w:r>
          </w:p>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sz w:val="16"/>
                <w:u w:val="none"/>
                <w:effect w:val="none"/>
              </w:rPr>
              <w:t>($)</w:t>
            </w:r>
            <w:r>
              <w:rPr>
                <w:rFonts w:ascii="Times New Roman;sans-serif" w:hAnsi="Times New Roman;sans-serif"/>
                <w:b/>
                <w:i w:val="false"/>
                <w:caps w:val="false"/>
                <w:smallCaps w:val="false"/>
                <w:strike w:val="false"/>
                <w:dstrike w:val="false"/>
                <w:sz w:val="1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 ($)</w:t>
            </w:r>
          </w:p>
        </w:tc>
      </w:tr>
      <w:tr>
        <w:trPr/>
        <w:tc>
          <w:tcPr>
            <w:tcW w:w="3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James Donnally</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89,999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899,499</w:t>
            </w:r>
          </w:p>
        </w:tc>
      </w:tr>
      <w:tr>
        <w:trPr/>
        <w:tc>
          <w:tcPr>
            <w:tcW w:w="370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Bruce Brown</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89,999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117,499</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Elizabeth Williams</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89,999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114,999</w:t>
            </w:r>
          </w:p>
        </w:tc>
      </w:tr>
      <w:tr>
        <w:trPr/>
        <w:tc>
          <w:tcPr>
            <w:tcW w:w="370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Daniel Hennessy</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89,999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114,999</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Michael Amalfitano</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89,999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114,999</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(1)Reflects the grant date fair value of the RSU awards, calculated in accordance with FASB ASC Topic 718. For information regarding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assumptions used in calculating these values, see Note 14 to the consolidated financial statements included elsewhere in this prospectus. As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of December 31, 2024, the non-management directors held the following outstanding stock awards: each of Messrs. Donnally, Brown,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Hennessy and Amalfitano and Ms. Williams, 7,377 RSUs.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(2)Reflects the grant date fair value of the Accelsius SARs, calculated in accordance with FASB ASC Topic 718.  For information regarding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assumptions used in calculating these values, see Note 14 to the consolidated financial statements included elsewhere in this prospectus.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 Accelsius SARs were granted by Innventure and are settled in shares of Common Stock, the value of which is determined based on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increase in value of Class A Common Units of Accelsius over a base price of $12.175. In general, these Accelsius SARs will be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automatically exercised upon the earliest to occur of: (i) the 24-month anniversary of the grant date, (ii) Mr. Donnally’s death, or (iii) Mr.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Donnally’s “disability” (as defined in the applicable award agreement). The Compensation Committee may, in its discretion, determine that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Mr. Donnally will receive cash instead of Common Stock. As of December 31, 2024, Mr. Donnally held 20,000 Accelsius SARs.  Mr.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Donnally was granted these Accelsius SARs in respect of prior service.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CERTAIN</w:t>
      </w:r>
      <w:r>
        <w:rPr>
          <w:caps w:val="false"/>
          <w:smallCaps w:val="false"/>
        </w:rPr>
        <w:t xml:space="preserve"> </w:t>
      </w:r>
      <w:r>
        <w:rPr>
          <w:rFonts w:ascii="Times New Roman;sans-serif" w:hAnsi="Times New Roman;sans-serif"/>
          <w:b/>
          <w:i w:val="false"/>
          <w:caps w:val="false"/>
          <w:smallCaps w:val="false"/>
          <w:sz w:val="20"/>
        </w:rPr>
        <w:t>RELATIONSHIPS AND RELATED PARTY TRANSACTIONS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 xml:space="preserve">Unless otherwise indicated, all dollar amounts (“$”) in this section are expressed in thousands, except share and </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per share amounts.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is a description of each transaction since January 1, 2023 and each currently proposed transaction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 which Innventure LLC, Innventure or the Innventure Companies has been or is to be a participant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amount involved exceeded or exceeds $120;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any of such company’s directors, executive officers, or holders of more than 5% of its capital stock, or 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immediate family member of, or person sharing the household with, any of these individuals, had or will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have a direct or indirect material interest.</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 xml:space="preserve">Transactions with AeroFlexx, Accelsius, Innventus ESG Fund I, L.P., and Innventure1, LLC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Management Services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a Management Services Agreement dated August 17, 2018, among Management Services, a wholly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owned subsidiary of Innventure LLC, Innventure GP and the ESG Fund, Innventure earns management fees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providing administrative, finance and accounting services and other back-office functions for the ESG Fund. For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years ended December 31, 2024 and 2023, the ESG Fund paid $800 and $800, respectively, for these management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services. As of December 31, 2024 and 2023, the ESG Fund owed to Management Services approximately $600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$0, respectively.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pursuant to the ESG Fund’s Amended and Restated Limited Partnership Agreement, the ESG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 may offset the management services fees owed to Innventure GP and Management Services by the amount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the ESG Fund’s expenses exceed $800, for a total of $0 and $0 of costs reimbursed in the fiscal years ended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December 31, 2024 and 2023, respectively.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Option Agreement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12, 2021, Innventure LLC entered into a purchase option agreement with the ESG Fund (then known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Innventus Fund I, L.P.), pursuant to which the ESG Fund agreed to forfeit previously issued warrants to purchase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Class B-1 preferred units of Innventure LLC in exchange for the grant of an irrevocable option to purchase (i)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145,161 shares of common stock, par value $0.001 per share, of PCT at an exercise price of $1.00 per share, if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option was exercised after the consummation of certain business combination transactions involving PCT held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(the “Option Shares”) or (ii) 13,798 Class A units of PCT at an exercise price of $1.00 per Class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Unit, if the option was exercised prior to the consummation of certain business combination transactions involving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PCT, held by Innventure LLC. The Option Shares are subject to a contractual lock-up agreement that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LLC entered into in connection with PCT’s business combination transactions and may only be delivered to the ESG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 upon the periodic expiration of such lock-up restrictions. The option was exercised in full on March 16, 2022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145,161 shares of PCT’s common stock and, to date, approximately half of the Option Shares have been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delivered to ESG Fund, with the remainder to be delivered once such shares are released from contractual lock-up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obligations.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Indebtedness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During the fiscal year ended December 31, 2023, Innventure LLC loaned AeroFlexx $2,600 through a series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informal intercompany loans. During the fiscal year ended December 31, 2024, Innventure informally loaned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an additional $4,400. The loans were expected to be repaid in full by June 2024 and bear no interest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instead, were included in the AeroFlexx Loan Agreement (as defined and described below).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July 1, 2024, AeroFlexx, as borrower, AeroFlexx Packaging Company LLC, as guarantor (“AeroFlexx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Packaging”), and Innventure LLC, as Lender, entered into a Loan Agreement (the “AeroFlexx Loan Agreement”).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the terms of the AeroFlexx Loan Agreement, Innventure LLC agreed to lend to AeroFlexx up to $2,400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time to time until the Maturity Date (as defined in the AeroFlexx Loan Agreement). Additionally, the aggregate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74</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principal amount of $7,600 that Innventure LLC previously loaned to AeroFlexx for working capital pursuant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interest-free loans that had not previously been formally documented is included as an amount outstanding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Loan Agreement and subject to the terms of the AeroFlexx Loan Agreement. The aggregate principal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amount of the Term Loans (as defined in the AeroFlexx Loan Agreement) shall not exceed $10,000. The Term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Loans covered by the AeroFlexx Loan Agreement will be guaranteed by AeroFlexx Packaging and will incur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at the annual applicable federal rate published by the Internal Revenue Service (the “IRS”) and adjusted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quarterly, such interest rate to be increased by 2.0% upon the occurrence of an Event of Default (as defined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Loan Agreement). After any repayment of all or any portion of the Term Loans, the Term Loans may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re-borrowed. AeroFlexx will have the option to prepay all or any portion of the Term Loans upon the written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consent of Innventure LLC and the Term Loans will be accelerated and must be prepaid upon the occurrence of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Event of Default. At Innventure LLC’s option, the Term Loans and any unpaid accrued interest and any fees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expenses owed by AeroFlexx may be converted into Next Equity Securities (as defined in the AeroFlexx Loan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As part of the AeroFlexx Loan Agreement, AeroFlexx did not raise equity financing up to the target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amount by January 1, 2025. Therefore, on January 2, 2025, $7,250 of outstanding principal of the then-outstanding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Term Loans and unpaid accrued interest thereon (as calculated per the AeroFlexx Loan Agreement) was subject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mandatory conversion. Using the price per unit of $6.83, the Company obtained 1,060,747 AeroFlexx Class 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preferred units through the mandatory conversion. Based on the increase of AeroFlexx Class D preferred units,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updated ownership percentage in AeroFlexx is 38%. Additionally, the aggregate principal amount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$7,600 that Innventure LLC previously loaned to AeroFlexx for working capital pursuant to interest-free loans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had not previously been formally documented is included as an amount outstanding under the AeroFlexx Loan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and subject to the terms of the AeroFlexx Loan Agreement.  The proceeds of the Term Loans will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used by AeroFlexx for general business purposes, including to fund AeroFlexx’s working capital needs.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Loan Agreement contains customary representations, warranties and covenants, including covenants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restricting AeroFlexx’s ability to encumber assets and AeroFlexx’s ability to merge or consolidate with another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entity. Since the date of the AeroFlexx Loan Agreement, the largest amount of principal outstanding $10,000 and 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or principal has been paid on the Term Loans, and as of March 31, 2025 the current amount outstanding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$10,307 following the conversion of $7,300 on January 2, 2025 and the inclusion of the $4,400 informal loan under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AeroFlexx Loan Agreement. Subsequent to the date on which the $10,000 cap on the AeroFlexx Loan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Agreement was achieved, Innventure has also informally loaned an additional $4,155 to AeroFlexx.</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30, 2023, Innventure LLC entered into a loan and security agreement with Accelsius. Under the loan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security agreement, Innventure LLC agreed to loan, from time to time, up to $6,000 in term loans to Accelsius,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a minimum loan of $10 per term loan. On December 13, 2023, the loan and security agreement was amended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 the aggregate amount available to be loaned to Accelsius to $12,000. On April 10, 2024, the loan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security agreement was amended to allow for all or any portion of the term loans to be re-borrowed. On July 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2024, the loan and security agreement was amended to remove the requirement that interest under the term loans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paid in kind. Outstanding principal amounts accrue interest at the annual applicable federal rate published by the IRS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are adjusted quarterly. In lieu of repayment in cash, at its option, Innventure may convert the outstanding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principal amount of the term loans and any unpaid accrued interest, fees and expenses into equity securities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Accelsius issued in a bona fide equity financing for investment purposes. To date, Accelsius has borrowed $17,075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aggregate, of which $5,075 of principal has been repaid and $84 of interest has been repaid. As of December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31, 2024, approximately $12,408 was outstanding under the loan and security agreement, including $408 of accrued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In addition, to date, Innventure LLC has informally loaned Accelsius $1,200. As described elsewhere in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prospectus, all intercompany transactions and balances have been eliminated in consolidation, including those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related to this loan and security agreement with Accelsius.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During the fiscal year ended December 31, 2024, Innventure LLC informally loaned Refinity Holdings $530.</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December 21, 2023, Mike Otworth, Innventure LLC’s Executive Chairman, loaned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approximately $1,000 for working capital purposes. The Company issued a note payable representing that loan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amount of $1,000 during the year ended December 31, 2023, which is included in notes payable to related parties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consolidated balance sheets as of December 31, 2023. The related party note had no stated interest and 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stated maturity date at issuance. In May 2024, the Company executed an unsecured promissory note (the “Otworth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Promissory Note”) which provides that the indebtedness has no stated interest and matures on December 21, 2024.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75</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 the executed agreement, on the maturity date, the Company is required to repay the outstanding principal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amount of the related party note and a loan fee equal to $63. If the Company failed to pay any amount due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related party note on the maturity date thereof, interest will accrue on the amount outstanding at a rate of eight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percent (8%) per annum from the maturity date.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20, 2025, Mike Otworth agreed to deem as repaid in full and otherwise terminated all loans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obligations of Innventure LLC to Mike Otworth under the Otworth Promissory Note and any loan documentation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executed in connection with the Otworth Promissory Note in exchange for (i) Mike Otworth’s receipt in cash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$180 and (ii) the issuance to Mike Otworth of 114,161 shares of Series C Preferred Stock on March 24, 2025.</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Transactions Involving Innventure1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time to time, Innventure1 LLC (“Innventure1”) pays expenses on behalf of Innventure LLC pursuant to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related party note, with settlement of such amounts to be agreed upon by management of each of Innventure1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On October 31, 2023, Innventure LLC entered into a debt conversion agreement with Innventure1.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During the year ended December 31, 2023, and pursuant to the terms of the debt conversion agreement,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extinguished the related party note with Innventure1 and converted this note in the amount of $500 into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52,010 Class B Preferred Units based on the Class B Preferred Unit issuance price of $9.6992 per unit. The nature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indebtedness is primarily expenses paid on the Company’s behalf and settlement was agreed upon by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management of the two related parties. The indebtedness has no stated interest and no maturity date.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ESG Fund Obligations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May 24, 2023, Innventure LLC and WE-INN paid to the ESG Fund its capital call obligation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approximately $100.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Class B-1 Unit Purchase Agreement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August 25, 2023, Innventure LLC entered into a unit purchase agreement with each of John Scott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Michael Otworth (each a “Purchaser” and together the “Purchasers”), who are each members of Innventure1. Under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terms of the unit purchase agreements, Innventure LLC agreed to issue the Purchasers 171,498 and 260,787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Class B-1 Preferred Units, respectively, upon the release of Dr. Scott and Mr. Otworth’s contractual restrictions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lock-up agreements entered into between Dr. Scott and Mr. Otworth and PCT. The Purchasers agreed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 such Class B-1 Preferred Units at a price of $9.6992 per unit (based on a weighted average of the closing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price on the NASDAQ Global Market of PCT’s common stock during the 30-day period ending on the date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the exchange closed, multiplied by 0.8) in exchange for contributing certain shares of PCT’s common stock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with the aggregate purchase price of the Class B-1 Preferred Units totaling approximately $1,700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$2,500, respectively. Following discussions to place the Purchasers in, as closely as possible, the same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 position following the Business Combination, the parties terminated this arrangement in connection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Closing.</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Intercompany Advancement of Expenses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normal course of business, Innventure LLC has made advances for certain expenses on behalf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Accelsius, the ESG Fund and Refinity. These advances are typically made on a month-to-month basis,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meaning that they are incurred one month and repaid the following month. As of December 31, 2024, $246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 advances have been fully reimbursed, and the remainder is added to the respective letter-of-credit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76</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outstanding balance or otherwise remains outstanding. The following table details the aggregate amount advanced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each company (in excess of $120) per year since 2023:</w:t>
      </w:r>
    </w:p>
    <w:tbl>
      <w:tblPr>
        <w:tblW w:w="7654" w:type="dxa"/>
        <w:jc w:val="left"/>
        <w:tblInd w:w="0" w:type="dxa"/>
        <w:tblLayout w:type="fixed"/>
        <w:tblCellMar>
          <w:top w:w="28" w:type="dxa"/>
          <w:left w:w="28" w:type="dxa"/>
          <w:bottom w:w="28" w:type="dxa"/>
          <w:right w:w="28" w:type="dxa"/>
        </w:tblCellMar>
      </w:tblPr>
      <w:tblGrid>
        <w:gridCol w:w="6076"/>
        <w:gridCol w:w="109"/>
        <w:gridCol w:w="675"/>
        <w:gridCol w:w="139"/>
        <w:gridCol w:w="655"/>
      </w:tblGrid>
      <w:tr>
        <w:trPr/>
        <w:tc>
          <w:tcPr>
            <w:tcW w:w="6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60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Company Name</w:t>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Fiscal Year Ended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December 31,</w:t>
            </w:r>
          </w:p>
        </w:tc>
      </w:tr>
      <w:tr>
        <w:trPr/>
        <w:tc>
          <w:tcPr>
            <w:tcW w:w="60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07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Accelsius</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$126</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160</w:t>
            </w:r>
          </w:p>
        </w:tc>
      </w:tr>
      <w:tr>
        <w:trPr/>
        <w:tc>
          <w:tcPr>
            <w:tcW w:w="607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AeroFlexx</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3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07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ESG Fund</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65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07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Refinity</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$539</w:t>
            </w:r>
          </w:p>
        </w:tc>
        <w:tc>
          <w:tcPr>
            <w:tcW w:w="13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*Less than $120</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AeroFlexx</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Loan and Security Agreements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February 9, 2023, AeroFlexx Packaging and Auto Now Acceptance Co., LLC (“Auto Now”) entered into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Loan Agreement (the “Loan Agreement”). Under the terms of the Loan Agreement, Auto Now agreed to lend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Packaging, on a revolving basis, up to $4,000 at one time. AeroFlexx Packaging may borrow, repay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reborrow funds from the date of the Loan Agreement until January 31, 2024 (the “Commitment Period”).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Commitment Period may be renewed up to four times, each for one calendar year period, beginning on January 3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year, and was renewed in 2024. Loans made pursuant to the Loan Agreement will be guaranteed by AeroFlexx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will incur interest at variable interest rates based on the prime rate, as published by The Wall Street Journal, plus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5.0% (such rates not to exceed 12% per annum). The loans made pursuant to the Loan Agreement will be made upon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Auto Now’s receipt of executed promissory notes and security instruments satisfactory to Auto Now and upon Auto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Now’s satisfaction that certain collateral securing AeroFlexx Packaging’s indebtedness is sufficient. Upon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Packaging’s request, one or more promissory notes evidencing loans under the Loan Agreement may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converted to term loans, solely at the discretion of Auto Now. Such terms loans will proportionately decrease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availability of funds under the Loan Agreement. The proceeds of the loans will be used to purchase liquid filing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equipment as part of AeroFlexx Packaging’s liquid packaging operations. As of December 31, 2024, approximately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$2,700 was outstanding under the Loan Agreement. Since the date of the Loan Agreement, no principal has been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paid, $500 of interest has been paid, and the largest amount of principal outstanding was $2,800.</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on February 9, 2023, AeroFlexx Packaging and Auto Now entered into a Security Agreement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Security Agreement”) pursuant to which AeroFlexx Packaging granted to Auto Now a security interest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AeroFlexx Packaging’s liquid filling equipment (the “Collateral”). The Security Agreement secures (i) 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indebtedness owed under the Loan Agreement and future advances and promissory notes made pursuant to the Loan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(ii) all expenditures by AeroFlexx Packaging incurred for taxes, insurance and repairs to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maintenance for the Collateral and (iii) all liabilities of AeroFlexx Packaging to Auto Now presently existing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incurred in the future, whether they are matured or unmatured, direct or contingent, and any renewals, extensions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substitutions of those liabilities.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20, 2025, Auto Now agreed to deem as repaid in full and otherwise terminated all loans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obligations of AeroFlexx Packaging to Auto Now under the Loan Agreement and any loan documentation executed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Loan Agreement in exchange for the issuance to Glockner Family Venture Fund, LP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578,294 shares of Series C Preferred Stock on March 24, 2025.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James Donnally, a member of the Board, also serves as a director of Auto Now Acceptance Company,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parent company of Auto Now.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77</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Accelsius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Convertible Notes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August 18, 2022, pursuant to a note purchase agreement (the “Series I Note Purchase Agreement”), by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among Accelsius, the ESG Fund and the other parties thereto, Accelsius issued a convertible promissory note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ESG Fund in an aggregate principal amount of $4,000 (the “Accelsius Convertible Notes”). The Accelsius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Convertible Notes accrue interest at a rate of 8% per year and are convertible into equity securities of Accelsius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issued in a bona fide equity offering for investment purposes at a conversion price equal to the lesser of 80%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 unit price paid by the investors purchasing such equity in the such offering or (b) the quotient of $200,000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divided by the aggregate number of outstanding Class A Units and Accelsius Incentive Units as of immediately prior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the initial closing of such equity securities. The Accelsius Convertible Notes mature on the earlier of August 18,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2025 or the date on which a change of control transaction (as defined in the Accelsius Convertible Notes)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consummated. The total amount of interest accrued and due to the ESG Fund in the fiscal year ended December 31,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2023 was approximately $500. As of December 31, 2024, the total amount of interest accrued and due to the ESG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Fund in 2024 was $0.</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June 2, 2023, the Series I Note Purchase Agreement was amended and restated to permit Accelsius to issue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sell additional Accelsius Convertible Notes to such persons or entities (including to the ESG Fund if the ESG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 desires to acquire additional Accelsius Convertible Notes) as determined by Accelsius, until the earlier of (i)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time as the aggregate amount of principal indebtedness evidenced by all of the Accelsius Convertible Notes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issued and sold pursuant to the note purchase agreement equals a total of $6,000 or (ii) July 31, 2023. In March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2024, the Accelsius Convertible Notes were converted into 693,480 Accelsius Series A units at a conversion price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$9.74 per unit. Since the date of the Accelsius Convertible Notes, the largest aggregate amount of principal amount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outstanding was approximately $6,000.</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Class A Series 2 Units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February 1, 2023, the ESG Fund purchased 23,712 Class A Series 2 Units of Accelsius for aggregate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proceeds of approximately $100.</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Other Related Party Transactions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Investor Rights Agreement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terms of the Business Combination Agreement, at the Closing, Innventure and Founding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Investors entered into the Investor Rights Agreement. See the section entitled “</w:t>
      </w:r>
      <w:r>
        <w:rPr>
          <w:rFonts w:ascii="Times New Roman;sans-serif" w:hAnsi="Times New Roman;sans-serif"/>
          <w:b w:val="false"/>
          <w:i/>
          <w:sz w:val="20"/>
        </w:rPr>
        <w:t>Management—Director Nominations</w:t>
      </w:r>
    </w:p>
    <w:p>
      <w:pPr>
        <w:pStyle w:val="TextBody"/>
        <w:bidi w:val="0"/>
        <w:spacing w:lineRule="atLeast" w:line="200" w:before="0" w:after="0"/>
        <w:jc w:val="left"/>
        <w:rPr/>
      </w:pPr>
      <w:r>
        <w:rPr/>
        <w:t>—</w:t>
      </w:r>
      <w:r>
        <w:rPr>
          <w:rFonts w:ascii="Times New Roman;sans-serif" w:hAnsi="Times New Roman;sans-serif"/>
          <w:b w:val="false"/>
          <w:i/>
          <w:sz w:val="20"/>
        </w:rPr>
        <w:t>Agreements to Nominate Certain Directors</w:t>
      </w:r>
      <w:r>
        <w:rPr>
          <w:caps w:val="false"/>
          <w:smallCaps w:val="false"/>
        </w:rPr>
        <w:t xml:space="preserve">” </w:t>
      </w:r>
      <w:r>
        <w:rPr>
          <w:rFonts w:ascii="Times New Roman;sans-serif" w:hAnsi="Times New Roman;sans-serif"/>
          <w:b w:val="false"/>
          <w:i w:val="false"/>
          <w:caps w:val="false"/>
          <w:smallCaps w:val="false"/>
          <w:sz w:val="20"/>
        </w:rPr>
        <w:t xml:space="preserve">for more information.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Lock-Up Agreements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entry into the Business Combination Agreement, certain members of Innventure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“MSA Lock-Up Parties”) entered into a Member Support Agreement with Learn CW, Innventure, and Holdco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“Member Support Agreement”) pursuant to which the MSA Lock-Up Parties agreed to, among other things,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a 180-day lock-up period following the Closing with respect to any shares of Common Stock received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consideration in the Business Combination.  On April 1, 2025, the restrictions pursuant to the lock-up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Member Support Agreement lapsed with respect to the shares of Common Stock held by the MSA Lock-Up Parties.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Innventure’s A&amp;R Certificate of Incorporation, the holders of shares of Common Stock issued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consideration (including any Earnout Shares, as defined in the Business Combination Agreement) to former 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membership interests, warrants or other equity interests of Innventure LLC were prohibited from transferring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shares of Common Stock until the end of the period beginning on the date of the Closing and ending on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date of the opening of the first trading window at least 180 days after the Closing.  On April 1, 2025, the restrictions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lock-up under the A&amp;R Certificate of Incorporation lapsed with respect to the shares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Stock held by the former holders of membership interests, warrants, or other equity interests of Innventure LLC.</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entry into the Business Combination Agreement, certain insiders of Innventure entered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into lock-up agreements, pursuant to which such persons have agreed to restrictions on the transfer of their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subject to certain exceptions, for a period ending upon the earlier of (A) the expiration of one year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after the Closing and (B) subsequent to the Closing, (i) if the closing price of Common Stock equals or exceeds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$12.00 per share (as adjusted for share subdivisions, share capitalizations, reorganizations, recapitalizations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like) for any 20 trading days within any 30-trading day period commencing at least 150 days after the Closing or (ii)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date which Innventure completes a merger, liquidation, stock exchange, reorganization or other similar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transaction after the Closing that results in all of the public stockholders of Innventure having the right to exchange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their shares of Common Stock for cash securities or other property.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Learn CW’s initial public offering, Learn CW entered into a Letter Agreement (the “2021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Letter Agreement”), dated October 7, 2021, among Learn CW and its officers, directors, director nominees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CWAM LC Sponsor LLC, Learn CW’s former Sponsor (the “Sponsor”), pursuant to which the Sponsor and certain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Insiders (as defined therein) agreed not to transfer certain Class B ordinary shares of Learn CW, par value $0.0001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 share (the “Founder Shares”), outstanding prior to the consummation of Learn CW’s initial public offering until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earlier of (A) one year after the completion of the Business Combination and (B) the date following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completion of the Business Combination on which Learn CW completes a liquidation, merger, share exchange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similar transaction that results in all of Learn CW’s shareholders having the right to exchange their Learn CW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Class A ordinary shares, par value $0.0001 per share (the “Ordinary Shares”), for cash, securities or other property.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Founder Shares and the Ordinary Shares were each converted into shares of Common Stock at the Closing.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terms of the 2021 Letter Agreement, and notwithstanding the foregoing, if, subsequent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Closing, the closing price of the Common Stock equals or exceeds $12.00 per share (as adjusted for share sub-</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divisions, share capitalizations, share consolidations, reorganizations, recapitalizations and the like) for any 20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trading days within any 30-trading day period commencing at least 150 days after the Business Combination,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held by the parties to the 2021 Letter Agreement or their permitted transferees will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released from lock-up.</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Employee Family Relationship</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Mr. Colin Scott (the son of Dr. John Scott, our Chief Strategy Officer) is an employee of Innventure and serves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the Accelsius board of directors. Mr. Colin Scott earned $325 and $216 for the years ended December 31, 2024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2023, respectively.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Aircraft Time Sharing Agreements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May 6, 2024, Innventure LLC entered into aircraft time sharing agreements with entities affiliated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Michael Otworth and John Scott, each of whom owns a partial interest in a private airplane, whereby they, as partial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owners of the plane, would be reimbursed for its use by Innventure LLC and its employees and directors.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reimbursements are only to be granted for Innventure LLC business use. The aircraft time sharing agreements each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an initial term of one year and automatically renew for one month terms until terminated by either party. Each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may be terminated by either party with 30 days’ prior written notice. In 2024, Innventure LLC made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reimbursements to each of Mr. Otworth and Dr. Scott in the amounts of $142 and $122, respectively. Mr. Otworth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was the Executive Chairman of Innventure LLC and is now Innventure’s Executive Chairman. Dr. Scott was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Chief Strategy Officer of Innventure LLC and is now Innventure’s Chief Strategy Officer.</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Bridge Financing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August 20, 2024, pursuant to an unsecured promissory note (the “Glockner Bridge Note”), Innventure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borrowed $10,000 from Glockner Family Venture Fund, LP (the “Glockner Lender”), a Florida limited partnership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affiliated with Glockner Enterprises, as bridge financing until the Closing of the Transactions. The outstanding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principal amount and loan fee were due upon the later of October 15, 2024 or the first business day following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Closing. The Glockner Bridge Note carries a loan fee of $1,000 and does not bear interest except during an event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default. Pursuant to the Glockner Bridge Note, advances under the note shall be made in multiple installments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follows: (i) $3,000 on August 20, 2024 (and was received on August 20, 2024), (ii) $3,000 on August 27, 2024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was received on August 27, 2024) and (iii) $4,000 on September 3, 2024 (and was received on September 3, 2024).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79</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Amounts that are borrowed and repaid may not be re-borrowed. Glockner Enterprises is affiliated with persons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entities that collectively own greater than 10% of Innventure’s Class B-1 preferred units. James Donnally was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 of Innventure LLC and is now a director of Innventure, is the Managing Member of Bellringer Consulting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Group, LLC, the General Partner of the Glockner Lender, is an equity holder of the Glockner Lender, and previously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served as the Vice President and Chief Financial Officer of Glockner Enterprises from 1996 to 2023.  Mr. Donnally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currently has no authority over the Glockner Lender’s decision-making with respect to equity or debt investments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August 22, 2024, pursuant to an unsecured promissory note (the “Scott Bridge Note”), Innventure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borrowed $2,000 from Dr. John Scott, Innventure’s Chief Strategy Officer. Interest will accrue on the Scott Bridge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Note at a rate of eleven and half percent (11.5%) per annum plus, in the case of an event of default, an additional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two percent (2%) per annum, amounts will be advanced under the Scott Bridge Note upon written request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otherwise, the Scott Bridge Note has terms identical to the Glockner Bridge Note.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1, 2024, the Company and the Glockner Lender amended and restated the Glockner Bridge Note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amended, the “A&amp;R Glockner Bridge Note”). The A&amp;R Glockner Bridge Note was issued in the principal amount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$10,000 and such borrowings are due upon the earlier of January 31, 2025 and the first business day following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date on which the Company has sufficient capital to be able to repay all amounts outstanding under such note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otherwise meet its expected working capital needs, as determined by the Company in its reasonable discretion.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after the issuance date of the A&amp;R Glockner Bridge Note, such note will bear interest at 15.99% per annum,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payable in arrears on the first business day of each calendar month, beginning on November 1, 2024. In the event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failure to pay any amount due under the A&amp;R Glockner Bridge Note, such failure will not constitute an event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default unless certain other conditions are met. The Company also agreed to pay the Glockner Lender $1,000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loan fee, which was repaid in connection with entry into the Second A&amp;R Glockner Bridge Note. As described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above, Mr. Donnally serves as the managing member of the Glockner Lender’s general partner, Bellringer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Consulting Group LLC. As of the date hereof, only the $1,000 loan fee has been repaid under the A&amp;R Glockner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Bridge Note.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1, 2024, the Company and Dr. John Scott agreed to amend and restate the Scott Bridge Note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amended, the “A&amp;R Scott Bridge Note”). The A&amp;R Scott Bridge Note was reissued in the principal amount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$1,000 and such borrowings are due at maturity on January 31, 2025. From August 22, 2024 to but excluding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October 1, 2024, interest on the A&amp;R Scott Bridge Note accrued at a rate of 11.5% per annum, and from and after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October 1, 2024, interest on the A&amp;R Scott Bridge Note accrued at a rate of 13.5% per annum. In the event of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failure to pay any amount due under the A&amp;R Scott Bridge Note, such failure will not constitute an event of default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unless certain other conditions are met. The Company also agreed to pay Dr. John Scott, the Company’s Chief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Strategy Officer, $1,000 under the Scott Bridge Note.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20, 2025, the Glockner Lender agreed to deem as repaid in full and otherwise terminated all loans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other obligations of Innventure LLC to the Glockner Lender under the A&amp;R Glockner Bridge Note and any loan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documentation executed in connection with the A&amp;R Glockner Bridge Note in exchange for the issuance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Glockner Lender of 1,392,059 shares of Series C Preferred Stock on March 24, 2025.</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20, 2025, Dr. John Scott agreed to deem as repaid in full and otherwise terminated all loans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obligations of Innventure LLC to Dr. John Scott under the A&amp;R Scott Bridge Note and any loan documentation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executed in connection with the A&amp;R Scott Bridge Note in exchange for (i) Dr. John Scott’s receipt in cash of $195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(ii) the issuance to Dr. John Scott of 226,334 shares of Series C Preferred Stock on March 24, 2025. </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Review, Approval or Ratification of Transactions with Related Parties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Audit Committee has the primary responsibility for reviewing and approving or disapproving “related party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transactions,” which are transactions between the Company and related parties in which the aggregate amount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involved exceeds or may be expected to exceed $120 and in which a related party has or will have a direct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indirect material interest. The written charter of the Audit Committee provides that the Audit Committee will review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approve in advance any related party transaction.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80</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Limitation of Liability and Indemnification of Directors and Executive Officers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has entered into indemnification agreements with each of Innventure’s directors and executive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officers, the form of which is attached as an exhibit to the Company’s Annual Report on Form 10-K for the year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ended December 31, 2024. The indemnification agreements require Innventure to indemnify its directors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executive officers to the fullest extent permitted by Delaware law.</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Related Party Transaction Policy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has adopted a formal written policy for the review and approval of transactions with related parties.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Such policy requires, among other things, that: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Audit Committee shall review the material facts of all related party transactions;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 reviewing any related party transaction, the Audit Committee will take into account, among other factors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it deems appropriate, whether the related party transaction is on terms no less favorable to Innventure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than terms generally available in a transaction with an unaffiliated third-party under the same or similar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circumstances and the extent of the related party’s interest in the transaction;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 connection with its review of any related party transaction, Innventure shall provide the Audit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Committee with all material information regarding such related party transaction, the interest of the related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party and any potential disclosure obligations of Innventure in connection with such related party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transaction;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if a related party transaction will be ongoing, the Audit Committee may establish guidelines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Innventure’s management to follow in its ongoing dealings with the related party.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the related party transaction policy provides that the Audit Committee, in connection with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approval of a related party transaction involving a non-employee director or director nominee, should consider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whether such transaction would compromise the director or director nominee’s status as an “independent” or “non-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employee” director, as applicable, under the rules and regulations of the SEC and NASDAQ.</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Director Independence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Board has evaluated and affirmatively determined the independence of each of James O. Donnally, Bruce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Brown, Elizabeth Williams, Daniel J. Hennessy, and Michael Amalfitano: (i) based on each nominee’s completed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questionnaire designed to solicit information about relationships that could have an impact on independence and (ii)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using standards required by the SEC and NASDAQ. In making these determinations, the Board considered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current and prior relationships that each non-employee director has with Innventure and all other facts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circumstances the Board deemed relevant in determining a director nominee’s independence, including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beneficial ownership of our capital stock by each non-employee director.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DESCRIPTION OF SECURITIES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has one class of securities registered under Section 12 of the Exchange Act: its Common Stock.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following description of our capital stock is a summary and is qualified in its entirety by provisions of Delaware law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by reference to the terms of the A&amp;R Certificate of Incorporation and our Bylaws, which are attached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exhibits to Innventure’s most recent Annual Report on Form 10-K filed with the SEC.  We encourage you to read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applicable portions of the Delaware General Corporation Law, as amended (the “DGCL”), and our A&amp;R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Certificate of Incorporation and our Bylaws, as applicable, carefully and in their entirety because they describe your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rights as a holder of shares of Common Stock.</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General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authorized capital stock consists of 250,000,000 shares of Common Stock and 25,000,000 shares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preferred stock, par value $0.0001 per share. Of the 25,000,000 shares of preferred stock, 3,000,000 shares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designated as “Series B Preferred Stock” and 5,000,000 shares are designated as “Series C Preferred Stock.”</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share of Common Stock shall entitle the record holder to one (1) vote per share on all matters submitted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vote of stockholders. The holders of shares of Common Stock shall not have cumulative voting rights. Upon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Company’s liquidation, dissolution or winding up and after payment in full of all amounts required to be paid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creditors or any other series of preferred stock having liquidation preferences, if any, the holders of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will be entitled to receive pro rata the Company’s remaining assets available for distribution. Holders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do not have preemptive, subscription, redemption or conversion rights. Common Stock will not be subject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 calls or assessment by the Company. There will be no redemption or sinking fund provisions applicable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Common Stock. All shares of Common Stock currently outstanding are fully paid and non-assessable.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rights, powers, preferences and privileges of holders of Common Stock will be subject to those of the holders of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series of the Company’s preferred stock that the Company may authorize and issue in the future, the Series B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Preferred Stock and the Series C Preferred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When a quorum is present at any meeting of stockholders, any matter other than the election of directors to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voted upon by the stockholders at such meeting will be decided by the affirmative vote of the holders of a majority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votes cast (excluding abstentions and broker non-votes) on such matter, unless a different or minimum vote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required by law. At all meetings of stockholders for the election of directors at which a quorum is present, a plurality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the votes cast will be sufficient to elect such directors.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As of April 11, 2025, there were approximately 47,106,300 shares of Common Stock outstanding.</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Preferred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After the designation of the Series B Preferred Stock and the Series C Preferred Stock, 17,000,000 authorized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preferred stock remain available for the creation and issuance of one or more additional series of preferred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by the Board. Unless required by law or by applicable stock exchange rule, the remaining authorized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preferred stock will be available for issuance without further action by you. The Board is authorized to fix from time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time before issuance the number of preferred shares to be included in any such series and the designation, powers,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preferences and relative participating, optional or other rights, if any, and the qualifications, limitations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restrictions thereof. The authority of the Board with respect to each such series will include, without limiting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generality of the foregoing, the determination of any or all of the following: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number of shares of any series and the designation to distinguish the shares of such series from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shares of all other series;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voting powers, if any, and whether such voting powers are full or limited in such series;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redemption provisions, if any, applicable to such series, including the redemption price or prices to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paid;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82</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whether dividends, if any, will be cumulative or noncumulative, the dividend rate of such series, and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dates and preferences of dividends on such series;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rights of such series upon the voluntary or involuntary dissolution of, or upon any distribution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assets of, the Company;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provisions, if any, pursuant to which the shares of such series are convertible into, or exchangeable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of any other class or classes or of any other series of the same or any other class or classes of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or any other security, of the Company or any other corporation or other entity, and the rates or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determinants of conversion or exchange applicable thereto;</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right, if any, to subscribe for or to purchase any securities of the Company or any other corporation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other entity;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provisions, if any, of a sinking fund applicable to such series;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any other relative, participating, optional, or other special powers, preferences or rights and qualifications,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limitations, or restrictions thereof;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all as may be determined from time to time by the Board and stated or expressed in the resolution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resolutions providing for the issuance of such preferred stock (collectively, a “Preferred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Designation”).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could issue a series of preferred stock that could, depending on the terms of the series, impede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discourage an acquisition attempt or other transaction that some, or a majority, of the holders of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might believe to be in their best interests or in which the holders of Common Stock might receive a premium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their Common Stock over its market price. Additionally, the issuance of preferred stock may adversely affect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rights of holders of Common Stock by restricting dividends on Common Stock, diluting the voting power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or subordinating the liquidation rights of Common Stock. As a result of these or other factors,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issuance of preferred stock could have an adverse impact on the market price of Common Stock.</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Dividends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DGCL permits a corporation to declare and pay dividends out of “surplus” or, if there is no “surplus,” out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its net profits for the fiscal year in which the dividend is declared and/or the preceding fiscal year. “Surplus”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defined as the excess of the net assets of the corporation over the amount determined to be the capital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corporation by the Board. The capital of the corporation is typically calculated to be (and cannot be less than)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aggregate par value of all issued shares of capital stock. Net assets equals the fair value of the total assets minus total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liabilities. The DGCL also provides that dividends may not be paid out of net profits if, after the payment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dividend, capital is less than the capital represented by the outstanding stock of all classes having a preference upon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distribution of assets.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applicable law and the rights, if any, of the holders of any outstanding series of preferred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the Series B Preferred Stock and the Series C Preferred Stock) or any class or series of stock having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preference senior to or the right to participate with the Common Stock with respect to the payment of dividends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distributions of cash, stock or property), such holders of Common Stock shall be entitled to the payment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dividends (and other distributions of cash, stock or property) ratably in proportion to the number of shares held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such stockholder when, as and if declared by the Board in its discretion from time to time in accordance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applicable law.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has no current plans to pay dividends on the Common Stock. Any decision to declare and pay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dividends in the future will be made at the sole discretion of the Board and will depend on, among other things,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results of operations, cash requirements, financial condition, contractual restrictions and other factors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83</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the Board may deem relevant. Because Innventure is a holding company with no direct operations, Innventure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will only be able to pay dividends from funds it receive from its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Annual Stockholder Meetings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Bylaws will provide that annual stockholder meetings will be held at such date, time and place, if any,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determined by the Board. The Board may also determine that a meeting of stockholders be held by means of remote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communication as authorized by and in accordance with the DGCL.</w:t>
      </w:r>
    </w:p>
    <w:p>
      <w:pPr>
        <w:pStyle w:val="TextBody"/>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Anti-Takeover</w:t>
      </w:r>
      <w:r>
        <w:rPr>
          <w:caps w:val="false"/>
          <w:smallCaps w:val="false"/>
        </w:rPr>
        <w:t xml:space="preserve"> </w:t>
      </w:r>
      <w:r>
        <w:rPr>
          <w:rFonts w:ascii="Times New Roman;sans-serif" w:hAnsi="Times New Roman;sans-serif"/>
          <w:b/>
          <w:i w:val="false"/>
          <w:caps w:val="false"/>
          <w:smallCaps w:val="false"/>
          <w:sz w:val="20"/>
        </w:rPr>
        <w:t xml:space="preserve">Effects of Innventure’s A&amp;R Certificate of Incorporation and Bylaws and Certain Provisions </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of Delaware Law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A&amp;R Certificate of Incorporation and Bylaws contain and the DGCL contains provisions, which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summarized in the following paragraphs, that are intended to enhance the likelihood of continuity and stability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composition of the Board. These provisions are intended to avoid costly takeover battles, reduce Innventure’s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vulnerability to a hostile change of control and enhance the ability of the Board to maximize stockholder value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connection with any unsolicited offer to acquire Innventure. However, these provisions may have an anti-takeover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 and may delay, deter or prevent a merger or acquisition of Innventure by means of a tender offer, a proxy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contest or other takeover attempt that a stockholder might consider in its best interest, including those attempts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might result in a premium over the prevailing market price for the shares of Common Stock held by stockholders.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Authorized but Unissued Capital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Delaware law does not require stockholder approval for any issuance of authorized shares. However, the listing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requirements of NASDAQ, which would apply if and so long as Common Stock remains listed on NASDAQ,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require stockholder approval of certain issuances equal to or exceeding 20% of the then outstanding voting power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then outstanding number of shares of common stock. Additional shares that may be used in the future may be issued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a variety of corporate purposes, including future public offerings, to raise additional capital or to facilitate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acquisitions.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Board may generally issue preferred shares on terms calculated to discourage, delay or prevent a change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control of Innventure or the removal of Innventure’s management. Moreover, Innventure’s authorized but unissued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preferred stock will be available for future issuances without stockholder approval and could be utilized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variety of corporate purposes, including future offerings to raise additional capital, to facilitate acquisitions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employee benefit plans.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One of the effects of the existence of unissued and unreserved Common Stock or preferred stock may be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enable the Board to issue shares to persons friendly to current management, which issuance could render more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difficult or discourage an attempt to obtain control of Innventure by means of a merger, tender offer, proxy contest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otherwise, and thereby protect the continuity of Innventure’s management and possibly deprive Innventure’s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stockholders of opportunities to sell their shares of Common Stock at prices higher than prevailing market prices.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Classified Board of Directors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Innventure’s directors, other than those who may be elected by the holders of any future series of preferred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will be classified with respect to the time for which they severally hold office into three classes, as nearly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equal in number as possible, designated Class I, Class II, and Class III. At any meeting of stockholders at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directors are to be elected, the number of directors elected may not exceed the greatest number of directors then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office in any class of directors. The directors first elected to Class I will hold office for a term expiring at the annual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meeting of stockholders to be held in 2025; the directors first elected to Class II will hold office for a term expiring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the annual meeting of stockholders to be held in 2026; and the directors first elected to Class III will hold office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a term expiring at the annual meeting of stockholders to be held in 2027, with the members of each class to hold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office until their successors are elected and qualified.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each succeeding annual meeting of the stockholders of Innventure, the successors to the class of directors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whose term expires at that meeting will be elected by plurality vote of all votes cast at such meeting to hold office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84</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a term expiring at the annual meeting of stockholders held in the third year following the year of their election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until their successors are elected and qualified. Subject to the rights, if any, of the holders of any future series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preferred stock to elect additional directors under circumstances specified in a Preferred Stock Designation, directors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may be elected by the stockholders only at an annual meeting of stockholders.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Removal of Directors; Vacancies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the rights of the holders of any series of preferred stock then outstanding, for as long as this A&amp;R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Certificate of Incorporation provides for a classified board of directors, any director may otherwise be removed only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cause by an affirmative vote of at least two-thirds of the total voting power of all the outstanding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stock of Innventure entitled to vote generally in the election of directors, voting together as a single class, at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meeting duly called for that purpose. Vacancies on the Board will be able to be filled only by resolution of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majority of the directors then in office, although less than a quorum, or by a sole remaining director.</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Special Stockholder Meetings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the special rights of the holders of one or more series of preferred stock, special meetings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of Innventure may be called, for any purpose or purposes, at any time only by or at the direction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Board, the chairperson of the Board, the CEO, or President.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Requirements for Advance Notification of Director Nominations and Stockholder Proposals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Bylaws will establish advance notice procedures with respect to stockholder proposals and the nomination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candidates for election as directors, other than nominations made by or at the direction of the Board or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committee of the Board. In order for any matter to be properly brought before a meeting, a stockholder will have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comply with advance notice requirements and provide Innventure with certain information. Generally, to be timely,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stockholder’s notice relating to any nomination or other business to be brought before an annual meeting must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delivered to the Secretary at Innventure’s principal executive offices not less than 90 days nor more than 120 days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prior to the one-year anniversary of the immediately preceding annual meeting of stockholders. The Bylaws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also specify requirements as to the form and content of a stockholder’s notice.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notice provisions may defer, delay or discourage a potential acquirer from conducting a solicitation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proxies to elect the acquirer’s own slate of directors or otherwise attempting to influence or obtain control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Stockholder Action by Written Consent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action required or permitted to be taken by the stockholders may be taken only at a duly called annual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special meeting of stockholders and may not be taken by consent of the stockholders in lieu of a meeting. However,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action required or permitted to be taken by the holders of any series of preferred stock (including the Series B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Preferred Stock and Series C Preferred Stock), voting separately as a series or separately as a class with one or more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such series, may be taken without a meeting to the extent expressly provided by the applicable Preferred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Designation.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Dissenters’ Rights of Appraisal and Payment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the DGCL, with certain exceptions, Innventure’s stockholders will have appraisal rights in connection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a merger or consolidation of Innventure. Pursuant to the DGCL, stockholders who properly request and perfect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appraisal rights in connection with such merger or consolidation will have the right to receive payment of the fair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value of their shares as determined by the Court of Chancery (the “Chancery Court”) of the State of Delaware.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Stockholders’ Derivative Actions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the DGCL, any of Innventure’s stockholders may bring an action in Innventure’s name to procure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judgment in Innventure’s favor, also known as a derivative action, provided that the stockholder bringing the action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 a holder of Innventure’s shares at the time of the transaction to which the action relates or such stockholder’s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stock thereafter devolved by operation of law.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85</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Amendment of the A&amp;R Certificate of Incorporation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A&amp;R Certificate of Incorporation provides that, in addition to any other vote that may be required by law,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applicable stock exchange rule or the terms of any series of preferred stock, the affirmative vote of at least two-</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thirds of the outstanding shares entitled to vote generally in the election of directors will be required to amend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repeal any provision thereof. The A&amp;R Certificate of Incorporation also provides that, notwithstanding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foregoing, the affirmative vote of at least a majority of the then outstanding shares entitled to vote generally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election of directors will be required to amend or repeal the provisions thereof relating to Innventure’s name,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registered address or agent, or purpose.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Amendment of the Bylaws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Bylaws provide that the Board is empowered to adopt, amend or repeal the bylaws, and further provide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stockholders also have the power to adopt, amend or repeal the bylaws, provided that such action by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will require the affirmative vote of at least two-thirds of the voting power of the outstanding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 entitled to vote generally in the election of directors.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Exclusive Forum Selection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A&amp;R Certificate of Incorporation provides that, unless Innventure consents in writing to the selection of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alternative forum, (a) the Chancery Court will, to the fullest extent permitted by law, be the sole and exclusive forum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(i) any derivative action, suit or proceeding brought on behalf of Innventure, (ii) any action, suit or proceeding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asserting a claim of breach of a fiduciary duty owed by any director, officer or stockholder of Innventure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or to Innventure’s stockholders, (iii) any action, suit or proceeding arising pursuant to any provision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DGCL or the Bylaws or the A&amp;R Certificate of Incorporation or (iv) any action, suit or proceeding asserting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claim against Innventure governed by the internal affairs doctrine; and (b) subject to the preceding provisions,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federal district courts of the United States will be the exclusive forum for the resolution of any complaint asserting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cause of action arising under the Securities Act. If any action the subject matter of which is within the scope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clause (a) of the immediately preceding sentence is filed in a court other than the Chancery Court (a “A&amp;R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Certificate of Incorporation Foreign Action”) in the name of any stockholder, such stockholder will be deemed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consented to (x) the personal jurisdiction of the state and federal courts in the State of Delaware in connection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any action brought in any such court to enforce the provisions of clause (a) above and (y) having service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process made upon such stockholder in any such action by service upon such stockholder’s counsel in the A&amp;R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Certificate of Incorporation Foreign Action as agent for such stockholder. Any person purchasing or otherwise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acquiring any interest in any security of Innventure will be deemed to have notice of and consented to the foregoing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exclusive forum provisions. Notwithstanding the foregoing, such provisions will not apply to suits brought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enforce any liability or duty created by the Securities Act or Exchange Act, or any other claim for which the federal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courts of the United States have exclusive jurisdiction.</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Limitations on Liability and Indemnification of Officers and Directors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A&amp;R Certificate of Incorporation contains provisions that limit the liability of Innventure’s directors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officers for monetary damages to the fullest extent permitted by Delaware law. Consequently, Innventure’s directors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officers will not be personally liable to us or our stockholders for monetary damages for any breach of fiduciary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duties as directors or officers, provided that our certificate of incorporation will not limit the liability of:</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 director or officer for any breach of their duty of loyalty to our company or our stockholder;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 director or officer for any act or omission not in good faith or that involves intentional misconduct or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knowing violation of law;</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 director for unlawful payments of dividends or unlawful stock repurchases, or redemptions as provided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Section 174 of the DGCL;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 director or officer for any transaction from which they derived an improper personal benefit; or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an officer in any action by or in the right of Innventure.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86</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Bylaws provide that we will indemnify, to the fullest extent permitted by law, any person who is or was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party or is threatened to be made a party to any action, suit or proceeding, by reason of the fact that he or she is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was one of our directors or officers or is or was serving at our request as a director or officer of another corporation,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partnership, joint venture, trust or other enterprise. Our Bylaws also provide that we must advance expenses incurred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 or on behalf of a director or officer in advance of the final disposition of any action or proceeding, subject to very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limited exceptions.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Insofar as indemnification for liabilities arising under the Securities Act may be permitted to directors, officers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persons controlling Innventure pursuant to the foregoing provisions, we have been informed that, in the opinion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 SEC, such indemnification is against public policy as expressed in the Securities Act and is therefore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unenforceable.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limitation of liability, advancement and indemnification provisions in the A&amp;R Certificate of Incorporation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the Bylaws may discourage stockholders from bringing a lawsuit against directors or officers for breach of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fiduciary duty. These provisions also may have the effect of reducing the likelihood of derivative litigation against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directors and officers, even though such an action, if successful, might otherwise benefit Innventure and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In addition, your investment may be adversely affected to the extent Innventure pays the costs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settlement and damage awards against directors and officers pursuant to these indemnification provisions.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DESCRIPTION OF INNVENTURE WARRANTS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The Company assumed the Warrant Agreement and the outstanding Learn CW Warrants, and, as a result, such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warrants were, pursuant to their terms, converted into Innventure Warrants.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Each whole Innventure Warrant entitles the registered holder to purchase one share of Common Stock at a price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of $11.50 per share, subject to adjustment as discussed below, except as discussed in the immediately following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paragraph. Pursuant to the Warrant Agreement, an Innventure Warrant holder may exercise its Innventure Warrants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only for a whole number of shares of Common Stock. This means only a whole Innventure Warrant may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exercised at a given time by an Innventure Warrant holder. The Innventure Warrants will expire on October 2, 2029,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at 5:00 p.m., New York City time, or earlier upon redemption or liquidation.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We will not be obligated to deliver any Common Stock pursuant to the exercise of an Innventure Warrant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will have no obligation to settle such Innventure Warrant exercise unless a registration statement under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Securities Act with respect to the shares of Common Stock underlying the Innventure Warrants is then effective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a prospectus relating thereto is current, subject to our satisfying our obligations with respect to registration, or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valid exemption from registration is available. In the event that such conditions are not satisfied with respect to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Innventure Warrant, the holder of such Innventure Warrant will not be entitled to exercise such Innventure Warrant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and such Innventure Warrant may have no value and expire worthless. In no event will we be required to net cash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settle any Innventure Warrant.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No fractional shares will be issued upon exercise. If, upon exercise, a holder would be entitled to receive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fractional interest in a share, we will round down to the nearest whole number of the number of shares to be issued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to the holder.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The Innventure Warrant holders do not have the rights or privileges of holders of shares of Common Stock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any voting rights until they exercise their Innventure Warrants and receive shares of Common Stock. After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issuance of shares of Common Stock upon exercise of the Innventure Warrants, each holder will be entitled to one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vote for each share held of record on all matters to be voted on by the Company’s stockholders.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shd w:fill="FFFFFF" w:val="clear"/>
        </w:rPr>
      </w:pPr>
      <w:r>
        <w:rPr>
          <w:rFonts w:ascii="Times New Roman;sans-serif" w:hAnsi="Times New Roman;sans-serif"/>
          <w:b/>
          <w:i w:val="false"/>
          <w:caps w:val="false"/>
          <w:smallCaps w:val="false"/>
          <w:strike w:val="false"/>
          <w:dstrike w:val="false"/>
          <w:sz w:val="20"/>
          <w:u w:val="none"/>
          <w:effect w:val="none"/>
          <w:shd w:fill="FFFFFF" w:val="clear"/>
        </w:rPr>
        <w:t>Redemption of Innventure Warrants When the Price per Share Equals or Exceeds $18.00</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Once the Innventure Warrants become exercisable, we may redeem the outstanding Innventure Warrants: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shd w:fill="FFFFFF" w:val="clear"/>
        </w:rPr>
        <w:t>in whole and not in part;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shd w:fill="FFFFFF" w:val="clear"/>
        </w:rPr>
        <w:t>at a price of $0.01 per warrant;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shd w:fill="FFFFFF" w:val="clear"/>
        </w:rPr>
        <w:t>upon a minimum of 30 days’ prior written notice of redemption to each warrant holder;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shd w:fill="FFFFFF" w:val="clear"/>
        </w:rPr>
        <w:t xml:space="preserve">if, and only if, the closing price of the Common Stock equals or exceeds $18.00 per share (as may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adjusted for any required anti-dilution adjustments) for any twenty (20) trading days within a thirty (30)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trading day period ending three trading days before we send the notice of redemption to the warrant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holders.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The $18.00 (as adjusted) redemption criterion discussed above was established to prevent a redemption call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unless there is at the time of the call a significant premium to the warrant exercise price. If the foregoing conditions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are satisfied and the Company issues a notice of redemption of the Innventure Warrants, each warrant holder will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entitled to exercise his, her or its Innventure Warrant prior to the scheduled redemption date. However, the price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the shares of Common Stock may fall below the $18.00 redemption trigger price (as adjusted for any required anti-</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dilution adjustments) as well as the $11.50 (for whole shares) exercise price after the redemption notice is issued.</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shd w:fill="FFFFFF" w:val="clear"/>
        </w:rPr>
      </w:pPr>
      <w:r>
        <w:rPr>
          <w:rFonts w:ascii="Times New Roman;sans-serif" w:hAnsi="Times New Roman;sans-serif"/>
          <w:b/>
          <w:i w:val="false"/>
          <w:caps w:val="false"/>
          <w:smallCaps w:val="false"/>
          <w:strike w:val="false"/>
          <w:dstrike w:val="false"/>
          <w:sz w:val="20"/>
          <w:u w:val="none"/>
          <w:effect w:val="none"/>
          <w:shd w:fill="FFFFFF" w:val="clear"/>
        </w:rPr>
        <w:t>Redemption of Innventure Warrants When the Price per Share Equals or Exceeds $10.00</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Once the Innventure Warrants become exercisable, we may redeem the outstanding Innventure Warrants: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shd w:fill="FFFFFF" w:val="clear"/>
        </w:rPr>
        <w:t>in whole and not in part;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88</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shd w:fill="FFFFFF" w:val="clear"/>
        </w:rPr>
        <w:t xml:space="preserve">at a price of $0.10 per warrant upon a minimum of 30 days’ prior written notice of redemption provided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that holders will be able to exercise their Innventure Warrants on a cashless basis prior to redemption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receive that number of shares determined by reference to the table below, based on the redemption date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the “Fair Market Value” of the Common Stock (as defined below) except as otherwise described below;</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shd w:fill="FFFFFF" w:val="clear"/>
        </w:rPr>
        <w:t>upon a minimum of 30 days’ prior written notice of redemption to each warrant holder;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shd w:fill="FFFFFF" w:val="clear"/>
        </w:rPr>
        <w:t xml:space="preserve">if, and only if, the closing price of the Common Stock equals or exceeds $10.00 per share (as may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adjusted for any required anti-dilution adjustments) for any 20 trading days within the 30-trading day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period ending three trading days before we send the notice of redemption to the warrant holders.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Beginning on the date the notice of redemption is given until the Innventure Warrants are redeemed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exercised, holders may elect to exercise their Innventure Warrants on a cashless basis. The numbers in the table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below represent the number of shares of Common Stock that an Innventure Warrant holder will receive upon such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cashless exercise in connection with a redemption by us pursuant to this redemption feature, based on the “Fair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Market Value” of the Common Stock on the corresponding redemption date (assuming holders elect to exercise their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Innventure Warrants and such Innventure Warrants are not redeemed for $0.10 per warrant), determined for these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purposes based on volume weighted average price of the Common Stock during the ten (10) trading days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immediately following the date on which the notice of redemption is sent to the holders of Innventure Warrants,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the number of months that the corresponding redemption date precedes the expiration date of the Innventure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Warrants, each as set forth in the table below. We will provide Innventure Warrant holders with the final Fair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Market Value no later than one business day after the 10-trading day period described above ends.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The share prices set forth in the column headings of the table below will be adjusted as of any date on which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number of shares issuable upon exercise of an Innventure Warrant or the exercise price of a warrant is adjusted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set forth in the Warrant Agreement. If the number of shares issuable upon exercise of a warrant is adjusted,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adjusted share prices in the column headings will equal the share prices immediately prior to such adjustment,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multiplied by a fraction, the numerator of which is the number of shares deliverable upon exercise of an Innventure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Warrant immediately prior to such adjustment and the denominator of which is the number of shares deliverable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89</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upon exercise of an Innventure Warrant as so adjusted. The number of shares in the table below shall be adjusted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the same manner and at the same time as the number of shares issuable upon exercise of an Innventure Warrant.</w:t>
      </w:r>
    </w:p>
    <w:tbl>
      <w:tblPr>
        <w:tblW w:w="7996" w:type="dxa"/>
        <w:jc w:val="left"/>
        <w:tblInd w:w="0" w:type="dxa"/>
        <w:tblLayout w:type="fixed"/>
        <w:tblCellMar>
          <w:top w:w="28" w:type="dxa"/>
          <w:left w:w="28" w:type="dxa"/>
          <w:bottom w:w="28" w:type="dxa"/>
          <w:right w:w="28" w:type="dxa"/>
        </w:tblCellMar>
      </w:tblPr>
      <w:tblGrid>
        <w:gridCol w:w="1681"/>
        <w:gridCol w:w="109"/>
        <w:gridCol w:w="646"/>
        <w:gridCol w:w="109"/>
        <w:gridCol w:w="571"/>
        <w:gridCol w:w="109"/>
        <w:gridCol w:w="571"/>
        <w:gridCol w:w="109"/>
        <w:gridCol w:w="571"/>
        <w:gridCol w:w="109"/>
        <w:gridCol w:w="571"/>
        <w:gridCol w:w="109"/>
        <w:gridCol w:w="571"/>
        <w:gridCol w:w="109"/>
        <w:gridCol w:w="571"/>
        <w:gridCol w:w="109"/>
        <w:gridCol w:w="571"/>
        <w:gridCol w:w="109"/>
        <w:gridCol w:w="69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6" w:type="dxa"/>
            <w:gridSpan w:val="1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Fair Market Value of Common Stock (per share)</w:t>
            </w:r>
          </w:p>
        </w:tc>
      </w:tr>
      <w:tr>
        <w:trPr/>
        <w:tc>
          <w:tcPr>
            <w:tcW w:w="16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Redemption Date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(period to expiration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of warrants)</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i w:val="false"/>
                <w:caps w:val="false"/>
                <w:smallCaps w:val="false"/>
                <w:strike w:val="false"/>
                <w:dstrike w:val="false"/>
                <w:sz w:val="16"/>
                <w:u w:val="none"/>
                <w:effect w:val="none"/>
              </w:rPr>
              <w:t>10.00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11.00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12.00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13.00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14.00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15.00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16.00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17.00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i w:val="false"/>
                <w:caps w:val="false"/>
                <w:smallCaps w:val="false"/>
                <w:strike w:val="false"/>
                <w:dstrike w:val="false"/>
                <w:sz w:val="16"/>
                <w:u w:val="none"/>
                <w:effect w:val="none"/>
              </w:rPr>
              <w:t>18.00</w:t>
            </w:r>
          </w:p>
        </w:tc>
      </w:tr>
      <w:tr>
        <w:trPr/>
        <w:tc>
          <w:tcPr>
            <w:tcW w:w="16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60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57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54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51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48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45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42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39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36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33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30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27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24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21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18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15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12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9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6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3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r>
        <w:trPr/>
        <w:tc>
          <w:tcPr>
            <w:tcW w:w="1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0 months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0.361</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This redemption feature is structured to allow for all of the outstanding Innventure Warrants to be redeemed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when the Common Stock is trading at or above $10.00 per share, which may be at a time when the trading price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our Common Stock is below the exercise price of the Innventure Warrants. This redemption feature will provide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Company with the flexibility to redeem the Innventure Warrants without the warrants having to reach the $18.00 per </w:t>
      </w:r>
    </w:p>
    <w:p>
      <w:pPr>
        <w:pStyle w:val="TextBody"/>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shd w:fill="FFFFFF" w:val="clear"/>
        </w:rPr>
        <w:t>share threshold set forth above under “—</w:t>
      </w:r>
      <w:r>
        <w:rPr>
          <w:rFonts w:ascii="Times New Roman;sans-serif" w:hAnsi="Times New Roman;sans-serif"/>
          <w:b w:val="false"/>
          <w:i/>
          <w:strike w:val="false"/>
          <w:dstrike w:val="false"/>
          <w:sz w:val="20"/>
          <w:u w:val="none"/>
          <w:effect w:val="none"/>
          <w:shd w:fill="FFFFFF" w:val="clear"/>
        </w:rPr>
        <w:t xml:space="preserve">Redemption of Innventure Warrants When the Price per Share Equals or </w:t>
      </w:r>
    </w:p>
    <w:p>
      <w:pPr>
        <w:pStyle w:val="TextBody"/>
        <w:bidi w:val="0"/>
        <w:spacing w:lineRule="atLeast" w:line="200" w:before="0" w:after="0"/>
        <w:jc w:val="left"/>
        <w:rPr/>
      </w:pPr>
      <w:r>
        <w:rPr>
          <w:rFonts w:ascii="Times New Roman;sans-serif" w:hAnsi="Times New Roman;sans-serif"/>
          <w:b w:val="false"/>
          <w:i/>
          <w:strike w:val="false"/>
          <w:dstrike w:val="false"/>
          <w:sz w:val="20"/>
          <w:u w:val="none"/>
          <w:effect w:val="none"/>
          <w:shd w:fill="FFFFFF" w:val="clear"/>
        </w:rPr>
        <w:t>Exceeds $18.00</w:t>
      </w:r>
      <w:r>
        <w:rPr>
          <w:rFonts w:ascii="Times New Roman;sans-serif" w:hAnsi="Times New Roman;sans-serif"/>
          <w:b w:val="false"/>
          <w:i w:val="false"/>
          <w:caps w:val="false"/>
          <w:smallCaps w:val="false"/>
          <w:strike w:val="false"/>
          <w:dstrike w:val="false"/>
          <w:sz w:val="20"/>
          <w:u w:val="none"/>
          <w:effect w:val="none"/>
          <w:shd w:fill="FFFFFF" w:val="clear"/>
        </w:rPr>
        <w:t xml:space="preserve">.” Holders choosing to exercise their Innventure Warrants in connection with a redemption pursuant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to this feature will, in effect, receive a number of shares for their warrants based on an option pricing model with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fixed volatility input as of the date of Learn CW’s initial public offering of 23,000,000 units. This redemption right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will provide the Company with an additional mechanism by which to redeem all of the outstanding Innventure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Warrants, and therefore have certainty as to our capital structure as the Innventure Warrants would no longer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outstanding and would have been exercised or redeemed. The Company will be required to pay the applicable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redemption price to warrant holders if the Company chooses to exercise this redemption right and it will allow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Company to quickly proceed with a redemption of the Innventure Warrants if the Company determines it is in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best interest to do so.</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As stated above, the Company will be able to redeem the Innventure Warrants when the shares of Common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Stock are trading at a price starting at $10.00, which is below the exercise price of $11.50, because it will provide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certainty with respect to the Company’s capital structure and cash position while providing warrant holders with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opportunity to exercise their warrants on a cashless basis for the applicable number of shares. If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chooses to redeem the Innventure Warrants when the Common Stock is trading at a price below the exercise price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the Innventure Warrants, this could result in the warrant holders receiving fewer shares than they would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90</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received if they had chosen to wait to exercise their warrants for shares of Common Stock if and when such shares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of Common Stock were trading at a price higher than the exercise price of $11.50.</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SECURITY OWNERSHIP OF CERTAIN BENEFICIAL OWNERS AND MANAGEMENT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sets forth information known to us regarding the beneficial ownership of our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Stock as of April 11, 2025 (except as otherwise set forth below) by: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each person known to us to be the beneficial owner of more than 5% of our Common Stock;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each of our named executive officers and directors;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all of our executive officers and directors as a group.</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Beneficial ownership is determined according to the rules of the SEC, which generally provide that a person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beneficial ownership of a security if he, she or it possesses sole or shared voting or investment power over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security, including options and warrants that are currently exercisable or exercisable within 60 days. Shares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 individual or group has a right to acquire within 60 days pursuant to the exercise or conversion of options,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warrants or other similar convertible or derivative securities are deemed to be outstanding for the purpose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computing the percentage ownership of such individual or group, but are not deemed to be outstanding for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purpose of computing the percentage ownership of any other person shown in the table. Fractional shares have been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rounded to the nearest whole share.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is based on 47,106,300 shares of Common Stock outstanding as of April 11, 2025.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 the beneficial ownership presented below does not include Company Earnout Shares that the holders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LLC’s outstanding equity and profits interests and warrants, other than the Class PCTA Units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Class I Units (such holders, the “Innventure Members”), have the right to receive upon (i) Accelsius having entered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into binding contracts providing for revenue for the Company (as defined in the Business Combination Agreement)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within 7 years following the Closing (the “Vesting Period”) in excess of $15,000 in revenue (“Milestone One”)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(ii) AeroFlexx having received in excess of $15,000 revenue within the Vesting Period (“Milestone Three”).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92</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Unless otherwise indicated by footnote, (i) the Company believes that all persons named in the table below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sole voting and investment power with respect to all shares of Common Stock beneficially owned by them and (ii)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address of each person is c/o Innventure Inc., 6900 Tavistock Lakes Blvd, Suite 400 Orlando, FL 32827.</w:t>
      </w:r>
    </w:p>
    <w:tbl>
      <w:tblPr>
        <w:tblW w:w="8981" w:type="dxa"/>
        <w:jc w:val="left"/>
        <w:tblInd w:w="0" w:type="dxa"/>
        <w:tblLayout w:type="fixed"/>
        <w:tblCellMar>
          <w:top w:w="28" w:type="dxa"/>
          <w:left w:w="28" w:type="dxa"/>
          <w:bottom w:w="28" w:type="dxa"/>
          <w:right w:w="28" w:type="dxa"/>
        </w:tblCellMar>
      </w:tblPr>
      <w:tblGrid>
        <w:gridCol w:w="6511"/>
        <w:gridCol w:w="109"/>
        <w:gridCol w:w="1051"/>
        <w:gridCol w:w="109"/>
        <w:gridCol w:w="1201"/>
      </w:tblGrid>
      <w:tr>
        <w:trPr/>
        <w:tc>
          <w:tcPr>
            <w:tcW w:w="6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65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Name and Address of Beneficial Owner</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Amount and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Nature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Beneficial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Ownership</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Percentage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Outstanding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Shares</w:t>
            </w:r>
          </w:p>
        </w:tc>
      </w:tr>
      <w:tr>
        <w:trPr/>
        <w:tc>
          <w:tcPr>
            <w:tcW w:w="65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strike w:val="false"/>
                <w:dstrike w:val="false"/>
                <w:color w:val="000000"/>
                <w:sz w:val="20"/>
                <w:u w:val="none"/>
                <w:effect w:val="none"/>
              </w:rPr>
            </w:pPr>
            <w:r>
              <w:rPr>
                <w:rFonts w:ascii="Times New Roman;sans-serif" w:hAnsi="Times New Roman;sans-serif"/>
                <w:b/>
                <w:i/>
                <w:strike w:val="false"/>
                <w:dstrike w:val="false"/>
                <w:color w:val="000000"/>
                <w:sz w:val="20"/>
                <w:u w:val="none"/>
                <w:effect w:val="none"/>
              </w:rPr>
              <w:t>Directors and Named Executive Officers: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Roland Austrup</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863,264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1.83%</w:t>
            </w:r>
          </w:p>
        </w:tc>
      </w:tr>
      <w:tr>
        <w:trPr/>
        <w:tc>
          <w:tcPr>
            <w:tcW w:w="65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James O. Donnally</w:t>
            </w:r>
            <w:r>
              <w:rPr>
                <w:rFonts w:ascii="Times New Roman;sans-serif" w:hAnsi="Times New Roman;sans-serif"/>
                <w:b w:val="false"/>
                <w:i w:val="false"/>
                <w:caps w:val="false"/>
                <w:smallCaps w:val="false"/>
                <w:strike w:val="false"/>
                <w:dstrike w:val="false"/>
                <w:sz w:val="13"/>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4,224,536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8.97%</w:t>
            </w:r>
          </w:p>
        </w:tc>
      </w:tr>
      <w:tr>
        <w:trPr/>
        <w:tc>
          <w:tcPr>
            <w:tcW w:w="65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Gregory W. Haskell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752,115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1.60%</w:t>
            </w:r>
          </w:p>
        </w:tc>
      </w:tr>
      <w:tr>
        <w:trPr/>
        <w:tc>
          <w:tcPr>
            <w:tcW w:w="65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Michael Otworth</w:t>
            </w:r>
            <w:r>
              <w:rPr>
                <w:rFonts w:ascii="Times New Roman;sans-serif" w:hAnsi="Times New Roman;sans-serif"/>
                <w:b w:val="false"/>
                <w:i w:val="false"/>
                <w:caps w:val="false"/>
                <w:smallCaps w:val="false"/>
                <w:strike w:val="false"/>
                <w:dstrike w:val="false"/>
                <w:sz w:val="13"/>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2,942,912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6.22%</w:t>
            </w:r>
          </w:p>
        </w:tc>
      </w:tr>
      <w:tr>
        <w:trPr/>
        <w:tc>
          <w:tcPr>
            <w:tcW w:w="65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John Scott</w:t>
            </w:r>
            <w:r>
              <w:rPr>
                <w:rFonts w:ascii="Times New Roman;sans-serif" w:hAnsi="Times New Roman;sans-serif"/>
                <w:b w:val="false"/>
                <w:i w:val="false"/>
                <w:caps w:val="false"/>
                <w:smallCaps w:val="false"/>
                <w:strike w:val="false"/>
                <w:dstrike w:val="false"/>
                <w:sz w:val="13"/>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2,081,653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4.38%</w:t>
            </w:r>
          </w:p>
        </w:tc>
      </w:tr>
      <w:tr>
        <w:trPr/>
        <w:tc>
          <w:tcPr>
            <w:tcW w:w="65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David Yablunosky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5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Suzanne Niemeyer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153,005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5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Bruce Brown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5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Elizabeth Williams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5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Daniel J. Hennessy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1,170,262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2.48%</w:t>
            </w:r>
          </w:p>
        </w:tc>
      </w:tr>
      <w:tr>
        <w:trPr/>
        <w:tc>
          <w:tcPr>
            <w:tcW w:w="65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Michael Amalfitano</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511" w:type="dxa"/>
            <w:tcBorders/>
            <w:shd w:fill="CCEEFF" w:val="clear"/>
            <w:vAlign w:val="center"/>
          </w:tcPr>
          <w:p>
            <w:pPr>
              <w:pStyle w:val="TableContents"/>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All Directors and Executive Officers as a Group (11 Individuals)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12,373,608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25.73%</w:t>
            </w:r>
          </w:p>
        </w:tc>
      </w:tr>
      <w:tr>
        <w:trPr/>
        <w:tc>
          <w:tcPr>
            <w:tcW w:w="6511" w:type="dxa"/>
            <w:tcBorders/>
            <w:shd w:fill="FFFFFF" w:val="clear"/>
            <w:vAlign w:val="center"/>
          </w:tcPr>
          <w:p>
            <w:pPr>
              <w:pStyle w:val="TableContents"/>
              <w:bidi w:val="0"/>
              <w:spacing w:lineRule="atLeast" w:line="200" w:before="0" w:after="0"/>
              <w:jc w:val="left"/>
              <w:rPr>
                <w:rFonts w:ascii="Times New Roman;sans-serif" w:hAnsi="Times New Roman;sans-serif"/>
                <w:b/>
                <w:i/>
                <w:strike w:val="false"/>
                <w:dstrike w:val="false"/>
                <w:color w:val="000000"/>
                <w:sz w:val="20"/>
                <w:u w:val="none"/>
                <w:effect w:val="none"/>
              </w:rPr>
            </w:pPr>
            <w:r>
              <w:rPr>
                <w:rFonts w:ascii="Times New Roman;sans-serif" w:hAnsi="Times New Roman;sans-serif"/>
                <w:b/>
                <w:i/>
                <w:strike w:val="false"/>
                <w:dstrike w:val="false"/>
                <w:color w:val="000000"/>
                <w:sz w:val="20"/>
                <w:u w:val="none"/>
                <w:effect w:val="none"/>
              </w:rPr>
              <w:t>Five Percent Holders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before="0" w:after="283"/>
              <w:jc w:val="left"/>
              <w:rPr>
                <w:sz w:val="4"/>
                <w:szCs w:val="4"/>
              </w:rPr>
            </w:pPr>
            <w:r>
              <w:rPr>
                <w:sz w:val="4"/>
                <w:szCs w:val="4"/>
              </w:rPr>
            </w:r>
          </w:p>
        </w:tc>
      </w:tr>
      <w:tr>
        <w:trPr/>
        <w:tc>
          <w:tcPr>
            <w:tcW w:w="65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WE-INN LLC</w:t>
            </w:r>
            <w:r>
              <w:rPr>
                <w:rFonts w:ascii="Times New Roman;sans-serif" w:hAnsi="Times New Roman;sans-serif"/>
                <w:b w:val="false"/>
                <w:i w:val="false"/>
                <w:caps w:val="false"/>
                <w:smallCaps w:val="false"/>
                <w:strike w:val="false"/>
                <w:dstrike w:val="false"/>
                <w:sz w:val="13"/>
                <w:u w:val="none"/>
                <w:effect w:val="none"/>
              </w:rPr>
              <w:t>(4)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8,697,656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18.46%</w:t>
            </w:r>
          </w:p>
        </w:tc>
      </w:tr>
      <w:tr>
        <w:trPr/>
        <w:tc>
          <w:tcPr>
            <w:tcW w:w="65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Ascent X Innventure TC, A Series of Ascent X Innventure, LP</w:t>
            </w:r>
            <w:r>
              <w:rPr>
                <w:rFonts w:ascii="Times New Roman;sans-serif" w:hAnsi="Times New Roman;sans-serif"/>
                <w:b w:val="false"/>
                <w:i w:val="false"/>
                <w:caps w:val="false"/>
                <w:smallCaps w:val="false"/>
                <w:strike w:val="false"/>
                <w:dstrike w:val="false"/>
                <w:sz w:val="13"/>
                <w:u w:val="none"/>
                <w:effect w:val="none"/>
              </w:rPr>
              <w:t>(5)</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3,541,685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7.48%</w:t>
            </w:r>
          </w:p>
        </w:tc>
      </w:tr>
      <w:tr>
        <w:trPr/>
        <w:tc>
          <w:tcPr>
            <w:tcW w:w="65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CastleKnight Master Fund LP</w:t>
            </w:r>
            <w:r>
              <w:rPr>
                <w:rFonts w:ascii="Times New Roman;sans-serif" w:hAnsi="Times New Roman;sans-serif"/>
                <w:b w:val="false"/>
                <w:i w:val="false"/>
                <w:caps w:val="false"/>
                <w:smallCaps w:val="false"/>
                <w:strike w:val="false"/>
                <w:dstrike w:val="false"/>
                <w:sz w:val="13"/>
                <w:u w:val="none"/>
                <w:effect w:val="none"/>
              </w:rPr>
              <w:t>(6)</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3,953,354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8.39%</w:t>
            </w:r>
          </w:p>
        </w:tc>
      </w:tr>
      <w:tr>
        <w:trPr/>
        <w:tc>
          <w:tcPr>
            <w:tcW w:w="65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Glockner Family Venture Fund, LP</w:t>
            </w:r>
            <w:r>
              <w:rPr>
                <w:rFonts w:ascii="Times New Roman;sans-serif" w:hAnsi="Times New Roman;sans-serif"/>
                <w:b w:val="false"/>
                <w:i w:val="false"/>
                <w:caps w:val="false"/>
                <w:smallCaps w:val="false"/>
                <w:strike w:val="false"/>
                <w:dstrike w:val="false"/>
                <w:sz w:val="13"/>
                <w:u w:val="none"/>
                <w:effect w:val="none"/>
              </w:rPr>
              <w:t>(7)</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4,680,272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9.17%</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*less than 1%</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(1)Consists of (i) 1,500,431 shares of Common Stock held by the James O. Donnally Revocable Trust over which Mr. Donnally has sole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voting and investment power and (ii) 2,724,105 shares of Common Stock that may be deemed to be beneficially owned by Mr. Donnally,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which shares are held by certain trusts, including (a) 141,659 shares held by the Barbara G. Glockner Trust, for the benefit of Joseph C.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Glockner; (b) 141,659 shares held by the Barbara G. Glockner Trust, for the benefit of Michael P. Glockner; (c) 141,659 shares held by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Barbara G. Glockner Trust, for the benefit of Timothy E. Glockner; (d) 747,834 shares held by the Joseph C. Glockner Revocable Trust; (e)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747,834 shares held by Michael P. Glockner Revocable Trust; (f) 747,834 shares held by the Timothy E. Glockner Revocable Trust; (g)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3,964 shares held by the Andrew M. Glockner Revocable Trust; and (h) 51,662 shares held by the Barbara G. Glockner Revocable Trust,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each of which has three trustees, Timothy Glockner, James Donnally, and Theresa Laxton, Mr. Donnally’s spouse, with shared voting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power. Timothy Glockner has a life estate interest in the Barbara G. Glockner Trust fbo Timothy E. Glockner. The beneficiaries of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Barbara G. Glockner Trust fbo Timothy E. Glockner are the issue of Timothy Glockner. The beneficiaries of the Barbara G. Glockner Trust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fbo Joseph C. Glockner are the issue of Joseph C. Glockner. The beneficiaries of the Barbara G. Glockner Trust fbo Michael P. Glockner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are the issue of Michael P. Glockner.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(2)Mr. Otworth holds 2,714,580 shares of Common Stock and 114,161 shares of Series C Preferred Stock.  As of April 11, 2025, if this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Registration Statement were effective, these shares of Series C Preferred Stock would be convertible into 228,322 shares of Common Stock.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Because the conversion price of the Series C Preferred Stock is determined based on the greater of a fixed amount and the 10-trading day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volume-weighted average NASDAQ official closing price of the Common Stock, the number of shares of Common Stock into which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shares are convertible will fluctuate.</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(3)Dr. Scott holds 1,628,985 shares of Common Stock and 226,334 shares of Series C Preferred Stock.  As of April 11, 2025, if this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Registration Statement were effective, these shares of Series C Preferred Stock would be convertible into 452,668 shares of Common Stock.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Because the conversion price of the Series C Preferred Stock is determined based on the greater of a fixed amount and the 10-trading day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volume-weighted average NASDAQ official closing price of the Common Stock, the number of shares of Common Stock into which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shares are convertible will fluctuate.</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(4)Greg Wasson has voting and investment power over the securities held by WE-INN LLC.</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(5)Ascent X Innventure TC, A Series of Ascent X Innventure, LP is a limited partnership (“Ascent”). Ascent holds 3,291,685 shares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Common Stock and 125,000 shares of Series C Preferred Stock.  As of April 11, 2025, if this Registration Statement were effective, these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of Series C Preferred Stock would be convertible into 250,000 shares of Common Stock.  Because the conversion price of the Series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C Preferred Stock is determined based on the greater of a fixed amount and the 10-trading day volume-weighted average NASDAQ official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closing price of the Common Stock, the number of shares of Common Stock into which the shares are convertible will fluctuate.  Voting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and investment power over the shares held by Ascent is exercised by Jonathan Loeffler and Mark Pomeroy Jr. The address for Ascent is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5956 Sherry Lane, 20th Floor, Dallas, Texas 75225.</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93</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(6)Based on information provided by CastleKnight Master Fund LP in a Schedule 13G ﬁled with the SEC on November 15, 2024. Per such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Schedule 13G, CastleKnight Master Fund LP has shared voting power over all of such shares and shared dispositive power of all of such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The principal business address of CastleKnight Master Fund LP is Maples Corporate Services Limited, P.O. Box 309, Ugland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House, Grand Cayman KY1-1104 Cayman Islands.</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(7)The Glockner Family Venture Fund, LP holds 739,566 shares of Common Stock and 1,970,353 shares of Series C Preferred Stock. As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April 11, 2025, if this Registration Statement were effective, these shares of Series C Preferred Stock would be convertible into 3,940,706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of Common Stock. Because the conversion price of the Series C Preferred Stock is determined based on the greater of a fixed amount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and the 10-trading day volume-weighted average NASDAQ official closing price of the Common Stock, the number of shares of Common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Stock into which the shares are convertible will fluctuate.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SELLING STOCKHOLDERS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relates to the resale by the Selling Stockholders or their permitted transferees from time to time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up to 15,965,989 shares of Common Stock, which includes (i) up to 8,480,518 shares of Common Stock that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 issued upon conversion of Series C Preferred Stock, (ii) 85,471 shares of Common Stock issued to Ducera, (iii)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up to 3,000,000 shares of Common Stock that may be issued upon the conversion of Convertible Debentures issued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issuable to Yorkville pursuant to the Securities Purchase Agreement, (iv) up to 4,100,000 shares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that we may issue and sell to Yorkville from time to time pursuant to the SEPA (without exceeding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Exchange Cap) and (v) 300,000 shares of Common Stock that may be issued upon exercise of the 2025 WTI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Warrants.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Selling Stockholders may from time to time offer and sell any or all of our Common Stock set forth below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this prospectus and any accompanying prospectus supplement. When we refer to the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in this prospectus, we mean the persons listed in the table below, and the pledgees, donees,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transferees, assignees, successors, designees and others who later come to hold any of the Selling Stockholders’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in our Common Stock other than through a public sale. Except as otherwise described below and for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ownership of the shares of our Common Stock, the Selling Stockholders have not had any material relationship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us or our predecessors or affiliates within the past three years.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sets forth, as of April 11, 2025, the names of the Selling Stockholders, the aggregate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number of shares of Common Stock beneficially owned, the aggregate number of shares of Common Stock that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Selling Stockholders may offer pursuant to this prospectus and the number of shares of Common Stock beneficially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owned by the Selling Stockholders after the sale of the securities offered hereby. For purposes of the following table,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have assumed that the Selling Stockholders will have sold all of the securities covered by this prospectus upon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completion of the offering. We have based percentage ownership on 47,106,300 shares of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outstanding as of April 11, 2025.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have determined beneficial ownership in accordance with the rules of the SEC. Except as indicated by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footnotes below, we believe, based on the information furnished to us, that the Selling Stockholders have sole voting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investment power with respect to all shares of Common Stock that they beneficially own, subject to applicable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community property laws. Except as otherwise described below, based on the information provided to us by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Selling Stockholders, no Selling Stockholder is a broker-dealer or an affiliate of a broker dealer.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Selling Stockholder information for each additional Selling Stockholder, if any, will be set forth by prospectus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supplement to the extent required prior to the time of any offer or sale of such Selling Stockholder’s shares pursuant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this prospectus. Any prospectus supplement may add, update, substitute, or change the information contained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including the identity of each Selling Stockholder and the number of shares registered on its behalf.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 Selling Stockholder may sell or otherwise transfer all, some or none of such shares in this offering.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95</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Please see the section entitled “</w:t>
      </w:r>
      <w:r>
        <w:rPr>
          <w:rFonts w:ascii="Times New Roman;sans-serif" w:hAnsi="Times New Roman;sans-serif"/>
          <w:b w:val="false"/>
          <w:i/>
          <w:sz w:val="20"/>
        </w:rPr>
        <w:t>Plan of Distribution</w:t>
      </w:r>
      <w:r>
        <w:rPr>
          <w:caps w:val="false"/>
          <w:smallCaps w:val="false"/>
        </w:rPr>
        <w:t xml:space="preserve">” </w:t>
      </w:r>
      <w:r>
        <w:rPr>
          <w:rFonts w:ascii="Times New Roman;sans-serif" w:hAnsi="Times New Roman;sans-serif"/>
          <w:b w:val="false"/>
          <w:i w:val="false"/>
          <w:caps w:val="false"/>
          <w:smallCaps w:val="false"/>
          <w:sz w:val="20"/>
        </w:rPr>
        <w:t xml:space="preserve">for further information regarding the Selling Stockholder’s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method of distributing these shares. </w:t>
      </w:r>
    </w:p>
    <w:tbl>
      <w:tblPr>
        <w:tblW w:w="9126" w:type="dxa"/>
        <w:jc w:val="left"/>
        <w:tblInd w:w="0" w:type="dxa"/>
        <w:tblLayout w:type="fixed"/>
        <w:tblCellMar>
          <w:top w:w="28" w:type="dxa"/>
          <w:left w:w="28" w:type="dxa"/>
          <w:bottom w:w="28" w:type="dxa"/>
          <w:right w:w="28" w:type="dxa"/>
        </w:tblCellMar>
      </w:tblPr>
      <w:tblGrid>
        <w:gridCol w:w="3676"/>
        <w:gridCol w:w="109"/>
        <w:gridCol w:w="1246"/>
        <w:gridCol w:w="109"/>
        <w:gridCol w:w="1381"/>
        <w:gridCol w:w="109"/>
        <w:gridCol w:w="1171"/>
        <w:gridCol w:w="109"/>
        <w:gridCol w:w="1216"/>
      </w:tblGrid>
      <w:tr>
        <w:trPr/>
        <w:tc>
          <w:tcPr>
            <w:tcW w:w="3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Name of Selling Stockholder</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Shares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of Common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Stock</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Beneficially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Owned Prior to</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Offering</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Maximum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Number</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of Shares of</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Common Stock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to</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be Sold Pursuant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to</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this Prospectus</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Shares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of Common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Stock</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Beneficially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Owned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After Offering</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Percent of</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Common</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Stock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Beneficially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Owned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After Offering</w:t>
            </w:r>
          </w:p>
        </w:tc>
      </w:tr>
      <w:tr>
        <w:trPr/>
        <w:tc>
          <w:tcPr>
            <w:tcW w:w="3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strike w:val="false"/>
                <w:dstrike w:val="false"/>
                <w:color w:val="000000"/>
                <w:sz w:val="20"/>
                <w:u w:val="none"/>
                <w:effect w:val="none"/>
              </w:rPr>
            </w:pPr>
            <w:r>
              <w:rPr>
                <w:rFonts w:ascii="Times New Roman;sans-serif" w:hAnsi="Times New Roman;sans-serif"/>
                <w:b/>
                <w:i/>
                <w:strike w:val="false"/>
                <w:dstrike w:val="false"/>
                <w:color w:val="000000"/>
                <w:sz w:val="20"/>
                <w:u w:val="none"/>
                <w:effect w:val="none"/>
              </w:rPr>
              <w:t>Holders of Series C Preferred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Ascent X Innventure TC, A Series of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Ascent X Innventure, LP</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3,541,685</w:t>
            </w:r>
            <w:r>
              <w:rPr>
                <w:rFonts w:ascii="Times New Roman;sans-serif" w:hAnsi="Times New Roman;sans-serif"/>
                <w:b w:val="false"/>
                <w:i w:val="false"/>
                <w:caps w:val="false"/>
                <w:smallCaps w:val="false"/>
                <w:strike w:val="false"/>
                <w:dstrike w:val="false"/>
                <w:sz w:val="13"/>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367,333</w:t>
            </w:r>
            <w:r>
              <w:rPr>
                <w:rFonts w:ascii="Times New Roman;sans-serif" w:hAnsi="Times New Roman;sans-serif"/>
                <w:b w:val="false"/>
                <w:i w:val="false"/>
                <w:caps w:val="false"/>
                <w:smallCaps w:val="false"/>
                <w:strike w:val="false"/>
                <w:dstrike w:val="false"/>
                <w:sz w:val="13"/>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3,291,685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6.9%</w:t>
            </w:r>
          </w:p>
        </w:tc>
      </w:tr>
      <w:tr>
        <w:trPr/>
        <w:tc>
          <w:tcPr>
            <w:tcW w:w="36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Casata Investments LLC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200,000</w:t>
            </w:r>
            <w:r>
              <w:rPr>
                <w:rFonts w:ascii="Times New Roman;sans-serif" w:hAnsi="Times New Roman;sans-serif"/>
                <w:b w:val="false"/>
                <w:i w:val="false"/>
                <w:caps w:val="false"/>
                <w:smallCaps w:val="false"/>
                <w:strike w:val="false"/>
                <w:dstrike w:val="false"/>
                <w:sz w:val="13"/>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293,866</w:t>
            </w:r>
            <w:r>
              <w:rPr>
                <w:rFonts w:ascii="Times New Roman;sans-serif" w:hAnsi="Times New Roman;sans-serif"/>
                <w:b w:val="false"/>
                <w:i w:val="false"/>
                <w:caps w:val="false"/>
                <w:smallCaps w:val="false"/>
                <w:strike w:val="false"/>
                <w:dstrike w:val="false"/>
                <w:sz w:val="13"/>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3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Crown Global Life Insurance LTD IRO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Separate Account 30286</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100,000</w:t>
            </w:r>
            <w:r>
              <w:rPr>
                <w:rFonts w:ascii="Times New Roman;sans-serif" w:hAnsi="Times New Roman;sans-serif"/>
                <w:b w:val="false"/>
                <w:i w:val="false"/>
                <w:caps w:val="false"/>
                <w:smallCaps w:val="false"/>
                <w:strike w:val="false"/>
                <w:dstrike w:val="false"/>
                <w:sz w:val="13"/>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146,933</w:t>
            </w:r>
            <w:r>
              <w:rPr>
                <w:rFonts w:ascii="Times New Roman;sans-serif" w:hAnsi="Times New Roman;sans-serif"/>
                <w:b w:val="false"/>
                <w:i w:val="false"/>
                <w:caps w:val="false"/>
                <w:smallCaps w:val="false"/>
                <w:strike w:val="false"/>
                <w:dstrike w:val="false"/>
                <w:sz w:val="13"/>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36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Glockner Family Venture Fund, LP</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4,680,272</w:t>
            </w:r>
            <w:r>
              <w:rPr>
                <w:rFonts w:ascii="Times New Roman;sans-serif" w:hAnsi="Times New Roman;sans-serif"/>
                <w:b w:val="false"/>
                <w:i w:val="false"/>
                <w:caps w:val="false"/>
                <w:smallCaps w:val="false"/>
                <w:strike w:val="false"/>
                <w:dstrike w:val="false"/>
                <w:sz w:val="13"/>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5,790,190</w:t>
            </w:r>
            <w:r>
              <w:rPr>
                <w:rFonts w:ascii="Times New Roman;sans-serif" w:hAnsi="Times New Roman;sans-serif"/>
                <w:b w:val="false"/>
                <w:i w:val="false"/>
                <w:caps w:val="false"/>
                <w:smallCaps w:val="false"/>
                <w:strike w:val="false"/>
                <w:dstrike w:val="false"/>
                <w:sz w:val="13"/>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739,566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w:t>
            </w:r>
          </w:p>
        </w:tc>
      </w:tr>
      <w:tr>
        <w:trPr/>
        <w:tc>
          <w:tcPr>
            <w:tcW w:w="36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Grail Partners LLC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429,524</w:t>
            </w:r>
            <w:r>
              <w:rPr>
                <w:rFonts w:ascii="Times New Roman;sans-serif" w:hAnsi="Times New Roman;sans-serif"/>
                <w:b w:val="false"/>
                <w:i w:val="false"/>
                <w:caps w:val="false"/>
                <w:smallCaps w:val="false"/>
                <w:strike w:val="false"/>
                <w:dstrike w:val="false"/>
                <w:sz w:val="13"/>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587,732</w:t>
            </w:r>
            <w:r>
              <w:rPr>
                <w:rFonts w:ascii="Times New Roman;sans-serif" w:hAnsi="Times New Roman;sans-serif"/>
                <w:b w:val="false"/>
                <w:i w:val="false"/>
                <w:caps w:val="false"/>
                <w:smallCaps w:val="false"/>
                <w:strike w:val="false"/>
                <w:dstrike w:val="false"/>
                <w:sz w:val="13"/>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29,524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36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John Scott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2,081,653</w:t>
            </w:r>
            <w:r>
              <w:rPr>
                <w:rFonts w:ascii="Times New Roman;sans-serif" w:hAnsi="Times New Roman;sans-serif"/>
                <w:b w:val="false"/>
                <w:i w:val="false"/>
                <w:caps w:val="false"/>
                <w:smallCaps w:val="false"/>
                <w:strike w:val="false"/>
                <w:dstrike w:val="false"/>
                <w:sz w:val="13"/>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665,118</w:t>
            </w:r>
            <w:r>
              <w:rPr>
                <w:rFonts w:ascii="Times New Roman;sans-serif" w:hAnsi="Times New Roman;sans-serif"/>
                <w:b w:val="false"/>
                <w:i w:val="false"/>
                <w:caps w:val="false"/>
                <w:smallCaps w:val="false"/>
                <w:strike w:val="false"/>
                <w:dstrike w:val="false"/>
                <w:sz w:val="13"/>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1,628,985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w:t>
            </w:r>
          </w:p>
        </w:tc>
      </w:tr>
      <w:tr>
        <w:trPr/>
        <w:tc>
          <w:tcPr>
            <w:tcW w:w="36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Michael Otworth</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2,942,902</w:t>
            </w:r>
            <w:r>
              <w:rPr>
                <w:rFonts w:ascii="Times New Roman;sans-serif" w:hAnsi="Times New Roman;sans-serif"/>
                <w:b w:val="false"/>
                <w:i w:val="false"/>
                <w:caps w:val="false"/>
                <w:smallCaps w:val="false"/>
                <w:strike w:val="false"/>
                <w:dstrike w:val="false"/>
                <w:sz w:val="13"/>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335,480</w:t>
            </w:r>
            <w:r>
              <w:rPr>
                <w:rFonts w:ascii="Times New Roman;sans-serif" w:hAnsi="Times New Roman;sans-serif"/>
                <w:b w:val="false"/>
                <w:i w:val="false"/>
                <w:caps w:val="false"/>
                <w:smallCaps w:val="false"/>
                <w:strike w:val="false"/>
                <w:dstrike w:val="false"/>
                <w:sz w:val="13"/>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2,714,580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w:t>
            </w:r>
          </w:p>
        </w:tc>
      </w:tr>
      <w:tr>
        <w:trPr/>
        <w:tc>
          <w:tcPr>
            <w:tcW w:w="36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Neil Eichlberger 2021 Irrevocable Trust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200,000</w:t>
            </w:r>
            <w:r>
              <w:rPr>
                <w:rFonts w:ascii="Times New Roman;sans-serif" w:hAnsi="Times New Roman;sans-serif"/>
                <w:b w:val="false"/>
                <w:i w:val="false"/>
                <w:caps w:val="false"/>
                <w:smallCaps w:val="false"/>
                <w:strike w:val="false"/>
                <w:dstrike w:val="false"/>
                <w:sz w:val="13"/>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293,866</w:t>
            </w:r>
            <w:r>
              <w:rPr>
                <w:rFonts w:ascii="Times New Roman;sans-serif" w:hAnsi="Times New Roman;sans-serif"/>
                <w:b w:val="false"/>
                <w:i w:val="false"/>
                <w:caps w:val="false"/>
                <w:smallCaps w:val="false"/>
                <w:strike w:val="false"/>
                <w:dstrike w:val="false"/>
                <w:sz w:val="13"/>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3676" w:type="dxa"/>
            <w:tcBorders/>
            <w:shd w:fill="FFFFFF" w:val="clear"/>
            <w:vAlign w:val="center"/>
          </w:tcPr>
          <w:p>
            <w:pPr>
              <w:pStyle w:val="TableContents"/>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Convertible Debentures and SEPA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YA II PN, Ltd.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2,000,000</w:t>
            </w:r>
            <w:r>
              <w:rPr>
                <w:rFonts w:ascii="Times New Roman;sans-serif" w:hAnsi="Times New Roman;sans-serif"/>
                <w:b w:val="false"/>
                <w:i w:val="false"/>
                <w:caps w:val="false"/>
                <w:smallCaps w:val="false"/>
                <w:strike w:val="false"/>
                <w:dstrike w:val="false"/>
                <w:sz w:val="13"/>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7,100,000</w:t>
            </w:r>
            <w:r>
              <w:rPr>
                <w:rFonts w:ascii="Times New Roman;sans-serif" w:hAnsi="Times New Roman;sans-serif"/>
                <w:b w:val="false"/>
                <w:i w:val="false"/>
                <w:caps w:val="false"/>
                <w:smallCaps w:val="false"/>
                <w:strike w:val="false"/>
                <w:dstrike w:val="false"/>
                <w:sz w:val="13"/>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3676" w:type="dxa"/>
            <w:tcBorders/>
            <w:shd w:fill="FFFFFF" w:val="clear"/>
            <w:vAlign w:val="center"/>
          </w:tcPr>
          <w:p>
            <w:pPr>
              <w:pStyle w:val="TableContents"/>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Ducera Securities LLC</w:t>
            </w:r>
            <w:r>
              <w:rPr>
                <w:rFonts w:ascii="Times New Roman;sans-serif" w:hAnsi="Times New Roman;sans-serif"/>
                <w:b w:val="false"/>
                <w:i w:val="false"/>
                <w:caps w:val="false"/>
                <w:smallCaps w:val="false"/>
                <w:strike w:val="false"/>
                <w:dstrike w:val="false"/>
                <w:sz w:val="13"/>
                <w:u w:val="none"/>
                <w:effect w:val="none"/>
              </w:rPr>
              <w:t>(12)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85,471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85,471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36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WTI Fund X, LLC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975,000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225,000</w:t>
            </w:r>
            <w:r>
              <w:rPr>
                <w:rFonts w:ascii="Times New Roman;sans-serif" w:hAnsi="Times New Roman;sans-serif"/>
                <w:b w:val="false"/>
                <w:i w:val="false"/>
                <w:caps w:val="false"/>
                <w:smallCaps w:val="false"/>
                <w:strike w:val="false"/>
                <w:dstrike w:val="false"/>
                <w:sz w:val="13"/>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750,000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r>
      <w:tr>
        <w:trPr/>
        <w:tc>
          <w:tcPr>
            <w:tcW w:w="36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WTI Fund XI, LLC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75,000</w:t>
            </w:r>
            <w:r>
              <w:rPr>
                <w:rFonts w:ascii="Times New Roman;sans-serif" w:hAnsi="Times New Roman;sans-serif"/>
                <w:b w:val="false"/>
                <w:i w:val="false"/>
                <w:caps w:val="false"/>
                <w:smallCaps w:val="false"/>
                <w:strike w:val="false"/>
                <w:dstrike w:val="false"/>
                <w:sz w:val="13"/>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*less than 1%</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(1)Consists of (i) 3,291,685 shares of Common Stock and (ii) up to 250,000 shares of Common Stock issuable upon conversion of 125,000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of Series C Preferred Stock originally issued to the Selling Stockholder. The Selling Stockholder is a limited partnership. Voting and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investment power over the shares held by the Selling Stockholder is exercised by Jonathan Loeffler and Mark Pomeroy Jr. Based on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information provided to us, the Selling Stockholder acquired the shares being registered hereunder in the ordinary course of business, and at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 time of the acquisition of the shares, the Selling Stockholder did not have any agreements or understandings with any person to </w:t>
      </w:r>
    </w:p>
    <w:p>
      <w:pPr>
        <w:pStyle w:val="TextBody"/>
        <w:bidi w:val="0"/>
        <w:spacing w:lineRule="atLeast" w:line="160" w:before="0" w:after="0"/>
        <w:jc w:val="left"/>
        <w:rPr/>
      </w:pPr>
      <w:r>
        <w:rPr>
          <w:rFonts w:ascii="Times New Roman;sans-serif" w:hAnsi="Times New Roman;sans-serif"/>
          <w:b w:val="false"/>
          <w:i w:val="false"/>
          <w:caps w:val="false"/>
          <w:smallCaps w:val="false"/>
          <w:strike w:val="false"/>
          <w:dstrike w:val="false"/>
          <w:sz w:val="16"/>
          <w:u w:val="none"/>
          <w:effect w:val="none"/>
        </w:rPr>
        <w:t>distribute such shares. The business address of the listed Selling Stockholder is 5956 Sherry Lane, 20</w:t>
      </w:r>
      <w:r>
        <w:rPr>
          <w:rFonts w:ascii="Times New Roman;sans-serif" w:hAnsi="Times New Roman;sans-serif"/>
          <w:b w:val="false"/>
          <w:i w:val="false"/>
          <w:caps w:val="false"/>
          <w:smallCaps w:val="false"/>
          <w:strike w:val="false"/>
          <w:dstrike w:val="false"/>
          <w:sz w:val="10"/>
          <w:u w:val="none"/>
          <w:effect w:val="none"/>
        </w:rPr>
        <w:t>th</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Floor, Dallas, Texas 75225.</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(2)Consists of shares of Common Stock issuable upon conversion of shares of Series C Preferred Stock originally issued to the Selling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Stockholder and shares of Common Stock issuable upon conversion of Series C Preferred Stock to be issued as dividends.</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(3)Consists of 200,000 shares of Common Stock issuable upon conversion of 100,000 shares of Series C Preferred Stock originally issued to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 Selling Stockholder. Based on information provided to us, the Selling Stockholder acquired the shares being registered hereunder in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ordinary course of business, and at the time of the acquisition of the shares, the Selling Stockholder did not have any agreements or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understandings with any person to distribute such shares.  The business address of the listed Selling Stockholders is 114 Old Orchard Road,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Clarks Green, Pennsylvania 18411.</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(4)Consists of 100,000 shares of Common Stock issuable upon conversion of 50,000 shares of Series C Preferred Stock originally issued to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Selling Stockholder. Terria Godwin and Pauline McGettigan are the controlling persons of the Selling Stockholder and share voting and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investment power equally such that voting and investment decisions require the affirmative agreement of both persons. Based on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information provided to us, the Selling Stockholder acquired the shares being registered hereunder in the ordinary course of business, and at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 time of the acquisition of the shares, the Selling Stockholder did not have any agreements or understandings with any person to </w:t>
      </w:r>
    </w:p>
    <w:p>
      <w:pPr>
        <w:pStyle w:val="TextBody"/>
        <w:bidi w:val="0"/>
        <w:spacing w:lineRule="atLeast" w:line="160" w:before="0" w:after="0"/>
        <w:jc w:val="left"/>
        <w:rPr/>
      </w:pPr>
      <w:r>
        <w:rPr>
          <w:rFonts w:ascii="Times New Roman;sans-serif" w:hAnsi="Times New Roman;sans-serif"/>
          <w:b w:val="false"/>
          <w:i w:val="false"/>
          <w:caps w:val="false"/>
          <w:smallCaps w:val="false"/>
          <w:strike w:val="false"/>
          <w:dstrike w:val="false"/>
          <w:sz w:val="16"/>
          <w:u w:val="none"/>
          <w:effect w:val="none"/>
        </w:rPr>
        <w:t>distribute such shares. The business address of the listed Selling Stockholder is 39 Market Street, P.O. Box 10467, Suite 3206A, 2</w:t>
      </w:r>
      <w:r>
        <w:rPr>
          <w:rFonts w:ascii="Times New Roman;sans-serif" w:hAnsi="Times New Roman;sans-serif"/>
          <w:b w:val="false"/>
          <w:i w:val="false"/>
          <w:caps w:val="false"/>
          <w:smallCaps w:val="false"/>
          <w:strike w:val="false"/>
          <w:dstrike w:val="false"/>
          <w:sz w:val="10"/>
          <w:u w:val="none"/>
          <w:effect w:val="none"/>
        </w:rPr>
        <w:t>nd</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 xml:space="preserve">Floor,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Camana Bay, Grand Cayman, Cayman Islands KY1-1004.</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(5)Consists of (i) 739,566 shares of Common Stock and (ii) up to 3,940,706 shares of Common Stock issuable upon conversion of 1,970,353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of Series C Preferred Stock originally issued to the Selling Stockholder. Based on information provided to us, the Selling Stockholder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acquired the shares being registered hereunder in the ordinary course of business, and at the time of the acquisition of the shares, the Selling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Stockholder did not have any agreements or understandings with any person to distribute such shares. The business address of the listed </w:t>
      </w:r>
    </w:p>
    <w:p>
      <w:pPr>
        <w:pStyle w:val="TextBody"/>
        <w:bidi w:val="0"/>
        <w:spacing w:lineRule="atLeast" w:line="160" w:before="0" w:after="0"/>
        <w:jc w:val="left"/>
        <w:rPr/>
      </w:pPr>
      <w:r>
        <w:rPr>
          <w:rFonts w:ascii="Times New Roman;sans-serif" w:hAnsi="Times New Roman;sans-serif"/>
          <w:b w:val="false"/>
          <w:i w:val="false"/>
          <w:caps w:val="false"/>
          <w:smallCaps w:val="false"/>
          <w:strike w:val="false"/>
          <w:dstrike w:val="false"/>
          <w:sz w:val="16"/>
          <w:u w:val="none"/>
          <w:effect w:val="none"/>
        </w:rPr>
        <w:t>Selling Stockholder is 111 2</w:t>
      </w:r>
      <w:r>
        <w:rPr>
          <w:rFonts w:ascii="Times New Roman;sans-serif" w:hAnsi="Times New Roman;sans-serif"/>
          <w:b w:val="false"/>
          <w:i w:val="false"/>
          <w:caps w:val="false"/>
          <w:smallCaps w:val="false"/>
          <w:strike w:val="false"/>
          <w:dstrike w:val="false"/>
          <w:sz w:val="10"/>
          <w:u w:val="none"/>
          <w:effect w:val="none"/>
        </w:rPr>
        <w:t>nd</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 xml:space="preserve">Avenue NE, Suite 528, Saint Petersburg, Florida 33701. James Donnally, one of the Company’s directors, is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 Managing Member of Bellringer Consulting Group, LLC, the General Partner of the Selling Stockholder, is an equity holder of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Selling Stockholder, and previously served as the Vice President and Chief Financial Officer of Glockner Enterprises from 1996 to 2023.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Mr. Donnally currently has no authority over the Selling Stockholder’s decision-making with respect to equity or debt investments in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96</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(6)Consists of (i) 29,524 shares of Common Stock and (ii) up to 400,000 shares of Common Stock issuable upon conversion of 200,000 shares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of Series C Preferred Stock originally issued to the Selling Stockholder. Based on information provided to us, the Selling Stockholder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acquired the shares being registered hereunder in the ordinary course of business, and at the time of the acquisition of the shares, the Selling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Stockholder did not have any agreements or understandings with any person to distribute such shares. The business address of the listed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Selling Stockholder is 2 Embarcadero Center, Floor 8, San Francisco, California 94111.</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(7)Consists of (i) 1,628,985 shares of Common Stock and (ii) up to 452,668 shares of Common Stock issuable upon conversion of 226,334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of Series C Preferred Stock originally issued to the Selling Stockholder. Based on information provided to us, the Selling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Stockholders acquired the shares being registered hereunder in the ordinary course of business, and at the time of the acquisition of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the Selling Stockholders did not have any agreements or understandings with any person to distribute such shares. The business </w:t>
      </w:r>
    </w:p>
    <w:p>
      <w:pPr>
        <w:pStyle w:val="TextBody"/>
        <w:bidi w:val="0"/>
        <w:spacing w:lineRule="atLeast" w:line="160" w:before="0" w:after="0"/>
        <w:jc w:val="left"/>
        <w:rPr/>
      </w:pPr>
      <w:r>
        <w:rPr>
          <w:rFonts w:ascii="Times New Roman;sans-serif" w:hAnsi="Times New Roman;sans-serif"/>
          <w:b w:val="false"/>
          <w:i w:val="false"/>
          <w:caps w:val="false"/>
          <w:smallCaps w:val="false"/>
          <w:strike w:val="false"/>
          <w:dstrike w:val="false"/>
          <w:sz w:val="16"/>
          <w:u w:val="none"/>
          <w:effect w:val="none"/>
        </w:rPr>
        <w:t>address of the listed Selling Stockholder is 14355 80</w:t>
      </w:r>
      <w:r>
        <w:rPr>
          <w:rFonts w:ascii="Times New Roman;sans-serif" w:hAnsi="Times New Roman;sans-serif"/>
          <w:b w:val="false"/>
          <w:i w:val="false"/>
          <w:caps w:val="false"/>
          <w:smallCaps w:val="false"/>
          <w:strike w:val="false"/>
          <w:dstrike w:val="false"/>
          <w:sz w:val="10"/>
          <w:u w:val="none"/>
          <w:effect w:val="none"/>
        </w:rPr>
        <w:t>th</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 xml:space="preserve">Avenue, Sebastian, Florida 32958. Dr. Scott serves as the Company’s Chief Strategy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Officer.</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(8)Consists of (i) 2,714,580 shares of Common Stock and (ii) up to 228,332 shares of Common Stock issuable upon conversion of 114,161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of Series C Preferred Stock originally issued to the Selling Stockholder. Based on information provided to us, the Selling Stockholder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acquired the shares being registered hereunder in the ordinary course of business, and at the time of the acquisition of the shares, the Selling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Stockholder did not have any agreements or understandings with any person to distribute such shares. The business address of the listed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Selling Stockholder is 409 Cunningham Street, Maryville, Tennessee 37803. Mr. Otworth serves as the Company’s Executive Chairman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and as a director.</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(9)Consists of 200,000 shares of Common Stock issuable upon conversion of 100,000 shares of Series C Preferred Stock originally issued to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 Selling Stockholder. Based on information provided to us, the Selling Stockholder acquired the shares being registered hereunder in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ordinary course of business, and at the time of the acquisition of the shares, the Selling Stockholder did not have any agreements or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understandings with any person to distribute such shares. The business address of the listed Selling Stockholder is 7 Country Road, Boynton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Beach, Florida 33436.</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(10)Consists of up to 2,000,000 shares of Common Stock that may be issued upon conversion of the Convertible Debentures issued to Yorkville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pursuant to the Securities Purchase Agreement without exceeding the SPA Exchange Cap. Based on information provided to us, the Selling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Stockholder acquired the shares being registered hereunder in the ordinary course of business, and at the time of the acquisition of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shares, the Selling Stockholder did not have any agreements or understandings with any person to distribute such shares.  The business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address of the listed Selling Stockholder is c/o Mark Angelo, 1012 Springfield Avenue, Mountainside, New Jersey, 07092.</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(11)Consists of up to 3,000,000 shares of Common Stock that may be issued upon conversion of the Convertible Debentures issued and to be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issued to Yorkville pursuant to the Securities Purchase Agreement and up to 4,100,000 shares of Common Stock that may be issued to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Yorkville pursuant to the SEPA.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(12)Consists of 85,471 shares of Common Stock issuable pursuant to the Ducera Engagement Letter. Based on information provided to us, the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Selling Stockholder acquired the shares being registered hereunder in the ordinary course of business, and at the time of the acquisition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 shares, the Selling Stockholder did not have any agreements or understandings with any person to distribute such shares. The business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address of the listed Selling Stockholder is 11 Times Square, Floor 36, New York, New York 10036.</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(13)Consists of up to 225,000 shares of Common Stock that may be issued to WTI Fund X, LLC pursuant to the 2025 WTI Warrants, subject to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certain limitations, adjustment, and certain other rights to possible future financings in accordance with terms of the 2025 WTI Warrants.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Based on information provided to us, the Selling Stockholder acquired the shares being registered hereunder in the ordinary course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business, and at the time of the acquisition of the shares, the Selling Stockholder did not have any agreements or understandings with any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person to distribute such shares. The business address of the listed Selling Stockholder is 104 La Mesa Drive, Suite 102, Portola Valley,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California 94028.</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(14)Consists of up to 75,000 shares of Common Stock that may be issued to WTI Fund XI, LLC pursuant to the 2025 WTI Warrants, subject to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certain limitations, adjustment, and certain other rights to possible future financings in accordance with terms of the 2025 WTI Warrants.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Based on information provided to us, the Selling Stockholder acquired the shares being registered hereunder in the ordinary course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business, and at the time of the acquisition of the shares, the Selling Stockholder did not have any agreements or understandings with any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person to distribute such shares. The business address of the listed Selling Stockholder is 104 La Mesa Drive, Suite 102, Portola Valley,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California 94028.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SHARES ELIGIBLE FOR FUTURE SALE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has 250,000,000 shares of Common Stock authorized and, as of April 11, 2025, 47,106,300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are issued and outstanding. The Company also has 25,000,000 shares of preferred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authorized. Of the 25,000,000 shares of preferred stock authorized, 3,000,000 shares have been designated as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Series B Preferred Stock,” and 5,000,000 shares are designated as “Series C Preferred Stock.” As of April 11, 2025,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 1,118,808 shares of Series B Preferred Stock are issued and outstanding, and (ii) 2,885,848 shares of Series 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Preferred Stock are issued and outstanding.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All of the shares of Common Stock issued in connection with the Business Combination are freely transferable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the Securities Act by persons other than by the Company’s “affiliates” or Learn CW’s “affiliates” without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restriction or further registration under the Securities Act.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Sales of substantial amounts of Common Stock in the public market could adversely affect prevailing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prices of the Common Stock. Prior to the Business Combination, there was no public market for the Common Stock.</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Registration Rights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A&amp;R Registration Right Agreement, Innventure is required to file a registration statement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within 45 days after the consummation of the Business Combination registering the number of shares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to permit the public resale of the Registrable Securities (as defined in the A&amp;R Registration Right Agreement)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held by the holders thereto and use commercially reasonable efforts to have the registration statement declared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 and to maintain the effectiveness of such registration statement.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Securities Purchase Agreement entered into with Yorkville, on the First Closing Date,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entered into a registration rights agreement (the “SPA RRA”) with Yorkville pursuant to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Yorkville is entitled to certain registration rights under the Securities Act.  Pursuant to the SPA RRA,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will be required to, on or before the 15th calendar day following the date the Company files its Annual Report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Form 10-K for the year ended December 31, 2024, file with the SEC (at its sole cost and expense) a registration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 registering the resale by Yorkville of all Conversion Shares (as defined herein). The Company agreed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use its best reasonable efforts to ensure that such registration statement is declared effective by the earlier of the date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is 60 calendar days following the filing of such registration statement or the fifth business day after the date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is notified by the SEC that the registration statement will not be reviewed or will not be subject to further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review.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has further agreed to file a registration statement with the SEC to permit the public resale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issued to the Series C Purchasers (as defined below), Ducera, WTI Fund X, LLC and WTI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 XI, LLC, Series B Investors (as defined below), and Yorkville pursuant to the Series C Purchase Agreements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(defined below), the Ducera Engagement Letter (as defined below), the A&amp;R Registration Rights Agreement, 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October 22, 2024, by and among the Company and WTI Fund X, LLC and WTI Fund XI, LLC (the “WTI RRA”),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Series B Investment Agreements (as defined below), and the SEPA, respectively.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April 14, 2025, the Company issued two warrants to purchase up to an aggregate total of 300,000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(the “2025 WTI Warrants”) to WTI Fund X, LLC and WTI Fund XI, LLC, respectively.  Each 2025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WTI Warrant is exercisable into one share of Common Stock at a price of $0.01 per share (subject to certain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limitations, adjustment and certain other rights to possible future financings in accordance with terms of the 2025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WTI Warrants) through March 31, 2035. The Company has agreed to file a registration statement with the SEC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permit the public resale of the shares of Common Stock underlying the 2025 WTI Warrants on substantially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same terms as the WTI RRA.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registration statement of which this prospectus forms a part is registering securities of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Securities Purchase Agreement RRA, the Series C Purchase Agreements, the WTI RRA,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Ducera Engagement Letter, respectively, held by certain Company equity holders, each identified as a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 herein. The aggregate number of shares of Common Stock that will be entitled to registration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Purchase Agreement RRA (giving effect to the SPA Exchange Cap), the SEPA (giving effect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Exchange Cap), the Series C Purchase Agreements, the WTI RRA, and the Ducera Engagement Letter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approximately 20,281,538.</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Lock-up Agreements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execution of the Business Combination Agreement, certain insiders of Innventure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a “Lock-Up Party”) entered into the Lock-Up Agreements with the Company, pursuant to which such persons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agreed, subject to certain customary exceptions, not to (i) sell, offer to sell, contract or agree to sell, hypothecate,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pledge, grant any option to purchase or otherwise transfer, dispose of or agree to transfer or dispose of, directly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indirectly, or establish or increase a put equivalent position or liquidate or decrease a call equivalent position within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meaning of Section 16 of the Exchange Act, and the rules and regulations of the SEC promulgated thereunder,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shares of Common Stock, or any securities convertible into, exercisable for, exchangeable for or that represent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right to receive any shares of Common Stock (collectively, the “Restricted Shares”), currently owned or acquired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after the date of the applicable Lock-Up Agreement, that is owned directly by such Lock-Up Party (including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held as custodian) or with respect to which such Lock-Up Party has beneficial ownership within the rules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regulations of the SEC, (ii) enter into any swap or other arrangement that transfers to another, in whole or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 any of the economic consequences of ownership of any of the Restricted Shares, whether any such transaction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 to be settled by delivery of such securities, in cash or otherwise or (iii) publicly announce any intention to effect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transaction specified in clause (i) or (ii) for a period ending upon the earlier of (A) the expiration of one year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after the Closing, and (B) subsequent to the Closing, (i) if the closing price of Common Stock equals or exceeds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$12.00 per share (as adjusted for share subdivisions, share capitalizations, reorganizations, recapitalizations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like) for any 20 trading days within any 30-trading day period commencing at least 150 days after the Closing, or (ii)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date which Innventure completes a merger, liquidation, stock exchange, reorganization or other similar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transaction after the Closing that results in all of the public stockholders of Innventure having the right to exchange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their Common Stock for cash securities or other property.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7, 2021, Learn CW entered into a letter agreement dated October 7, 2021, by and among Learn CW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its officers, directors, director nominees, and the Sponsor, pursuant to which, among other things and in relevant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 the parties are subject to a lock-up on sales of their Common Stock until (a) one year after the completion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Business Combination or (b) subsequent to the Business Combination, (x) the date on which the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completes a liquidation, merger, share exchange or other similar transaction that results in all of the Company’s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shareholders having the right to exchange their shares of Common Stock for cash, securities or other property or (y)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the closing price of the Common Stock equals or exceeds $12.00 per share (as adjusted for share sub-divisions,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 capitalizations, reorganizations, recapitalizations and other similar transactions) for any twenty (20) trading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days within any 30-trading day period commencing at least 150 days after the Business Combination. Any of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Warrants and shares of Common Stock underlying such warrants were also locked up until thirty (30)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days after the completion of the Business Combination.</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Rule 144</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Subject to the further restrictions described below under “</w:t>
      </w:r>
      <w:r>
        <w:rPr>
          <w:rFonts w:ascii="Times New Roman;sans-serif" w:hAnsi="Times New Roman;sans-serif"/>
          <w:b w:val="false"/>
          <w:i/>
          <w:sz w:val="20"/>
        </w:rPr>
        <w:t xml:space="preserve">Restrictions on the Use of Rule 144 for Securities of </w:t>
      </w:r>
    </w:p>
    <w:p>
      <w:pPr>
        <w:pStyle w:val="TextBody"/>
        <w:bidi w:val="0"/>
        <w:spacing w:lineRule="atLeast" w:line="200" w:before="0" w:after="0"/>
        <w:jc w:val="left"/>
        <w:rPr/>
      </w:pPr>
      <w:r>
        <w:rPr>
          <w:rFonts w:ascii="Times New Roman;sans-serif" w:hAnsi="Times New Roman;sans-serif"/>
          <w:b w:val="false"/>
          <w:i/>
          <w:sz w:val="20"/>
        </w:rPr>
        <w:t>Shell Companies or Former Shell Companies</w:t>
      </w:r>
      <w:r>
        <w:rPr>
          <w:rFonts w:ascii="Times New Roman;sans-serif" w:hAnsi="Times New Roman;sans-serif"/>
          <w:b w:val="false"/>
          <w:i w:val="false"/>
          <w:caps w:val="false"/>
          <w:smallCaps w:val="false"/>
          <w:sz w:val="20"/>
        </w:rPr>
        <w:t xml:space="preserve">,” pursuant to Rule 144 under the Securities Act (“Rule 144”), a person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who has beneficially owned restricted Common Stock or Innventure Warrants for at least six (6) months would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entitled to sell their securities provided that (i) such person is not deemed to have been an affiliate of Innventure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time of, or at any time during the three (3) months preceding, a sale and (ii) Innventure is subject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Exchange Act periodic reporting requirements for at least three (3) months before the sale and has filed all required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reports under Section 13 or 15(d) of the Exchange Act during the twelve (12) months (or such shorter period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 was required to file reports) preceding the sale.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Persons who have beneficially owned Restricted Shares of Common Stock or Innventure Warrants for at least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six months but who are affiliates of Innventure at the time of, or at any time during the three months preceding,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sale, would be subject to additional restrictions, by which such person would be entitled to sell within any three-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month period only a number of securities that does not exceed the greater of:</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one percent (1%) of the total number of Common Stock then outstanding; or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99</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average weekly reported trading volume of Common Stock during the four calendar weeks preceding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filing of a notice on Form 144 with respect to the sale.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Sales by affiliates of Innventure under Rule 144 are also limited by manner of sale provisions and notice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requirements and to the availability of current public information about Innventure.</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Restrictions on the Use of Rule 144 for Securities of Shell Companies or Former Shell Companies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Rule 144 is not available for the resale of securities initially issued by shell companies (other than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related shell companies) or issuers that have been at any time previously a shell company. However,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Rule 144 also includes an important exception to this prohibition if the following conditions are met: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the issuer of the securities that was formerly a shell company has ceased to be a shell company;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issuer of the securities is subject to the reporting requirements of Section 13 or 15(d) of the Exchange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Act;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the issuer of the securities has filed all Exchange Act reports and material required to be filed,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applicable, during the preceding twelve months (or such shorter period that the issuer was required to file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such reports and materials), other than Form 8-K reports;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at least one year has elapsed from the time that the issuer filed current Form 10 type information with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SEC reflecting its status as an entity that is not a shell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a result, although Innventure is a new registrant, shares of Common Stock and Innventure Warrants may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 eligible for sale pursuant to Rule 144 without registration until October 9, 2025—one year from the time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Innventure filed current Form 10 type information with the SEC.</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is no longer a shell company, and so, once the conditions set forth in the exceptions listed above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satisfied, Rule 144 will become available for the resale of the above noted restricted securities.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Rule 701</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general, under Rule 701 of the Securities Act as currently in effect, each of Innventure’s employees,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consultants or advisors who purchased equity shares from Innventure in connection with a compensatory stock plan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other written agreement executed prior to the completion of the Business Combination is eligible to resell those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equity shares in reliance on Rule 144, but without compliance with some of the restrictions, including the holding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period, contained in Rule 144. However, the Rule 701 shares remain subject to lock-up arrangements and only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become eligible for sale when the lock-up period expires.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PLAN OF DISTRIBUTION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are registering (A) the resale by the Selling Stockholders or their permitted transferees of up to 15,965,989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which includes (i) up to 8,480,518 shares of Common Stock that may be issued upon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conversion of Series C Preferred Stock, (ii) 85,471 shares of Common Stock issued to Ducera, (iii) up to 3,000,000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that may be issued upon the conversion of Convertible Debentures issued to Yorkville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Securities Purchase Agreement, (iv) up to 4,100,000 shares of Common Stock that we may issue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sell to Yorkville from time to time pursuant to the SEPA (without exceeding the Exchange Cap) and (v) 300,000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that may be issued upon exercise of the 2025 WTI Warrants, and (B) the issuance by us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18,386,688 shares of Common Stock issuable upon the exercise of the Innventure Warrants.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Our Common Stock is listed on NASDAQ under the symbol “INV.”</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Selling Stockholder of the securities and any of their pledgees, assignees and successors-in-interest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time to time, sell any or all of their securities covered hereby on the principal trading market for such securities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any other stock exchange, market or trading facility on which the securities are traded or in private transactions.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sales may be at fixed or negotiated prices. A Selling Stockholder may use any one or more of the following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methods when selling securities: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ordinary brokerage transactions and transactions in which the broker-dealer solicits purchasers;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block trades in which the broker-dealer will attempt to sell the securities as agent but may position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resell a portion of the block as principal to facilitate the transaction;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purchases by a broker-dealer as principal and resale by the broker-dealer for its account;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an exchange distribution in accordance with the rules of the applicable exchange;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privately negotiated transactions;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in underwritten transactions;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settlement of short sales;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in transactions through broker-dealers that agree with the Selling Stockholders to sell a specified number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such securities at a stipulated price per security;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through the writing or settlement of options or other hedging transactions, whether through an options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exchange or otherwise;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distribution to members, limited partners or stockholders of Selling Stockholders;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at the market” or through market makers or into an existing market for the shares;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 combination of any such methods of sale; or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any other method permitted pursuant to applicable law.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Selling Stockholders may also sell securities under Rule 144 under the Securities Act, provided that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Selling Stockholders meet the criteria and conform to the requirements of that rule, or any other exemption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registration under the Securities Act, if available, rather than under this prospectus.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Broker-dealers engaged by the Selling Stockholders may arrange for other brokers-dealers to participate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sales. Broker-dealers may receive commissions or discounts from the Selling Stockholders (or, if any broker-dealer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acts as agent for the subscriber of securities, from the subscriber) in amounts to be negotiated, but, except as set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forth in a supplement to this Prospectus, in the case of an agency transaction not in excess of a customary brokerage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commission in compliance with applicable FINRA rules.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101</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connection with the sale of the securities or interests therein, the Selling Stockholders may enter into hedging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transactions with broker- dealers or other financial institutions, which may in turn engage in short sales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in the course of hedging the positions they assume. The Selling Stockholders may also sell securities short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deliver these securities to close out their short positions, or loan or pledge the securities to broker-dealers that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turn may sell these securities. The Selling Stockholders may also enter into option or other transactions with broker-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dealers or other financial institutions or create one or more derivative securities which require the delivery to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broker-dealer or other financial institution of securities offered by this prospectus, which securities such broker-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dealer or other financial institution may resell pursuant to this prospectus (as supplemented or amended to reflect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such transaction).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Selling Stockholders and any broker-dealers or agents that are involved in selling the securities may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deemed to be “underwriters” within the meaning of the Securities Act in connection with such sales. In such event,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commissions received by such broker-dealers or agents and any profit on the resale of the securities purchased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 them may be deemed to be underwriting commissions or discounts under the Securities Act. Each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 has informed the Company that it does not have any written or oral agreement or understanding,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directly or indirectly, with any person to distribute the securities.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is required to pay certain fees and expenses incident to the registration of the shares of Company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to be offered and sold pursuant to this prospectus by the Selling Stockholders. The Company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also agreed to indemnify the Selling Stockholders against certain losses, claims, damages and liabilities, including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liabilities under the Securities Act or the Exchange Act. The Selling Stockholders will bear all commissions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discounts, if any, attributable to their sale of securities. Additionally, in certain underwritten offerings, the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and the Company shall bear the expenses of the underwriter pro rata in proportion to the respective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amount of shares of Common Stock each is selling in such offering.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respect to the Selling Stockholders under the WTI RRA, the Company has agreed to keep this prospectus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 and in compliance with the Securities Act until the earlier of (i) such time as there are no longer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registrable securities under such agreements or (ii) the tenth-year anniversary of such agreement. Additionally,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 to the Selling Stockholders under the Securities Purchase Agreement RRA, the Company has agreed to keep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this prospectus effective until all registrable securities have been sold or may be sold without any restrictions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Rule 144, as such rule applies to non-affiliates, as determined by the counsel to the Company pursuant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written opinion letter to such effect, addressed and reasonably acceptable to the Company’s transfer agent.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has also agreed to keep this prospectus effective and in compliance with the Securities Act until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expiration of the SEPA.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applicable rules and regulations under the Exchange Act, any person engaged in the distribution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resale securities may not simultaneously engage in market making activities with respect to the Common Stock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applicable restricted period, as defined in Regulation M, prior to the commencement of the distribution.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 the Selling Stockholders will be subject to applicable provisions of the Exchange Act and the rules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regulations thereunder, including Regulation M, which may limit the timing of purchases and sales of the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by the Selling Stockholders or any other person. We will make copies of this prospectus available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Selling Stockholders and have informed them of the need to deliver a copy of this prospectus to each subscriber at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prior to the time of the sale (including by compliance with Rule 172 under the Securities Act).</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Certain of our stockholders have entered into Lock-Up Agreements. See “</w:t>
      </w:r>
      <w:r>
        <w:rPr>
          <w:rFonts w:ascii="Times New Roman;sans-serif" w:hAnsi="Times New Roman;sans-serif"/>
          <w:b w:val="false"/>
          <w:i/>
          <w:sz w:val="20"/>
        </w:rPr>
        <w:t>Shares Eligible For Future Sale—</w:t>
      </w:r>
    </w:p>
    <w:p>
      <w:pPr>
        <w:pStyle w:val="TextBody"/>
        <w:bidi w:val="0"/>
        <w:spacing w:lineRule="atLeast" w:line="200" w:before="0" w:after="0"/>
        <w:jc w:val="left"/>
        <w:rPr/>
      </w:pPr>
      <w:r>
        <w:rPr>
          <w:rFonts w:ascii="Times New Roman;sans-serif" w:hAnsi="Times New Roman;sans-serif"/>
          <w:b w:val="false"/>
          <w:i/>
          <w:sz w:val="20"/>
        </w:rPr>
        <w:t>Lock-up Agreements</w:t>
      </w:r>
      <w:r>
        <w:rPr>
          <w:rFonts w:ascii="Times New Roman;sans-serif" w:hAnsi="Times New Roman;sans-serif"/>
          <w:b w:val="false"/>
          <w:i w:val="false"/>
          <w:caps w:val="false"/>
          <w:smallCaps w:val="false"/>
          <w:sz w:val="20"/>
        </w:rPr>
        <w: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EXPERTS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consolidated financial statements of Innventure, Inc. (the Company) as of December 31, 2024 and 2023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the period from October 2, 2024 to December 31, 2024 (“Successor”), the period from January 1, 2024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October 1, 2024 (“Predecessor”), and for the year ended December 31, 2023 (“Predecessor”), included in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Prospectus and in the Registration Statement have been so included in reliance on the report of BDO USA, P.C.,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independent registered public accounting firm, given on the authority of said firm as experts in auditing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accounting. The report on the consolidated financial statements contains an explanatory paragraph regarding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Company's ability to continue as a going concern.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LEGAL MATTERS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Jones Day will pass upon certain legal matters for us in connection with the securities offered by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WHERE YOU CAN FIND MORE INFORMATION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have filed with the SEC a registration statement on Form S-1 under the Securities Act with respect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our Common Stock offered by this prospectus. This prospectus, which constitutes a part of the registration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 does not contain all of the information set forth in the registration statement, some of which is contained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exhibits to the registration statement as permitted by the rules and regulations of the SEC. For further information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respect to us and our Common Stock, we refer you to the registration statement, including the exhibits filed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 of the registration statement. Statements contained in this prospectus concerning the contents of any contract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other document is not necessarily complete. If a contract or document has been filed as an exhibit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registration statement, please see the copy of the contract or document that has been filed. Each statement is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prospectus relating to a contract or document filed as an exhibit is qualified in all respects by the filed exhibit.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 maintains an Internet website that contains reports, proxy statements and other information about issuers, like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us, that file electronically with the SEC. The address of that website is www.sec.gov.</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INDEX TO FINANCIAL STATEMENTS</w:t>
      </w:r>
    </w:p>
    <w:tbl>
      <w:tblPr>
        <w:tblW w:w="9246" w:type="dxa"/>
        <w:jc w:val="left"/>
        <w:tblInd w:w="0" w:type="dxa"/>
        <w:tblLayout w:type="fixed"/>
        <w:tblCellMar>
          <w:top w:w="28" w:type="dxa"/>
          <w:left w:w="28" w:type="dxa"/>
          <w:bottom w:w="28" w:type="dxa"/>
          <w:right w:w="28" w:type="dxa"/>
        </w:tblCellMar>
      </w:tblPr>
      <w:tblGrid>
        <w:gridCol w:w="8326"/>
        <w:gridCol w:w="109"/>
        <w:gridCol w:w="811"/>
      </w:tblGrid>
      <w:tr>
        <w:trPr/>
        <w:tc>
          <w:tcPr>
            <w:tcW w:w="8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83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Page No.</w:t>
            </w:r>
          </w:p>
        </w:tc>
      </w:tr>
      <w:tr>
        <w:trPr/>
        <w:tc>
          <w:tcPr>
            <w:tcW w:w="83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hyperlink w:anchor="icb9447fcda9c419b80559940834d4a66_7">
              <w:r>
                <w:rPr>
                  <w:rStyle w:val="InternetLink"/>
                  <w:rFonts w:ascii="Times New Roman;sans-serif" w:hAnsi="Times New Roman;sans-serif"/>
                  <w:b w:val="false"/>
                  <w:i w:val="false"/>
                  <w:caps w:val="false"/>
                  <w:smallCaps w:val="false"/>
                  <w:color w:val="0000FF"/>
                  <w:sz w:val="20"/>
                  <w:u w:val="single"/>
                </w:rPr>
                <w:t>Report of Independent Registered Public Accounting Firm (BDO USA, P.C.; PCAOB ID#243)</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hyperlink w:anchor="icb9447fcda9c419b80559940834d4a66_7">
              <w:r>
                <w:rPr>
                  <w:rStyle w:val="InternetLink"/>
                  <w:rFonts w:ascii="Times New Roman;sans-serif" w:hAnsi="Times New Roman;sans-serif"/>
                  <w:b w:val="false"/>
                  <w:i w:val="false"/>
                  <w:caps w:val="false"/>
                  <w:smallCaps w:val="false"/>
                  <w:color w:val="0000FF"/>
                  <w:sz w:val="20"/>
                  <w:u w:val="single"/>
                </w:rPr>
                <w:t>F-2</w:t>
              </w:r>
            </w:hyperlink>
          </w:p>
        </w:tc>
      </w:tr>
      <w:tr>
        <w:trPr/>
        <w:tc>
          <w:tcPr>
            <w:tcW w:w="8326" w:type="dxa"/>
            <w:tcBorders/>
            <w:vAlign w:val="center"/>
          </w:tcPr>
          <w:p>
            <w:pPr>
              <w:pStyle w:val="TableContents"/>
              <w:bidi w:val="0"/>
              <w:spacing w:lineRule="atLeast" w:line="200" w:before="0" w:after="0"/>
              <w:jc w:val="left"/>
              <w:rPr/>
            </w:pPr>
            <w:hyperlink w:anchor="icb9447fcda9c419b80559940834d4a66_10">
              <w:r>
                <w:rPr>
                  <w:rStyle w:val="InternetLink"/>
                  <w:rFonts w:ascii="Times New Roman;sans-serif" w:hAnsi="Times New Roman;sans-serif"/>
                  <w:b w:val="false"/>
                  <w:i w:val="false"/>
                  <w:caps w:val="false"/>
                  <w:smallCaps w:val="false"/>
                  <w:color w:val="0000FF"/>
                  <w:sz w:val="20"/>
                  <w:u w:val="single"/>
                </w:rPr>
                <w:t>Consolidated Balance Sheets as of December 31, 2024 and 2023</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200" w:before="0" w:after="0"/>
              <w:jc w:val="left"/>
              <w:rPr/>
            </w:pPr>
            <w:hyperlink w:anchor="icb9447fcda9c419b80559940834d4a66_10">
              <w:r>
                <w:rPr>
                  <w:rStyle w:val="InternetLink"/>
                  <w:rFonts w:ascii="Times New Roman;sans-serif" w:hAnsi="Times New Roman;sans-serif"/>
                  <w:b w:val="false"/>
                  <w:i w:val="false"/>
                  <w:caps w:val="false"/>
                  <w:smallCaps w:val="false"/>
                  <w:color w:val="0000FF"/>
                  <w:sz w:val="20"/>
                  <w:u w:val="single"/>
                </w:rPr>
                <w:t>F-4</w:t>
              </w:r>
            </w:hyperlink>
          </w:p>
        </w:tc>
      </w:tr>
      <w:tr>
        <w:trPr/>
        <w:tc>
          <w:tcPr>
            <w:tcW w:w="8326" w:type="dxa"/>
            <w:tcBorders/>
            <w:vAlign w:val="center"/>
          </w:tcPr>
          <w:p>
            <w:pPr>
              <w:pStyle w:val="TableContents"/>
              <w:bidi w:val="0"/>
              <w:spacing w:lineRule="atLeast" w:line="200" w:before="0" w:after="0"/>
              <w:jc w:val="left"/>
              <w:rPr/>
            </w:pPr>
            <w:hyperlink w:anchor="icb9447fcda9c419b80559940834d4a66_13">
              <w:r>
                <w:rPr>
                  <w:rStyle w:val="InternetLink"/>
                  <w:rFonts w:ascii="Times New Roman;sans-serif" w:hAnsi="Times New Roman;sans-serif"/>
                  <w:b w:val="false"/>
                  <w:i w:val="false"/>
                  <w:caps w:val="false"/>
                  <w:smallCaps w:val="false"/>
                  <w:color w:val="0000FF"/>
                  <w:sz w:val="20"/>
                  <w:u w:val="single"/>
                </w:rPr>
                <w:t>Consolidated Statements of Operations and Comprehensive Income (Loss) for the period October 2,</w:t>
              </w:r>
            </w:hyperlink>
            <w:hyperlink w:anchor="icb9447fcda9c419b80559940834d4a66_13">
              <w:r>
                <w:rPr>
                  <w:rStyle w:val="InternetLink"/>
                  <w:caps w:val="false"/>
                  <w:smallCaps w:val="false"/>
                  <w:strike w:val="false"/>
                  <w:dstrike w:val="false"/>
                  <w:color w:val="0000FF"/>
                  <w:u w:val="single"/>
                  <w:effect w:val="none"/>
                </w:rPr>
                <w:t xml:space="preserve"> </w:t>
              </w:r>
            </w:hyperlink>
          </w:p>
          <w:p>
            <w:pPr>
              <w:pStyle w:val="TableContents"/>
              <w:bidi w:val="0"/>
              <w:spacing w:lineRule="atLeast" w:line="200" w:before="0" w:after="0"/>
              <w:jc w:val="left"/>
              <w:rPr/>
            </w:pPr>
            <w:hyperlink w:anchor="icb9447fcda9c419b80559940834d4a66_13">
              <w:r>
                <w:rPr>
                  <w:rStyle w:val="InternetLink"/>
                  <w:rFonts w:ascii="Times New Roman;sans-serif" w:hAnsi="Times New Roman;sans-serif"/>
                  <w:b w:val="false"/>
                  <w:i w:val="false"/>
                  <w:caps w:val="false"/>
                  <w:smallCaps w:val="false"/>
                  <w:color w:val="0000FF"/>
                  <w:sz w:val="20"/>
                  <w:u w:val="single"/>
                </w:rPr>
                <w:t xml:space="preserve">2024 through December 31, 2024 (Successor), January 1, 2024 through October 1, 2024 </w:t>
              </w:r>
            </w:hyperlink>
          </w:p>
          <w:p>
            <w:pPr>
              <w:pStyle w:val="TableContents"/>
              <w:bidi w:val="0"/>
              <w:spacing w:lineRule="atLeast" w:line="200" w:before="0" w:after="0"/>
              <w:jc w:val="left"/>
              <w:rPr/>
            </w:pPr>
            <w:hyperlink w:anchor="icb9447fcda9c419b80559940834d4a66_13">
              <w:r>
                <w:rPr>
                  <w:rStyle w:val="InternetLink"/>
                  <w:rFonts w:ascii="Times New Roman;sans-serif" w:hAnsi="Times New Roman;sans-serif"/>
                  <w:b w:val="false"/>
                  <w:i w:val="false"/>
                  <w:caps w:val="false"/>
                  <w:smallCaps w:val="false"/>
                  <w:color w:val="0000FF"/>
                  <w:sz w:val="20"/>
                  <w:u w:val="single"/>
                </w:rPr>
                <w:t>(Predecessor)</w:t>
              </w:r>
            </w:hyperlink>
            <w:hyperlink w:anchor="icb9447fcda9c419b80559940834d4a66_13">
              <w:r>
                <w:rPr>
                  <w:rStyle w:val="InternetLink"/>
                  <w:caps w:val="false"/>
                  <w:smallCaps w:val="false"/>
                  <w:strike w:val="false"/>
                  <w:dstrike w:val="false"/>
                  <w:color w:val="0000FF"/>
                  <w:u w:val="single"/>
                  <w:effect w:val="none"/>
                </w:rPr>
                <w:t xml:space="preserve"> </w:t>
              </w:r>
            </w:hyperlink>
            <w:hyperlink w:anchor="icb9447fcda9c419b80559940834d4a66_13">
              <w:r>
                <w:rPr>
                  <w:rStyle w:val="InternetLink"/>
                  <w:rFonts w:ascii="Times New Roman;sans-serif" w:hAnsi="Times New Roman;sans-serif"/>
                  <w:b w:val="false"/>
                  <w:i w:val="false"/>
                  <w:caps w:val="false"/>
                  <w:smallCaps w:val="false"/>
                  <w:color w:val="0000FF"/>
                  <w:sz w:val="20"/>
                  <w:u w:val="single"/>
                </w:rPr>
                <w:t>and the year ended December 31, 2023 (Predecessor)</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200" w:before="0" w:after="0"/>
              <w:jc w:val="left"/>
              <w:rPr/>
            </w:pPr>
            <w:hyperlink w:anchor="icb9447fcda9c419b80559940834d4a66_13">
              <w:r>
                <w:rPr>
                  <w:rStyle w:val="InternetLink"/>
                  <w:rFonts w:ascii="Times New Roman;sans-serif" w:hAnsi="Times New Roman;sans-serif"/>
                  <w:b w:val="false"/>
                  <w:i w:val="false"/>
                  <w:caps w:val="false"/>
                  <w:smallCaps w:val="false"/>
                  <w:color w:val="0000FF"/>
                  <w:sz w:val="20"/>
                  <w:u w:val="single"/>
                </w:rPr>
                <w:t>F-6</w:t>
              </w:r>
            </w:hyperlink>
          </w:p>
        </w:tc>
      </w:tr>
      <w:tr>
        <w:trPr/>
        <w:tc>
          <w:tcPr>
            <w:tcW w:w="8326" w:type="dxa"/>
            <w:tcBorders/>
            <w:vAlign w:val="center"/>
          </w:tcPr>
          <w:p>
            <w:pPr>
              <w:pStyle w:val="TableContents"/>
              <w:bidi w:val="0"/>
              <w:spacing w:lineRule="atLeast" w:line="200" w:before="0" w:after="0"/>
              <w:jc w:val="left"/>
              <w:rPr/>
            </w:pPr>
            <w:hyperlink w:anchor="icb9447fcda9c419b80559940834d4a66_16">
              <w:r>
                <w:rPr>
                  <w:rStyle w:val="InternetLink"/>
                  <w:rFonts w:ascii="Times New Roman;sans-serif" w:hAnsi="Times New Roman;sans-serif"/>
                  <w:b w:val="false"/>
                  <w:i w:val="false"/>
                  <w:caps w:val="false"/>
                  <w:smallCaps w:val="false"/>
                  <w:color w:val="0000FF"/>
                  <w:sz w:val="20"/>
                  <w:u w:val="single"/>
                </w:rPr>
                <w:t>Consolidated Statement of Changes in Mezzanine Capital for the period January 1, 2024 through</w:t>
              </w:r>
            </w:hyperlink>
            <w:hyperlink w:anchor="icb9447fcda9c419b80559940834d4a66_16">
              <w:r>
                <w:rPr>
                  <w:rStyle w:val="InternetLink"/>
                  <w:caps w:val="false"/>
                  <w:smallCaps w:val="false"/>
                  <w:strike w:val="false"/>
                  <w:dstrike w:val="false"/>
                  <w:color w:val="0000FF"/>
                  <w:u w:val="single"/>
                  <w:effect w:val="none"/>
                </w:rPr>
                <w:t xml:space="preserve"> </w:t>
              </w:r>
            </w:hyperlink>
          </w:p>
          <w:p>
            <w:pPr>
              <w:pStyle w:val="TableContents"/>
              <w:bidi w:val="0"/>
              <w:spacing w:lineRule="atLeast" w:line="200" w:before="0" w:after="0"/>
              <w:jc w:val="left"/>
              <w:rPr/>
            </w:pPr>
            <w:hyperlink w:anchor="icb9447fcda9c419b80559940834d4a66_16">
              <w:r>
                <w:rPr>
                  <w:rStyle w:val="InternetLink"/>
                  <w:rFonts w:ascii="Times New Roman;sans-serif" w:hAnsi="Times New Roman;sans-serif"/>
                  <w:b w:val="false"/>
                  <w:i w:val="false"/>
                  <w:caps w:val="false"/>
                  <w:smallCaps w:val="false"/>
                  <w:color w:val="0000FF"/>
                  <w:sz w:val="20"/>
                  <w:u w:val="single"/>
                </w:rPr>
                <w:t>October 1, 2024 (Predecessor) and the year ended December 31, 2023 (Predecessor).</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200" w:before="0" w:after="0"/>
              <w:jc w:val="left"/>
              <w:rPr/>
            </w:pPr>
            <w:hyperlink w:anchor="icb9447fcda9c419b80559940834d4a66_16">
              <w:r>
                <w:rPr>
                  <w:rStyle w:val="InternetLink"/>
                  <w:rFonts w:ascii="Times New Roman;sans-serif" w:hAnsi="Times New Roman;sans-serif"/>
                  <w:b w:val="false"/>
                  <w:i w:val="false"/>
                  <w:caps w:val="false"/>
                  <w:smallCaps w:val="false"/>
                  <w:color w:val="0000FF"/>
                  <w:sz w:val="20"/>
                  <w:u w:val="single"/>
                </w:rPr>
                <w:t>F-7</w:t>
              </w:r>
            </w:hyperlink>
          </w:p>
        </w:tc>
      </w:tr>
      <w:tr>
        <w:trPr/>
        <w:tc>
          <w:tcPr>
            <w:tcW w:w="8326" w:type="dxa"/>
            <w:tcBorders/>
            <w:vAlign w:val="center"/>
          </w:tcPr>
          <w:p>
            <w:pPr>
              <w:pStyle w:val="TableContents"/>
              <w:bidi w:val="0"/>
              <w:spacing w:lineRule="atLeast" w:line="200" w:before="0" w:after="0"/>
              <w:jc w:val="left"/>
              <w:rPr/>
            </w:pPr>
            <w:hyperlink w:anchor="icb9447fcda9c419b80559940834d4a66_19">
              <w:r>
                <w:rPr>
                  <w:rStyle w:val="InternetLink"/>
                  <w:rFonts w:ascii="Times New Roman;sans-serif" w:hAnsi="Times New Roman;sans-serif"/>
                  <w:b w:val="false"/>
                  <w:i w:val="false"/>
                  <w:caps w:val="false"/>
                  <w:smallCaps w:val="false"/>
                  <w:color w:val="0000FF"/>
                  <w:sz w:val="20"/>
                  <w:u w:val="single"/>
                </w:rPr>
                <w:t>Consolidated Statement of Changes in Stockholders’ Equity for the period October 2, 2024 through</w:t>
              </w:r>
            </w:hyperlink>
            <w:hyperlink w:anchor="icb9447fcda9c419b80559940834d4a66_19">
              <w:r>
                <w:rPr>
                  <w:rStyle w:val="InternetLink"/>
                  <w:caps w:val="false"/>
                  <w:smallCaps w:val="false"/>
                  <w:strike w:val="false"/>
                  <w:dstrike w:val="false"/>
                  <w:color w:val="0000FF"/>
                  <w:u w:val="single"/>
                  <w:effect w:val="none"/>
                </w:rPr>
                <w:t xml:space="preserve"> </w:t>
              </w:r>
            </w:hyperlink>
          </w:p>
          <w:p>
            <w:pPr>
              <w:pStyle w:val="TableContents"/>
              <w:bidi w:val="0"/>
              <w:spacing w:lineRule="atLeast" w:line="200" w:before="0" w:after="0"/>
              <w:jc w:val="left"/>
              <w:rPr/>
            </w:pPr>
            <w:hyperlink w:anchor="icb9447fcda9c419b80559940834d4a66_19">
              <w:r>
                <w:rPr>
                  <w:rStyle w:val="InternetLink"/>
                  <w:rFonts w:ascii="Times New Roman;sans-serif" w:hAnsi="Times New Roman;sans-serif"/>
                  <w:b w:val="false"/>
                  <w:i w:val="false"/>
                  <w:caps w:val="false"/>
                  <w:smallCaps w:val="false"/>
                  <w:color w:val="0000FF"/>
                  <w:sz w:val="20"/>
                  <w:u w:val="single"/>
                </w:rPr>
                <w:t>December 31, 2024 (Successor), January 1, 2024 through October 1, 2024 (Predecessor) and the year</w:t>
              </w:r>
            </w:hyperlink>
            <w:hyperlink w:anchor="icb9447fcda9c419b80559940834d4a66_19">
              <w:r>
                <w:rPr>
                  <w:rStyle w:val="InternetLink"/>
                  <w:caps w:val="false"/>
                  <w:smallCaps w:val="false"/>
                  <w:strike w:val="false"/>
                  <w:dstrike w:val="false"/>
                  <w:color w:val="0000FF"/>
                  <w:u w:val="single"/>
                  <w:effect w:val="none"/>
                </w:rPr>
                <w:t xml:space="preserve"> </w:t>
              </w:r>
            </w:hyperlink>
          </w:p>
          <w:p>
            <w:pPr>
              <w:pStyle w:val="TableContents"/>
              <w:bidi w:val="0"/>
              <w:spacing w:lineRule="atLeast" w:line="200" w:before="0" w:after="0"/>
              <w:jc w:val="left"/>
              <w:rPr/>
            </w:pPr>
            <w:hyperlink w:anchor="icb9447fcda9c419b80559940834d4a66_19">
              <w:r>
                <w:rPr>
                  <w:rStyle w:val="InternetLink"/>
                  <w:rFonts w:ascii="Times New Roman;sans-serif" w:hAnsi="Times New Roman;sans-serif"/>
                  <w:b w:val="false"/>
                  <w:i w:val="false"/>
                  <w:caps w:val="false"/>
                  <w:smallCaps w:val="false"/>
                  <w:color w:val="0000FF"/>
                  <w:sz w:val="20"/>
                  <w:u w:val="single"/>
                </w:rPr>
                <w:t>ended December 31, 2023 (Predecessor)</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200" w:before="0" w:after="0"/>
              <w:jc w:val="left"/>
              <w:rPr/>
            </w:pPr>
            <w:hyperlink w:anchor="icb9447fcda9c419b80559940834d4a66_19">
              <w:r>
                <w:rPr>
                  <w:rStyle w:val="InternetLink"/>
                  <w:rFonts w:ascii="Times New Roman;sans-serif" w:hAnsi="Times New Roman;sans-serif"/>
                  <w:b w:val="false"/>
                  <w:i w:val="false"/>
                  <w:caps w:val="false"/>
                  <w:smallCaps w:val="false"/>
                  <w:color w:val="0000FF"/>
                  <w:sz w:val="20"/>
                  <w:u w:val="single"/>
                </w:rPr>
                <w:t>F-8</w:t>
              </w:r>
            </w:hyperlink>
          </w:p>
        </w:tc>
      </w:tr>
      <w:tr>
        <w:trPr/>
        <w:tc>
          <w:tcPr>
            <w:tcW w:w="8326" w:type="dxa"/>
            <w:tcBorders/>
            <w:vAlign w:val="center"/>
          </w:tcPr>
          <w:p>
            <w:pPr>
              <w:pStyle w:val="TableContents"/>
              <w:bidi w:val="0"/>
              <w:spacing w:lineRule="atLeast" w:line="200" w:before="0" w:after="0"/>
              <w:jc w:val="left"/>
              <w:rPr/>
            </w:pPr>
            <w:hyperlink w:anchor="icb9447fcda9c419b80559940834d4a66_25">
              <w:r>
                <w:rPr>
                  <w:rStyle w:val="InternetLink"/>
                  <w:rFonts w:ascii="Times New Roman;sans-serif" w:hAnsi="Times New Roman;sans-serif"/>
                  <w:b w:val="false"/>
                  <w:i w:val="false"/>
                  <w:caps w:val="false"/>
                  <w:smallCaps w:val="false"/>
                  <w:color w:val="0000FF"/>
                  <w:sz w:val="20"/>
                  <w:u w:val="single"/>
                </w:rPr>
                <w:t>Consolidated Statements of Cash Flows for the period October 2, 2024 through December 31, 2024</w:t>
              </w:r>
            </w:hyperlink>
            <w:hyperlink w:anchor="icb9447fcda9c419b80559940834d4a66_25">
              <w:r>
                <w:rPr>
                  <w:rStyle w:val="InternetLink"/>
                  <w:caps w:val="false"/>
                  <w:smallCaps w:val="false"/>
                  <w:strike w:val="false"/>
                  <w:dstrike w:val="false"/>
                  <w:color w:val="0000FF"/>
                  <w:u w:val="single"/>
                  <w:effect w:val="none"/>
                </w:rPr>
                <w:t xml:space="preserve"> </w:t>
              </w:r>
            </w:hyperlink>
          </w:p>
          <w:p>
            <w:pPr>
              <w:pStyle w:val="TableContents"/>
              <w:bidi w:val="0"/>
              <w:spacing w:lineRule="atLeast" w:line="200" w:before="0" w:after="0"/>
              <w:jc w:val="left"/>
              <w:rPr/>
            </w:pPr>
            <w:hyperlink w:anchor="icb9447fcda9c419b80559940834d4a66_25">
              <w:r>
                <w:rPr>
                  <w:rStyle w:val="InternetLink"/>
                  <w:rFonts w:ascii="Times New Roman;sans-serif" w:hAnsi="Times New Roman;sans-serif"/>
                  <w:b w:val="false"/>
                  <w:i w:val="false"/>
                  <w:caps w:val="false"/>
                  <w:smallCaps w:val="false"/>
                  <w:color w:val="0000FF"/>
                  <w:sz w:val="20"/>
                  <w:u w:val="single"/>
                </w:rPr>
                <w:t xml:space="preserve">(Successor), January 1, 2024 through October 1, 2024 (Predecessor) and the year ended December </w:t>
              </w:r>
            </w:hyperlink>
          </w:p>
          <w:p>
            <w:pPr>
              <w:pStyle w:val="TableContents"/>
              <w:bidi w:val="0"/>
              <w:spacing w:lineRule="atLeast" w:line="200" w:before="0" w:after="0"/>
              <w:jc w:val="left"/>
              <w:rPr/>
            </w:pPr>
            <w:hyperlink w:anchor="icb9447fcda9c419b80559940834d4a66_25">
              <w:r>
                <w:rPr>
                  <w:rStyle w:val="InternetLink"/>
                  <w:rFonts w:ascii="Times New Roman;sans-serif" w:hAnsi="Times New Roman;sans-serif"/>
                  <w:b w:val="false"/>
                  <w:i w:val="false"/>
                  <w:caps w:val="false"/>
                  <w:smallCaps w:val="false"/>
                  <w:color w:val="0000FF"/>
                  <w:sz w:val="20"/>
                  <w:u w:val="single"/>
                </w:rPr>
                <w:t>31,</w:t>
              </w:r>
            </w:hyperlink>
            <w:hyperlink w:anchor="icb9447fcda9c419b80559940834d4a66_25">
              <w:r>
                <w:rPr>
                  <w:rStyle w:val="InternetLink"/>
                  <w:caps w:val="false"/>
                  <w:smallCaps w:val="false"/>
                  <w:strike w:val="false"/>
                  <w:dstrike w:val="false"/>
                  <w:color w:val="0000FF"/>
                  <w:u w:val="single"/>
                  <w:effect w:val="none"/>
                </w:rPr>
                <w:t xml:space="preserve"> </w:t>
              </w:r>
            </w:hyperlink>
            <w:hyperlink w:anchor="icb9447fcda9c419b80559940834d4a66_25">
              <w:r>
                <w:rPr>
                  <w:rStyle w:val="InternetLink"/>
                  <w:rFonts w:ascii="Times New Roman;sans-serif" w:hAnsi="Times New Roman;sans-serif"/>
                  <w:b w:val="false"/>
                  <w:i w:val="false"/>
                  <w:caps w:val="false"/>
                  <w:smallCaps w:val="false"/>
                  <w:color w:val="0000FF"/>
                  <w:sz w:val="20"/>
                  <w:u w:val="single"/>
                </w:rPr>
                <w:t>2023 (Predecessor)</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200" w:before="0" w:after="0"/>
              <w:jc w:val="left"/>
              <w:rPr/>
            </w:pPr>
            <w:hyperlink w:anchor="icb9447fcda9c419b80559940834d4a66_25">
              <w:r>
                <w:rPr>
                  <w:rStyle w:val="InternetLink"/>
                  <w:rFonts w:ascii="Times New Roman;sans-serif" w:hAnsi="Times New Roman;sans-serif"/>
                  <w:b w:val="false"/>
                  <w:i w:val="false"/>
                  <w:caps w:val="false"/>
                  <w:smallCaps w:val="false"/>
                  <w:color w:val="0000FF"/>
                  <w:sz w:val="20"/>
                  <w:u w:val="single"/>
                </w:rPr>
                <w:t>F-10</w:t>
              </w:r>
            </w:hyperlink>
          </w:p>
        </w:tc>
      </w:tr>
      <w:tr>
        <w:trPr/>
        <w:tc>
          <w:tcPr>
            <w:tcW w:w="8326" w:type="dxa"/>
            <w:tcBorders/>
            <w:vAlign w:val="center"/>
          </w:tcPr>
          <w:p>
            <w:pPr>
              <w:pStyle w:val="TableContents"/>
              <w:bidi w:val="0"/>
              <w:spacing w:lineRule="atLeast" w:line="200" w:before="0" w:after="0"/>
              <w:jc w:val="left"/>
              <w:rPr/>
            </w:pPr>
            <w:hyperlink w:anchor="icb9447fcda9c419b80559940834d4a66_28">
              <w:r>
                <w:rPr>
                  <w:rStyle w:val="InternetLink"/>
                  <w:rFonts w:ascii="Times New Roman;sans-serif" w:hAnsi="Times New Roman;sans-serif"/>
                  <w:b w:val="false"/>
                  <w:i w:val="false"/>
                  <w:caps w:val="false"/>
                  <w:smallCaps w:val="false"/>
                  <w:color w:val="0000FF"/>
                  <w:sz w:val="20"/>
                  <w:u w:val="single"/>
                </w:rPr>
                <w:t>Notes to Consolidated Financial Statements</w:t>
              </w:r>
            </w:hyperlink>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tLeast" w:line="200" w:before="0" w:after="0"/>
              <w:jc w:val="left"/>
              <w:rPr/>
            </w:pPr>
            <w:hyperlink w:anchor="icb9447fcda9c419b80559940834d4a66_28">
              <w:r>
                <w:rPr>
                  <w:rStyle w:val="InternetLink"/>
                  <w:rFonts w:ascii="Times New Roman;sans-serif" w:hAnsi="Times New Roman;sans-serif"/>
                  <w:b w:val="false"/>
                  <w:i w:val="false"/>
                  <w:caps w:val="false"/>
                  <w:smallCaps w:val="false"/>
                  <w:color w:val="0000FF"/>
                  <w:sz w:val="20"/>
                  <w:u w:val="single"/>
                </w:rPr>
                <w:t>F-12</w:t>
              </w:r>
            </w:hyperlink>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Report of Independent Registered Public Accounting Firm</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Stockholders and Board of Directors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Innventure, Inc.</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Orlando, FL</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Opinion on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have audited the accompanying consolidated balance sheets of Innventure, Inc. and Subsidiaries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Company”) as of December 31, 2024, (“Successor”) and Innventure, LLC and Subsidiaries as of December 31,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2023 (“Predecessor”), the related consolidated statements of operations and comprehensive income (loss),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equity, and cash flows for the period from October 2, 2024 through December 31, 2024 (“Successor”),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the consolidated statements of operations and comprehensive income (loss), changes in mezzanine capital,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equity, and cash flows for the period January 1, 2024 through October 1, 2024 (“Predecessor”)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year ended December 31, 2023, and the related notes (collectively referred to as the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statements”). In our opinion, the consolidated financial statements present fairly, in all material respects,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position of the Company at December 31, 2024 (“Successor”) and 2023 (“Predecessor”), and the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its operations and its cash flows for the period from October 2, 2024 through December 31, 2024 (Successor),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period from January 1 2024 through October 1, 2024 (“Predecessor”) and the year ended December 31, 2023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(“Predecessor”), in conformity with accounting principles generally accepted in the United States of America.</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Going Concern Uncertainty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accompanying consolidated financial statements have been prepared assuming that the Company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continue as a going concern. As discussed in Note 2 to the consolidated financial statements, the Company has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suffered recurring losses from operations and has working capital deficiencies that raise substantial doubt about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ability to continue as a going concern. Management’s plans in regard to these matters are also described in Note 2.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consolidated financial statements do not include any adjustments that might result from the outcome of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uncertainty.</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Basis for Opinion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consolidated financial statements are the responsibility of the Company’s management.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responsibility is to express an opinion on the Company’s consolidated financial statements based on our audits.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are a public accounting firm registered with the Public Company Accounting Oversight Board (United States)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(PCAOB) and are required to be independent with respect to the Company in accordance with the U.S. federal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laws and the applicable rules and regulations of the Securities and Exchange Commission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PCAOB.</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conducted our audits in accordance with the standards of the PCAOB. Those standards require that we plan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perform the audit to obtain reasonable assurance about whether the consolidated financial statements are free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material misstatement, whether due to error or fraud. The Company is not required to have, nor were we engaged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perform, an audit of its internal control over financial reporting. As part of our audits we are required to obtain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understanding of internal control over financial reporting but not for the purpose of expressing an opinion on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effectiveness of the Company’s internal control over financial reporting. Accordingly, we express no such opinion.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audits included performing procedures to assess the risks of material misstatement of the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statements, whether due to error or fraud, and performing procedures that respond to those risks.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procedures included examining, on a test basis, evidence regarding the amounts and disclosures in the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statements. Our audits also included evaluating the accounting principles used and significant estimates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made by management, as well as evaluating the overall presentation of the consolidated financial statements.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believe that our audits provide a reasonable basis for our opinion.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BDO USA, P.C.</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We have served as the Company's auditor since 2022.</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Raleigh, North Carolina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14, 2025</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w:t>
      </w:r>
    </w:p>
    <w:p>
      <w:pPr>
        <w:pStyle w:val="TextBody"/>
        <w:bidi w:val="0"/>
        <w:spacing w:lineRule="atLeast" w:line="200" w:before="0" w:after="0"/>
        <w:jc w:val="left"/>
        <w:rPr>
          <w:rFonts w:ascii="Times New Roman;sans-serif" w:hAnsi="Times New Roman;sans-serif"/>
          <w:b w:val="false"/>
          <w:i w:val="false"/>
          <w:caps w:val="false"/>
          <w:smallCaps w:val="false"/>
          <w:color w:val="0000F9"/>
          <w:sz w:val="20"/>
          <w:u w:val="single"/>
        </w:rPr>
      </w:pPr>
      <w:r>
        <w:rPr>
          <w:rFonts w:ascii="Times New Roman;sans-serif" w:hAnsi="Times New Roman;sans-serif"/>
          <w:b w:val="false"/>
          <w:i w:val="false"/>
          <w:caps w:val="false"/>
          <w:smallCaps w:val="false"/>
          <w:color w:val="0000F9"/>
          <w:sz w:val="20"/>
          <w:u w:val="single"/>
        </w:rPr>
        <w:t>Table of Contents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Consolidated Balance Sheets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61" w:type="dxa"/>
        <w:jc w:val="left"/>
        <w:tblInd w:w="0" w:type="dxa"/>
        <w:tblLayout w:type="fixed"/>
        <w:tblCellMar>
          <w:top w:w="28" w:type="dxa"/>
          <w:left w:w="28" w:type="dxa"/>
          <w:bottom w:w="28" w:type="dxa"/>
          <w:right w:w="28" w:type="dxa"/>
        </w:tblCellMar>
      </w:tblPr>
      <w:tblGrid>
        <w:gridCol w:w="6316"/>
        <w:gridCol w:w="1141"/>
        <w:gridCol w:w="109"/>
        <w:gridCol w:w="109"/>
        <w:gridCol w:w="1186"/>
      </w:tblGrid>
      <w:tr>
        <w:trPr/>
        <w:tc>
          <w:tcPr>
            <w:tcW w:w="631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316"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6316"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31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Assets</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Cash, cash equivalents and restricted cash</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$11,119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$2,575</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Accounts receivable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283</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Due from related parties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4,536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2,602</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Inventories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5,178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Prepaid expenses and other current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3,170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487</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Total Current Assets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24,286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5,664</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28,734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14,167</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Property, plant and equipment,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1,414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637</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Intangible assets,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182,153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Goodwill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667,936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1,096</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Total Assets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$905,289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$21,564</w:t>
            </w:r>
          </w:p>
        </w:tc>
      </w:tr>
      <w:tr>
        <w:trPr/>
        <w:tc>
          <w:tcPr>
            <w:tcW w:w="631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Liabilities and Stockholders' Deficit</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Accounts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$3,248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$93</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Accrued employee benefits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9,273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3,779</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Accrued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2,478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1,009</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Related party payables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Related party notes payable - current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14,000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1,000</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Notes payable - current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912</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Patent installment payable - current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1,225</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775</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Obligation to issue equity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4,158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Warrant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34,023</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current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317</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253</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Total Current Liabilities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69,347</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8,168</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Notes payable, net of current portion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13,654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999</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Convertible promissory note,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1,120</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Convertible promissory note due to related party,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3,381</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Embedded derivative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1,994</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Earnout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14,752</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Stock-based compensation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1,160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Patent installment payable, net of current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12,375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13,075</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income taxes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27,353</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683</w:t>
            </w:r>
          </w:p>
        </w:tc>
      </w:tr>
      <w:tr>
        <w:trPr/>
        <w:tc>
          <w:tcPr>
            <w:tcW w:w="631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Total Liabilities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138,996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29,420</w:t>
            </w:r>
          </w:p>
        </w:tc>
      </w:tr>
      <w:tr>
        <w:trPr/>
        <w:tc>
          <w:tcPr>
            <w:tcW w:w="631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Commitments and Contingencies (Note 19)</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631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Mezzanine Capital</w:t>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6316"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Redeemable Class I Units, no par value, 1,000,000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units authorized, issued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and outstanding as of 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2,912</w:t>
            </w:r>
          </w:p>
        </w:tc>
      </w:tr>
      <w:tr>
        <w:trPr/>
        <w:tc>
          <w:tcPr>
            <w:tcW w:w="6316"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Redeemable Class PCTA Units, no par value, 3,982,675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units authorized,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issued and outstanding as of 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7,718</w:t>
            </w:r>
          </w:p>
        </w:tc>
      </w:tr>
      <w:tr>
        <w:trPr/>
        <w:tc>
          <w:tcPr>
            <w:tcW w:w="631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Stockholders' Equity / Unitholders' Deficit</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6316"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Class B Preferred Units, no par value, 4,639,557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units authorized, and </w:t>
            </w:r>
          </w:p>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4,109,961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units issued and outstanding as of December 31, 2023</w:t>
            </w:r>
            <w:r>
              <w:rPr>
                <w:caps w:val="false"/>
                <w:smallCaps w:val="false"/>
                <w:sz w:val="24"/>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38,122</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F-5</w:t>
      </w:r>
    </w:p>
    <w:p>
      <w:pPr>
        <w:pStyle w:val="TextBody"/>
        <w:bidi w:val="0"/>
        <w:spacing w:lineRule="atLeast" w:line="200" w:before="0" w:after="0"/>
        <w:jc w:val="left"/>
        <w:rPr>
          <w:rFonts w:ascii="Times New Roman;sans-serif" w:hAnsi="Times New Roman;sans-serif"/>
          <w:b w:val="false"/>
          <w:i w:val="false"/>
          <w:caps w:val="false"/>
          <w:smallCaps w:val="false"/>
          <w:color w:val="0000F9"/>
          <w:sz w:val="20"/>
          <w:u w:val="single"/>
        </w:rPr>
      </w:pPr>
      <w:r>
        <w:rPr>
          <w:rFonts w:ascii="Times New Roman;sans-serif" w:hAnsi="Times New Roman;sans-serif"/>
          <w:b w:val="false"/>
          <w:i w:val="false"/>
          <w:caps w:val="false"/>
          <w:smallCaps w:val="false"/>
          <w:color w:val="0000F9"/>
          <w:sz w:val="20"/>
          <w:u w:val="single"/>
        </w:rPr>
        <w:t>Table of Contents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Consolidated Balance Sheets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and per share amounts)</w:t>
      </w:r>
    </w:p>
    <w:tbl>
      <w:tblPr>
        <w:tblW w:w="8996" w:type="dxa"/>
        <w:jc w:val="left"/>
        <w:tblInd w:w="0" w:type="dxa"/>
        <w:tblLayout w:type="fixed"/>
        <w:tblCellMar>
          <w:top w:w="28" w:type="dxa"/>
          <w:left w:w="28" w:type="dxa"/>
          <w:bottom w:w="28" w:type="dxa"/>
          <w:right w:w="28" w:type="dxa"/>
        </w:tblCellMar>
      </w:tblPr>
      <w:tblGrid>
        <w:gridCol w:w="6451"/>
        <w:gridCol w:w="1141"/>
        <w:gridCol w:w="109"/>
        <w:gridCol w:w="109"/>
        <w:gridCol w:w="1186"/>
      </w:tblGrid>
      <w:tr>
        <w:trPr/>
        <w:tc>
          <w:tcPr>
            <w:tcW w:w="645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451"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6451"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451"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Class B-1 Preferred Units, no par value, 2,600,000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units authorized, and </w:t>
            </w:r>
          </w:p>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342,608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units issued and outstanding as of December 31, 2023</w:t>
            </w:r>
            <w:r>
              <w:rPr>
                <w:caps w:val="false"/>
                <w:smallCaps w:val="false"/>
                <w:sz w:val="24"/>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3,323</w:t>
            </w:r>
          </w:p>
        </w:tc>
      </w:tr>
      <w:tr>
        <w:trPr/>
        <w:tc>
          <w:tcPr>
            <w:tcW w:w="6451"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Class A Units, no par value, 10,975,000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units authorized, and 10,875,000</w:t>
            </w:r>
            <w:r>
              <w:rPr>
                <w:caps w:val="false"/>
                <w:smallCaps w:val="false"/>
                <w:strike w:val="false"/>
                <w:dstrike w:val="false"/>
                <w:sz w:val="24"/>
                <w:u w:val="none"/>
                <w:effect w:val="none"/>
              </w:rPr>
              <w:t xml:space="preserve">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units issued and outstanding as of 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1,950</w:t>
            </w:r>
          </w:p>
        </w:tc>
      </w:tr>
      <w:tr>
        <w:trPr/>
        <w:tc>
          <w:tcPr>
            <w:tcW w:w="6451"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Class C Units, no par value, 1,585,125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units authorized, and 1,570,125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units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issued and outstanding as of 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844</w:t>
            </w:r>
          </w:p>
        </w:tc>
      </w:tr>
      <w:tr>
        <w:trPr/>
        <w:tc>
          <w:tcPr>
            <w:tcW w:w="6451"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Preferred Stock, $0.0001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par value, 25,000,000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authorized, and </w:t>
            </w:r>
          </w:p>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1,102,000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issued and outstanding as of December 31, 2024</w:t>
            </w:r>
            <w:r>
              <w:rPr>
                <w:caps w:val="false"/>
                <w:smallCaps w:val="false"/>
                <w:sz w:val="24"/>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51"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Common Stock, $0.0001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par value, 250,000,000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authorized, and </w:t>
            </w:r>
          </w:p>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44,597,154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issued and outstanding  as of December 31, 2024</w:t>
            </w:r>
            <w:r>
              <w:rPr>
                <w:caps w:val="false"/>
                <w:smallCaps w:val="false"/>
                <w:sz w:val="24"/>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Additional paid-in capital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502,865</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Accumulated other comprehensive gain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Accumulated deficit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(78,262)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(64,284)</w:t>
            </w:r>
          </w:p>
        </w:tc>
      </w:tr>
      <w:tr>
        <w:trPr/>
        <w:tc>
          <w:tcPr>
            <w:tcW w:w="645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Total Innventure, Inc., Stockholders’ Equity/ Innventure LLC Unitholders' </w:t>
            </w:r>
          </w:p>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Deficit</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425,516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(20,045)</w:t>
            </w:r>
          </w:p>
        </w:tc>
      </w:tr>
      <w:tr>
        <w:trPr/>
        <w:tc>
          <w:tcPr>
            <w:tcW w:w="64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340,777</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1,559</w:t>
            </w:r>
          </w:p>
        </w:tc>
      </w:tr>
      <w:tr>
        <w:trPr/>
        <w:tc>
          <w:tcPr>
            <w:tcW w:w="645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Total Stockholders' Equity/ Unitholders' Deficit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766,293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(18,486)</w:t>
            </w:r>
          </w:p>
        </w:tc>
      </w:tr>
      <w:tr>
        <w:trPr/>
        <w:tc>
          <w:tcPr>
            <w:tcW w:w="645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Total Liabilities, Mezzanine Capital and Equity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$905,289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$21,564</w:t>
            </w:r>
          </w:p>
        </w:tc>
      </w:tr>
    </w:tbl>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See accompanying notes to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F-6</w:t>
      </w:r>
    </w:p>
    <w:p>
      <w:pPr>
        <w:pStyle w:val="TextBody"/>
        <w:bidi w:val="0"/>
        <w:spacing w:lineRule="atLeast" w:line="200" w:before="0" w:after="0"/>
        <w:jc w:val="left"/>
        <w:rPr>
          <w:rFonts w:ascii="Times New Roman;sans-serif" w:hAnsi="Times New Roman;sans-serif"/>
          <w:b w:val="false"/>
          <w:i w:val="false"/>
          <w:caps w:val="false"/>
          <w:smallCaps w:val="false"/>
          <w:color w:val="0000F9"/>
          <w:sz w:val="20"/>
          <w:u w:val="single"/>
        </w:rPr>
      </w:pPr>
      <w:r>
        <w:rPr>
          <w:rFonts w:ascii="Times New Roman;sans-serif" w:hAnsi="Times New Roman;sans-serif"/>
          <w:b w:val="false"/>
          <w:i w:val="false"/>
          <w:caps w:val="false"/>
          <w:smallCaps w:val="false"/>
          <w:color w:val="0000F9"/>
          <w:sz w:val="20"/>
          <w:u w:val="single"/>
        </w:rPr>
        <w:t>Table of Contents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Consolidated Statements of Operations and Comprehensive Income (Loss)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376" w:type="dxa"/>
        <w:jc w:val="left"/>
        <w:tblInd w:w="0" w:type="dxa"/>
        <w:tblLayout w:type="fixed"/>
        <w:tblCellMar>
          <w:top w:w="28" w:type="dxa"/>
          <w:left w:w="28" w:type="dxa"/>
          <w:bottom w:w="28" w:type="dxa"/>
          <w:right w:w="28" w:type="dxa"/>
        </w:tblCellMar>
      </w:tblPr>
      <w:tblGrid>
        <w:gridCol w:w="4981"/>
        <w:gridCol w:w="1501"/>
        <w:gridCol w:w="109"/>
        <w:gridCol w:w="109"/>
        <w:gridCol w:w="1381"/>
        <w:gridCol w:w="109"/>
        <w:gridCol w:w="1186"/>
      </w:tblGrid>
      <w:tr>
        <w:trPr/>
        <w:tc>
          <w:tcPr>
            <w:tcW w:w="498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4981" w:type="dxa"/>
            <w:tcBorders/>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December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31, 2024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Revenue</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$456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$1,117</w:t>
            </w:r>
          </w:p>
        </w:tc>
      </w:tr>
      <w:tr>
        <w:trPr/>
        <w:tc>
          <w:tcPr>
            <w:tcW w:w="4981"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498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Operating Expenses</w:t>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Cost of sales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3,752</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General and administrative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29,652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26,608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17,589</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Sales and marketing</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2,009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3,205</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Research and development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5,340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4,001</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Total Operating Expenses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40,753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37,541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24,795</w:t>
            </w:r>
          </w:p>
        </w:tc>
      </w:tr>
      <w:tr>
        <w:trPr/>
        <w:tc>
          <w:tcPr>
            <w:tcW w:w="4981"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Loss from Operations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(40,297)</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(36,777)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(23,678)</w:t>
            </w:r>
          </w:p>
        </w:tc>
      </w:tr>
      <w:tr>
        <w:trPr/>
        <w:tc>
          <w:tcPr>
            <w:tcW w:w="4981"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Non-operating (Expense) and Income</w:t>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expense,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(1,132)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(1,224)</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gain (loss) from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11,547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(6,448)</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(loss) gain on investments - due to related parties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232</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fair value of financial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(20,946)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766</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investment (loss)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(632)</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Loss on conversion of 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Write-off of loan commitment fee asset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(10,041)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Miscellaneous other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Total Non-operating (Expense) Income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(33,078)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9,011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(7,306)</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Loss before Income Taxes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(73,375)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(27,766)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(30,984)</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Income tax expense (benefit)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(3,282)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Net Loss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(70,093)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(28,198)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(30,984)</w:t>
            </w:r>
          </w:p>
        </w:tc>
      </w:tr>
      <w:tr>
        <w:trPr/>
        <w:tc>
          <w:tcPr>
            <w:tcW w:w="49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Less: net loss attributable to</w:t>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Non-redeemable non-controlling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(8,339)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(139)</w:t>
            </w:r>
          </w:p>
        </w:tc>
      </w:tr>
      <w:tr>
        <w:trPr/>
        <w:tc>
          <w:tcPr>
            <w:tcW w:w="498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 xml:space="preserve">Net Loss Attributable to Innventure, Inc. Stockholders / </w:t>
            </w:r>
          </w:p>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 xml:space="preserve">Innventure LLC Unitholders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(61,754)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(16,436)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(30,845)</w:t>
            </w:r>
          </w:p>
        </w:tc>
      </w:tr>
      <w:tr>
        <w:trPr/>
        <w:tc>
          <w:tcPr>
            <w:tcW w:w="4981"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Basic and diluted loss per share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Basic and diluted weighted average common shares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43,951,279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4981"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Other comprehensive income, net of taxes:</w:t>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49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Unrealized gain on available-for-sale debt securities -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related party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other comprehensive loss, net of taxes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909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comprehensive loss, net of taxes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(69,184)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(28,136)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(30,984)</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Less: comprehensive income attributable to</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Non-redeemable non-controlling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(8,339)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(139)</w:t>
            </w:r>
          </w:p>
        </w:tc>
      </w:tr>
      <w:tr>
        <w:trPr/>
        <w:tc>
          <w:tcPr>
            <w:tcW w:w="498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Net Comprehensive Loss Attributable to Innventure, Inc. </w:t>
            </w:r>
          </w:p>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Stockholders / Innventure LLC Unitholders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5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$(60,845)</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$(16,374)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$(30,845)</w:t>
            </w:r>
          </w:p>
        </w:tc>
      </w:tr>
    </w:tbl>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See accompanying notes to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F-7</w:t>
      </w:r>
    </w:p>
    <w:p>
      <w:pPr>
        <w:pStyle w:val="TextBody"/>
        <w:bidi w:val="0"/>
        <w:spacing w:lineRule="atLeast" w:line="200" w:before="0" w:after="0"/>
        <w:jc w:val="left"/>
        <w:rPr>
          <w:rFonts w:ascii="Times New Roman;sans-serif" w:hAnsi="Times New Roman;sans-serif"/>
          <w:b w:val="false"/>
          <w:i w:val="false"/>
          <w:caps w:val="false"/>
          <w:smallCaps w:val="false"/>
          <w:color w:val="0000F9"/>
          <w:sz w:val="20"/>
          <w:u w:val="single"/>
        </w:rPr>
      </w:pPr>
      <w:r>
        <w:rPr>
          <w:rFonts w:ascii="Times New Roman;sans-serif" w:hAnsi="Times New Roman;sans-serif"/>
          <w:b w:val="false"/>
          <w:i w:val="false"/>
          <w:caps w:val="false"/>
          <w:smallCaps w:val="false"/>
          <w:color w:val="0000F9"/>
          <w:sz w:val="20"/>
          <w:u w:val="single"/>
        </w:rPr>
        <w:t>Table of Contents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Consolidated Statements of Changes in Mezzanine Capital (Predecessor)</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82" w:type="dxa"/>
        <w:jc w:val="left"/>
        <w:tblInd w:w="0" w:type="dxa"/>
        <w:tblLayout w:type="fixed"/>
        <w:tblCellMar>
          <w:top w:w="28" w:type="dxa"/>
          <w:left w:w="28" w:type="dxa"/>
          <w:bottom w:w="28" w:type="dxa"/>
          <w:right w:w="28" w:type="dxa"/>
        </w:tblCellMar>
      </w:tblPr>
      <w:tblGrid>
        <w:gridCol w:w="5101"/>
        <w:gridCol w:w="1216"/>
        <w:gridCol w:w="109"/>
        <w:gridCol w:w="1021"/>
        <w:gridCol w:w="109"/>
        <w:gridCol w:w="826"/>
      </w:tblGrid>
      <w:tr>
        <w:trPr/>
        <w:tc>
          <w:tcPr>
            <w:tcW w:w="510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Class I Amount</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Class PCTA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tc>
      </w:tr>
      <w:tr>
        <w:trPr/>
        <w:tc>
          <w:tcPr>
            <w:tcW w:w="510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December 31, 2022 </w:t>
            </w:r>
            <w:r>
              <w:rPr>
                <w:rFonts w:ascii="Times New Roman;sans-serif" w:hAnsi="Times New Roman;sans-serif"/>
                <w:b/>
                <w:i w:val="false"/>
                <w:caps w:val="false"/>
                <w:smallCaps w:val="false"/>
                <w:strike w:val="false"/>
                <w:dstrike w:val="false"/>
                <w:color w:val="B4B4B4"/>
                <w:sz w:val="20"/>
                <w:u w:val="none"/>
                <w:effect w:val="none"/>
              </w:rPr>
              <w:t>.......................................................................</w:t>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$2,984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$12,882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$15,866</w:t>
            </w:r>
          </w:p>
        </w:tc>
      </w:tr>
      <w:tr>
        <w:trPr/>
        <w:tc>
          <w:tcPr>
            <w:tcW w:w="51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Proceeds from capital calls to unitholders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w:t>
            </w:r>
          </w:p>
        </w:tc>
      </w:tr>
      <w:tr>
        <w:trPr/>
        <w:tc>
          <w:tcPr>
            <w:tcW w:w="51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Accretion of redeemable units to redemption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(5,366)</w:t>
            </w:r>
          </w:p>
        </w:tc>
      </w:tr>
      <w:tr>
        <w:trPr/>
        <w:tc>
          <w:tcPr>
            <w:tcW w:w="510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December 31, 2023 </w:t>
            </w:r>
            <w:r>
              <w:rPr>
                <w:rFonts w:ascii="Times New Roman;sans-serif" w:hAnsi="Times New Roman;sans-serif"/>
                <w:b/>
                <w:i w:val="false"/>
                <w:caps w:val="false"/>
                <w:smallCaps w:val="false"/>
                <w:strike w:val="false"/>
                <w:dstrike w:val="false"/>
                <w:color w:val="B4B4B4"/>
                <w:sz w:val="20"/>
                <w:u w:val="none"/>
                <w:effect w:val="none"/>
              </w:rPr>
              <w:t>.......................................................................</w:t>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2,912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7,718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10,630</w:t>
            </w:r>
          </w:p>
        </w:tc>
      </w:tr>
      <w:tr>
        <w:trPr/>
        <w:tc>
          <w:tcPr>
            <w:tcW w:w="51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Accretion of redeemable units to redemption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11,950</w:t>
            </w:r>
          </w:p>
        </w:tc>
      </w:tr>
      <w:tr>
        <w:trPr/>
        <w:tc>
          <w:tcPr>
            <w:tcW w:w="510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October 1, 2024</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$4,477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$18,103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$22,580</w:t>
            </w:r>
          </w:p>
        </w:tc>
      </w:tr>
    </w:tbl>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See accompanying notes to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F-8</w:t>
      </w:r>
    </w:p>
    <w:p>
      <w:pPr>
        <w:pStyle w:val="TextBody"/>
        <w:bidi w:val="0"/>
        <w:spacing w:lineRule="atLeast" w:line="200" w:before="0" w:after="0"/>
        <w:jc w:val="left"/>
        <w:rPr>
          <w:rFonts w:ascii="Times New Roman;sans-serif" w:hAnsi="Times New Roman;sans-serif"/>
          <w:b w:val="false"/>
          <w:i w:val="false"/>
          <w:caps w:val="false"/>
          <w:smallCaps w:val="false"/>
          <w:color w:val="0000F9"/>
          <w:sz w:val="20"/>
          <w:u w:val="single"/>
        </w:rPr>
      </w:pPr>
      <w:r>
        <w:rPr>
          <w:rFonts w:ascii="Times New Roman;sans-serif" w:hAnsi="Times New Roman;sans-serif"/>
          <w:b w:val="false"/>
          <w:i w:val="false"/>
          <w:caps w:val="false"/>
          <w:smallCaps w:val="false"/>
          <w:color w:val="0000F9"/>
          <w:sz w:val="20"/>
          <w:u w:val="single"/>
        </w:rPr>
        <w:t>Table of Contents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Consolidated Statements of Changes in Stockholders' Equity</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61"/>
        <w:gridCol w:w="811"/>
        <w:gridCol w:w="109"/>
        <w:gridCol w:w="811"/>
        <w:gridCol w:w="109"/>
        <w:gridCol w:w="676"/>
        <w:gridCol w:w="109"/>
        <w:gridCol w:w="531"/>
        <w:gridCol w:w="109"/>
        <w:gridCol w:w="1053"/>
        <w:gridCol w:w="109"/>
        <w:gridCol w:w="1053"/>
        <w:gridCol w:w="109"/>
        <w:gridCol w:w="948"/>
        <w:gridCol w:w="109"/>
        <w:gridCol w:w="998"/>
      </w:tblGrid>
      <w:tr>
        <w:trPr/>
        <w:tc>
          <w:tcPr>
            <w:tcW w:w="25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2561" w:type="dxa"/>
            <w:tcBorders/>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Class B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Preferred</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Class B-1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Preferred</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Class C</w:t>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Deficit</w:t>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OCI</w:t>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Non-</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Controlling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Unitholders'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Deficit</w:t>
            </w:r>
          </w:p>
        </w:tc>
      </w:tr>
      <w:tr>
        <w:trPr/>
        <w:tc>
          <w:tcPr>
            <w:tcW w:w="256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December 31, 2022 (Predecessor)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8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$20,803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$1,950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$(38,564)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$(11,193)</w:t>
            </w:r>
          </w:p>
        </w:tc>
      </w:tr>
      <w:tr>
        <w:trPr/>
        <w:tc>
          <w:tcPr>
            <w:tcW w:w="25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(30,845)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(30,984)</w:t>
            </w:r>
          </w:p>
        </w:tc>
      </w:tr>
      <w:tr>
        <w:trPr/>
        <w:tc>
          <w:tcPr>
            <w:tcW w:w="25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Non-controlling interest acquired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337</w:t>
            </w:r>
          </w:p>
        </w:tc>
      </w:tr>
      <w:tr>
        <w:trPr/>
        <w:tc>
          <w:tcPr>
            <w:tcW w:w="25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Issuance of units, net 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17,319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8"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17,319</w:t>
            </w:r>
          </w:p>
        </w:tc>
      </w:tr>
      <w:tr>
        <w:trPr/>
        <w:tc>
          <w:tcPr>
            <w:tcW w:w="25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Unit-based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910</w:t>
            </w:r>
          </w:p>
        </w:tc>
      </w:tr>
      <w:tr>
        <w:trPr/>
        <w:tc>
          <w:tcPr>
            <w:tcW w:w="25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Distributions to unitholders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8"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(241)</w:t>
            </w:r>
          </w:p>
        </w:tc>
      </w:tr>
      <w:tr>
        <w:trPr/>
        <w:tc>
          <w:tcPr>
            <w:tcW w:w="256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Accretion of redeemable units to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redemption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5,366</w:t>
            </w:r>
          </w:p>
        </w:tc>
      </w:tr>
      <w:tr>
        <w:trPr/>
        <w:tc>
          <w:tcPr>
            <w:tcW w:w="256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December 31, 2023 (Predecessor)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81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38,122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3,323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1,950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844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(64,284)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8"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1,559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(18,486)</w:t>
            </w:r>
          </w:p>
        </w:tc>
      </w:tr>
      <w:tr>
        <w:trPr/>
        <w:tc>
          <w:tcPr>
            <w:tcW w:w="25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(16,436)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(28,198)</w:t>
            </w:r>
          </w:p>
        </w:tc>
      </w:tr>
      <w:tr>
        <w:trPr/>
        <w:tc>
          <w:tcPr>
            <w:tcW w:w="25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comprehensive loss, net of taxes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8"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w:t>
            </w:r>
          </w:p>
        </w:tc>
      </w:tr>
      <w:tr>
        <w:trPr/>
        <w:tc>
          <w:tcPr>
            <w:tcW w:w="25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Units issued to non-controlling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13,921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13,921</w:t>
            </w:r>
          </w:p>
        </w:tc>
      </w:tr>
      <w:tr>
        <w:trPr/>
        <w:tc>
          <w:tcPr>
            <w:tcW w:w="25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Issuance of units, net 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13,561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8"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13,561</w:t>
            </w:r>
          </w:p>
        </w:tc>
      </w:tr>
      <w:tr>
        <w:trPr/>
        <w:tc>
          <w:tcPr>
            <w:tcW w:w="25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Unit-based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1,056</w:t>
            </w:r>
          </w:p>
        </w:tc>
      </w:tr>
      <w:tr>
        <w:trPr/>
        <w:tc>
          <w:tcPr>
            <w:tcW w:w="256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Issuance of units to non-controlling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interest in exchange of convertible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8,443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8,443</w:t>
            </w:r>
          </w:p>
        </w:tc>
      </w:tr>
      <w:tr>
        <w:trPr/>
        <w:tc>
          <w:tcPr>
            <w:tcW w:w="256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Accretion of redeemable units to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redemption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1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(11,950)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(11,950)</w:t>
            </w:r>
          </w:p>
        </w:tc>
      </w:tr>
      <w:tr>
        <w:trPr/>
        <w:tc>
          <w:tcPr>
            <w:tcW w:w="256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October 1, 2024 (Predecessor)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8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$51,683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$3,323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$1,950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$(92,670)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$13,080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$(21,591)</w:t>
            </w:r>
          </w:p>
        </w:tc>
      </w:tr>
    </w:tbl>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See accompanying notes to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F-9</w:t>
      </w:r>
    </w:p>
    <w:p>
      <w:pPr>
        <w:pStyle w:val="TextBody"/>
        <w:bidi w:val="0"/>
        <w:spacing w:lineRule="atLeast" w:line="200" w:before="0" w:after="0"/>
        <w:jc w:val="left"/>
        <w:rPr>
          <w:rFonts w:ascii="Times New Roman;sans-serif" w:hAnsi="Times New Roman;sans-serif"/>
          <w:b w:val="false"/>
          <w:i w:val="false"/>
          <w:caps w:val="false"/>
          <w:smallCaps w:val="false"/>
          <w:color w:val="0000F9"/>
          <w:sz w:val="20"/>
          <w:u w:val="single"/>
        </w:rPr>
      </w:pPr>
      <w:r>
        <w:rPr>
          <w:rFonts w:ascii="Times New Roman;sans-serif" w:hAnsi="Times New Roman;sans-serif"/>
          <w:b w:val="false"/>
          <w:i w:val="false"/>
          <w:caps w:val="false"/>
          <w:smallCaps w:val="false"/>
          <w:color w:val="0000F9"/>
          <w:sz w:val="20"/>
          <w:u w:val="single"/>
        </w:rPr>
        <w:t>Table of Contents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Consolidated Statements of Changes in Stockholders' Equity</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202" w:type="dxa"/>
        <w:jc w:val="left"/>
        <w:tblInd w:w="0" w:type="dxa"/>
        <w:tblLayout w:type="fixed"/>
        <w:tblCellMar>
          <w:top w:w="28" w:type="dxa"/>
          <w:left w:w="28" w:type="dxa"/>
          <w:bottom w:w="28" w:type="dxa"/>
          <w:right w:w="28" w:type="dxa"/>
        </w:tblCellMar>
      </w:tblPr>
      <w:tblGrid>
        <w:gridCol w:w="1966"/>
        <w:gridCol w:w="931"/>
        <w:gridCol w:w="109"/>
        <w:gridCol w:w="691"/>
        <w:gridCol w:w="109"/>
        <w:gridCol w:w="1036"/>
        <w:gridCol w:w="109"/>
        <w:gridCol w:w="691"/>
        <w:gridCol w:w="109"/>
        <w:gridCol w:w="886"/>
        <w:gridCol w:w="109"/>
        <w:gridCol w:w="1051"/>
        <w:gridCol w:w="109"/>
        <w:gridCol w:w="1051"/>
        <w:gridCol w:w="109"/>
        <w:gridCol w:w="946"/>
        <w:gridCol w:w="109"/>
        <w:gridCol w:w="1081"/>
      </w:tblGrid>
      <w:tr>
        <w:trPr/>
        <w:tc>
          <w:tcPr>
            <w:tcW w:w="19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Series B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Deficit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OCI</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Non-</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Controlling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Stockholders'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Equity</w:t>
            </w:r>
          </w:p>
        </w:tc>
      </w:tr>
      <w:tr>
        <w:trPr/>
        <w:tc>
          <w:tcPr>
            <w:tcW w:w="196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October 2, 2024 (Successor)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$11,342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$(15,845)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$(4,503)</w:t>
            </w:r>
          </w:p>
        </w:tc>
      </w:tr>
      <w:tr>
        <w:trPr/>
        <w:tc>
          <w:tcPr>
            <w:tcW w:w="19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Effect of acquisition of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Innventure LLC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43,589,850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461,064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343,030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804,098</w:t>
            </w:r>
          </w:p>
        </w:tc>
      </w:tr>
      <w:tr>
        <w:trPr/>
        <w:tc>
          <w:tcPr>
            <w:tcW w:w="19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Reclassification of warrants from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liability to equity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1,265</w:t>
            </w:r>
          </w:p>
        </w:tc>
      </w:tr>
      <w:tr>
        <w:trPr/>
        <w:tc>
          <w:tcPr>
            <w:tcW w:w="19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Issuance of common shares, net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2,083</w:t>
            </w:r>
          </w:p>
        </w:tc>
      </w:tr>
      <w:tr>
        <w:trPr/>
        <w:tc>
          <w:tcPr>
            <w:tcW w:w="19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Issuance of preferred shares, net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9,965</w:t>
            </w:r>
          </w:p>
        </w:tc>
      </w:tr>
      <w:tr>
        <w:trPr/>
        <w:tc>
          <w:tcPr>
            <w:tcW w:w="19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Issuance of common shares from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warrant exercises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259,309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2,982</w:t>
            </w:r>
          </w:p>
        </w:tc>
      </w:tr>
      <w:tr>
        <w:trPr/>
        <w:tc>
          <w:tcPr>
            <w:tcW w:w="19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(61,754)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(8,339)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(70,093)</w:t>
            </w:r>
          </w:p>
        </w:tc>
      </w:tr>
      <w:tr>
        <w:trPr/>
        <w:tc>
          <w:tcPr>
            <w:tcW w:w="19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Other comprehensive gain, net of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taxes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909</w:t>
            </w:r>
          </w:p>
        </w:tc>
      </w:tr>
      <w:tr>
        <w:trPr/>
        <w:tc>
          <w:tcPr>
            <w:tcW w:w="19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Non-controlling interest acquired</w:t>
            </w:r>
            <w:r>
              <w:rPr>
                <w:caps w:val="false"/>
                <w:smallCaps w:val="false"/>
              </w:rPr>
              <w:t xml:space="preserve"> </w:t>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4,129</w:t>
            </w:r>
          </w:p>
        </w:tc>
      </w:tr>
      <w:tr>
        <w:trPr/>
        <w:tc>
          <w:tcPr>
            <w:tcW w:w="19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Distributions to Stockholders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(663)</w:t>
            </w:r>
          </w:p>
        </w:tc>
      </w:tr>
      <w:tr>
        <w:trPr/>
        <w:tc>
          <w:tcPr>
            <w:tcW w:w="19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Vesting of contingent at risk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sponsor shares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587,995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9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Stock-based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14,381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16,338</w:t>
            </w:r>
          </w:p>
        </w:tc>
      </w:tr>
      <w:tr>
        <w:trPr/>
        <w:tc>
          <w:tcPr>
            <w:tcW w:w="19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Accrued preferred dividends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(217)</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(217)</w:t>
            </w:r>
          </w:p>
        </w:tc>
      </w:tr>
      <w:tr>
        <w:trPr/>
        <w:tc>
          <w:tcPr>
            <w:tcW w:w="196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December 31, 2024 (Successor)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1,102,000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44,597,154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$502,865</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$(78,262)</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$909</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$340,777</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$766,293</w:t>
            </w:r>
          </w:p>
        </w:tc>
      </w:tr>
    </w:tbl>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See accompanying notes to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F-10</w:t>
      </w:r>
    </w:p>
    <w:p>
      <w:pPr>
        <w:pStyle w:val="TextBody"/>
        <w:bidi w:val="0"/>
        <w:spacing w:lineRule="atLeast" w:line="200" w:before="0" w:after="0"/>
        <w:jc w:val="left"/>
        <w:rPr>
          <w:rFonts w:ascii="Times New Roman;sans-serif" w:hAnsi="Times New Roman;sans-serif"/>
          <w:b w:val="false"/>
          <w:i w:val="false"/>
          <w:caps w:val="false"/>
          <w:smallCaps w:val="false"/>
          <w:color w:val="0000F9"/>
          <w:sz w:val="20"/>
          <w:u w:val="single"/>
        </w:rPr>
      </w:pPr>
      <w:r>
        <w:rPr>
          <w:rFonts w:ascii="Times New Roman;sans-serif" w:hAnsi="Times New Roman;sans-serif"/>
          <w:b w:val="false"/>
          <w:i w:val="false"/>
          <w:caps w:val="false"/>
          <w:smallCaps w:val="false"/>
          <w:color w:val="0000F9"/>
          <w:sz w:val="20"/>
          <w:u w:val="single"/>
        </w:rPr>
        <w:t>Table of Contents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Consolidated Statements of Cash Flows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26" w:type="dxa"/>
        <w:jc w:val="left"/>
        <w:tblInd w:w="0" w:type="dxa"/>
        <w:tblLayout w:type="fixed"/>
        <w:tblCellMar>
          <w:top w:w="28" w:type="dxa"/>
          <w:left w:w="28" w:type="dxa"/>
          <w:bottom w:w="28" w:type="dxa"/>
          <w:right w:w="28" w:type="dxa"/>
        </w:tblCellMar>
      </w:tblPr>
      <w:tblGrid>
        <w:gridCol w:w="5296"/>
        <w:gridCol w:w="1336"/>
        <w:gridCol w:w="109"/>
        <w:gridCol w:w="109"/>
        <w:gridCol w:w="1381"/>
        <w:gridCol w:w="109"/>
        <w:gridCol w:w="1186"/>
      </w:tblGrid>
      <w:tr>
        <w:trPr/>
        <w:tc>
          <w:tcPr>
            <w:tcW w:w="529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29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29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296"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Cash Flows Used in Operating Activities</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Net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$(70,093)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$(28,198)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$(30,984)</w:t>
            </w:r>
          </w:p>
        </w:tc>
      </w:tr>
      <w:tr>
        <w:trPr/>
        <w:tc>
          <w:tcPr>
            <w:tcW w:w="5296" w:type="dxa"/>
            <w:tcBorders/>
            <w:shd w:fill="CCEEFF" w:val="clear"/>
            <w:vAlign w:val="center"/>
          </w:tcPr>
          <w:p>
            <w:pPr>
              <w:pStyle w:val="TableContents"/>
              <w:bidi w:val="0"/>
              <w:spacing w:lineRule="atLeast" w:line="142" w:before="0" w:after="0"/>
              <w:jc w:val="left"/>
              <w:rPr>
                <w:rFonts w:ascii="Times New Roman;sans-serif" w:hAnsi="Times New Roman;sans-serif"/>
                <w:b w:val="false"/>
                <w:i/>
                <w:strike w:val="false"/>
                <w:dstrike w:val="false"/>
                <w:color w:val="000000"/>
                <w:sz w:val="12"/>
                <w:u w:val="none"/>
                <w:effect w:val="none"/>
              </w:rPr>
            </w:pPr>
            <w:r>
              <w:rPr>
                <w:rFonts w:ascii="Times New Roman;sans-serif" w:hAnsi="Times New Roman;sans-serif"/>
                <w:b w:val="false"/>
                <w:i/>
                <w:strike w:val="false"/>
                <w:dstrike w:val="false"/>
                <w:color w:val="000000"/>
                <w:sz w:val="12"/>
                <w:u w:val="none"/>
                <w:effect w:val="none"/>
              </w:rPr>
              <w:t>Adjustments to reconcile net loss to net cash and cash equivalents used in operating activities:</w:t>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sz w:val="12"/>
                <w:u w:val="none"/>
                <w:effect w:val="none"/>
              </w:rPr>
              <w:t>Stock-based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16,338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1,056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910</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Interest income on debt securities - related party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(106)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Change in fair value of financial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20,946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478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(766)</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Change in fair value of payables due to related parties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468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(232)</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Write-off of loan commitment fee asset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10,041</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Non-cash interest expense on notes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248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487</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Net (gain) loss on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(11,547)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6,448</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Equity method investment gain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902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(893)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632</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Loss on conversion of 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Deferred income taxes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(3,301)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Depreciation and 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5,455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8</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Payment of patent installment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Non-cash rent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192</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Accrued unpaid interest on note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930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rFonts w:ascii="Times New Roman;sans-serif" w:hAnsi="Times New Roman;sans-serif"/>
                <w:b w:val="false"/>
                <w:i/>
                <w:strike w:val="false"/>
                <w:dstrike w:val="false"/>
                <w:color w:val="000000"/>
                <w:sz w:val="12"/>
                <w:u w:val="none"/>
                <w:effect w:val="none"/>
              </w:rPr>
            </w:pPr>
            <w:r>
              <w:rPr>
                <w:rFonts w:ascii="Times New Roman;sans-serif" w:hAnsi="Times New Roman;sans-serif"/>
                <w:b w:val="false"/>
                <w:i/>
                <w:strike w:val="false"/>
                <w:dstrike w:val="false"/>
                <w:color w:val="000000"/>
                <w:sz w:val="12"/>
                <w:u w:val="none"/>
                <w:effect w:val="none"/>
              </w:rPr>
              <w:t>Changes in operating assets and liabilities:</w:t>
            </w:r>
          </w:p>
        </w:tc>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Accounts receivable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(166)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Prepaid expenses and other current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(1,301)</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(1,353)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(218)</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Inventory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(2,354)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(2,824)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Accounts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(11,211)</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6,013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9</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Accrued employee benefits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1,656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3,838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3,181</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Accrued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(484)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1,230</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Stock-based compensation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1,160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Other current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(77)</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(155)</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Obligation to issue equity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3,000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10,920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Other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(218)</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i w:val="false"/>
                <w:caps w:val="false"/>
                <w:smallCaps w:val="false"/>
                <w:strike w:val="false"/>
                <w:dstrike w:val="false"/>
                <w:sz w:val="12"/>
                <w:u w:val="none"/>
                <w:effect w:val="none"/>
              </w:rPr>
              <w:t xml:space="preserve">Net Cash Used in Operating Activities </w:t>
            </w:r>
            <w:r>
              <w:rPr>
                <w:rFonts w:ascii="Times New Roman;sans-serif" w:hAnsi="Times New Roman;sans-serif"/>
                <w:b/>
                <w:i w:val="false"/>
                <w:caps w:val="false"/>
                <w:smallCaps w:val="false"/>
                <w:strike w:val="false"/>
                <w:dstrike w:val="false"/>
                <w:color w:val="B4B4B4"/>
                <w:sz w:val="12"/>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(29,214)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(18,848)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(19,476)</w:t>
            </w:r>
          </w:p>
        </w:tc>
      </w:tr>
      <w:tr>
        <w:trPr/>
        <w:tc>
          <w:tcPr>
            <w:tcW w:w="529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Cash Flows Provided by (Used in) Investing Activities</w:t>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Purchase of shares in equity method investee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(2,000)</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Contributions to equity method investee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(130)</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Investment in debt securities - equity method investee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(7,400)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(2,600)</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Advances to equity method investee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(4,240)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Acquisition of property, plant and equipment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(736)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(645)</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Acquisition of intangible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(30)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Acquisition of net assets, net of cash acquired, through business combination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Proceeds from sale of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708</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Cash withdrawn from trust as a result of business combination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11,342</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sz w:val="12"/>
                <w:u w:val="none"/>
                <w:effect w:val="none"/>
              </w:rPr>
              <w:t xml:space="preserve">Net Cash Provided by (Used in) Investing Activities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6,822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(5,957)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(4,667)</w:t>
            </w:r>
          </w:p>
        </w:tc>
      </w:tr>
      <w:tr>
        <w:trPr/>
        <w:tc>
          <w:tcPr>
            <w:tcW w:w="529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Cash Flows Provided by Financing Activities</w:t>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Proceeds from issuance of equity, net 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15,383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13,122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16,009</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Proceeds from the issuance of equity to non-controlling interest, net 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4,169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13,859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337</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Proceeds from the issuance of convertible promissory note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2,000</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Proceeds from issuance of debt securities, net 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19,455</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Payment of debts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(250)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(540)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(65)</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Receipt of Capital from Class I Unitholder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130</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Distributions to Stockholders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(663)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(241)</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Proceeds from the issuance of promissory notes to related parties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1,004</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Repayment of promissory note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(4,628)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sz w:val="12"/>
                <w:u w:val="none"/>
                <w:effect w:val="none"/>
              </w:rPr>
              <w:t xml:space="preserve">Cash Flows Provided by Financing Activities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33,466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38,441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19,174</w:t>
            </w:r>
          </w:p>
        </w:tc>
      </w:tr>
      <w:tr>
        <w:trPr/>
        <w:tc>
          <w:tcPr>
            <w:tcW w:w="529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Net Increase (Decrease) in Cash, Cash Equivalents and Restricted Cash</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11,074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13,636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(4,969)</w:t>
            </w:r>
          </w:p>
        </w:tc>
      </w:tr>
      <w:tr>
        <w:trPr/>
        <w:tc>
          <w:tcPr>
            <w:tcW w:w="5296"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Cash, Cash Equivalents and Restricted Cash Beginning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45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2,575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7,544</w:t>
            </w:r>
          </w:p>
        </w:tc>
      </w:tr>
      <w:tr>
        <w:trPr/>
        <w:tc>
          <w:tcPr>
            <w:tcW w:w="5296"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sz w:val="12"/>
                <w:u w:val="none"/>
                <w:effect w:val="none"/>
              </w:rPr>
              <w:t xml:space="preserve">Cash, Cash Equivalents and Restricted Cash End of period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$11,119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$16,211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$2,575</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F-11</w:t>
      </w:r>
    </w:p>
    <w:p>
      <w:pPr>
        <w:pStyle w:val="TextBody"/>
        <w:bidi w:val="0"/>
        <w:spacing w:lineRule="atLeast" w:line="200" w:before="0" w:after="0"/>
        <w:jc w:val="left"/>
        <w:rPr>
          <w:rFonts w:ascii="Times New Roman;sans-serif" w:hAnsi="Times New Roman;sans-serif"/>
          <w:b w:val="false"/>
          <w:i w:val="false"/>
          <w:caps w:val="false"/>
          <w:smallCaps w:val="false"/>
          <w:color w:val="0000F9"/>
          <w:sz w:val="20"/>
          <w:u w:val="single"/>
        </w:rPr>
      </w:pPr>
      <w:r>
        <w:rPr>
          <w:rFonts w:ascii="Times New Roman;sans-serif" w:hAnsi="Times New Roman;sans-serif"/>
          <w:b w:val="false"/>
          <w:i w:val="false"/>
          <w:caps w:val="false"/>
          <w:smallCaps w:val="false"/>
          <w:color w:val="0000F9"/>
          <w:sz w:val="20"/>
          <w:u w:val="single"/>
        </w:rPr>
        <w:t>Table of Contents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Consolidated Statements of Cash Flows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and per share amounts)</w:t>
      </w:r>
    </w:p>
    <w:tbl>
      <w:tblPr>
        <w:tblW w:w="9391" w:type="dxa"/>
        <w:jc w:val="left"/>
        <w:tblInd w:w="0" w:type="dxa"/>
        <w:tblLayout w:type="fixed"/>
        <w:tblCellMar>
          <w:top w:w="28" w:type="dxa"/>
          <w:left w:w="28" w:type="dxa"/>
          <w:bottom w:w="28" w:type="dxa"/>
          <w:right w:w="28" w:type="dxa"/>
        </w:tblCellMar>
      </w:tblPr>
      <w:tblGrid>
        <w:gridCol w:w="5161"/>
        <w:gridCol w:w="1336"/>
        <w:gridCol w:w="109"/>
        <w:gridCol w:w="109"/>
        <w:gridCol w:w="1381"/>
        <w:gridCol w:w="109"/>
        <w:gridCol w:w="1186"/>
      </w:tblGrid>
      <w:tr>
        <w:trPr/>
        <w:tc>
          <w:tcPr>
            <w:tcW w:w="516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Predecessor</w:t>
            </w:r>
          </w:p>
        </w:tc>
      </w:tr>
      <w:tr>
        <w:trPr/>
        <w:tc>
          <w:tcPr>
            <w:tcW w:w="5161"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161"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Supplemental Cash Flow Information</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Cash paid for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$991</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$1,070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$297</w:t>
            </w:r>
          </w:p>
        </w:tc>
      </w:tr>
      <w:tr>
        <w:trPr/>
        <w:tc>
          <w:tcPr>
            <w:tcW w:w="5161" w:type="dxa"/>
            <w:tcBorders/>
            <w:shd w:fill="CCEEFF" w:val="clear"/>
            <w:vAlign w:val="center"/>
          </w:tcPr>
          <w:p>
            <w:pPr>
              <w:pStyle w:val="TableContents"/>
              <w:bidi w:val="0"/>
              <w:spacing w:lineRule="atLeast" w:line="142" w:before="0" w:after="0"/>
              <w:jc w:val="left"/>
              <w:rPr>
                <w:rFonts w:ascii="Times New Roman;sans-serif" w:hAnsi="Times New Roman;sans-serif"/>
                <w:b/>
                <w:i w:val="false"/>
                <w:caps w:val="false"/>
                <w:smallCaps w:val="false"/>
                <w:strike w:val="false"/>
                <w:dstrike w:val="false"/>
                <w:color w:val="000000"/>
                <w:sz w:val="12"/>
                <w:u w:val="none"/>
                <w:effect w:val="none"/>
              </w:rPr>
            </w:pPr>
            <w:r>
              <w:rPr>
                <w:rFonts w:ascii="Times New Roman;sans-serif" w:hAnsi="Times New Roman;sans-serif"/>
                <w:b/>
                <w:i w:val="false"/>
                <w:caps w:val="false"/>
                <w:smallCaps w:val="false"/>
                <w:strike w:val="false"/>
                <w:dstrike w:val="false"/>
                <w:color w:val="000000"/>
                <w:sz w:val="12"/>
                <w:u w:val="none"/>
                <w:effect w:val="none"/>
              </w:rPr>
              <w:t>Supplemental Disclosure of Noncash Financing Information</w:t>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Accretion of redeemable units to redemption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11,950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5,366</w:t>
            </w:r>
          </w:p>
        </w:tc>
      </w:tr>
      <w:tr>
        <w:trPr/>
        <w:tc>
          <w:tcPr>
            <w:tcW w:w="516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Debt discount and embedded derivative upon issuance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1,119</w:t>
            </w:r>
          </w:p>
        </w:tc>
      </w:tr>
      <w:tr>
        <w:trPr/>
        <w:tc>
          <w:tcPr>
            <w:tcW w:w="516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Issuance of units to non-controlling interest in exchange of convertible 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7,324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6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 xml:space="preserve">Conversion of working capital loans to equity method investees into  investments in debt securities - </w:t>
            </w:r>
          </w:p>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related party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2,600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6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Transfer of liability warrants to equity warrants in the Business Combination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1,265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61" w:type="dxa"/>
            <w:tcBorders/>
            <w:shd w:fill="CCEE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Initial recognition of loan commitment fee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CCEE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16,190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61" w:type="dxa"/>
            <w:tcBorders/>
            <w:shd w:fill="FFFFFF" w:val="clear"/>
            <w:vAlign w:val="center"/>
          </w:tcPr>
          <w:p>
            <w:pPr>
              <w:pStyle w:val="TableContents"/>
              <w:bidi w:val="0"/>
              <w:spacing w:lineRule="atLeast" w:line="142" w:before="0" w:after="0"/>
              <w:jc w:val="left"/>
              <w:rPr/>
            </w:pPr>
            <w:r>
              <w:rPr>
                <w:rFonts w:ascii="Times New Roman;sans-serif" w:hAnsi="Times New Roman;sans-serif"/>
                <w:b w:val="false"/>
                <w:i w:val="false"/>
                <w:caps w:val="false"/>
                <w:smallCaps w:val="false"/>
                <w:strike w:val="false"/>
                <w:dstrike w:val="false"/>
                <w:color w:val="000000"/>
                <w:sz w:val="12"/>
                <w:u w:val="none"/>
                <w:effect w:val="none"/>
              </w:rPr>
              <w:t>Transfer of loan commitment fee asset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2"/>
                <w:u w:val="none"/>
                <w:effect w:val="none"/>
              </w:rPr>
              <w:t>......................................................................................................</w:t>
            </w:r>
          </w:p>
        </w:tc>
        <w:tc>
          <w:tcPr>
            <w:tcW w:w="1336" w:type="dxa"/>
            <w:tcBorders/>
            <w:shd w:fill="FFFFFF" w:val="clear"/>
            <w:vAlign w:val="center"/>
          </w:tcPr>
          <w:p>
            <w:pPr>
              <w:pStyle w:val="TableContents"/>
              <w:bidi w:val="0"/>
              <w:spacing w:lineRule="atLeast" w:line="142" w:before="0" w:after="0"/>
              <w:jc w:val="left"/>
              <w:rPr>
                <w:rFonts w:ascii="Times New Roman;sans-serif" w:hAnsi="Times New Roman;sans-serif"/>
                <w:b w:val="false"/>
                <w:i w:val="false"/>
                <w:caps w:val="false"/>
                <w:smallCaps w:val="false"/>
                <w:strike w:val="false"/>
                <w:dstrike w:val="false"/>
                <w:color w:val="000000"/>
                <w:sz w:val="12"/>
                <w:u w:val="none"/>
                <w:effect w:val="none"/>
              </w:rPr>
            </w:pPr>
            <w:r>
              <w:rPr>
                <w:rFonts w:ascii="Times New Roman;sans-serif" w:hAnsi="Times New Roman;sans-serif"/>
                <w:b w:val="false"/>
                <w:i w:val="false"/>
                <w:caps w:val="false"/>
                <w:smallCaps w:val="false"/>
                <w:strike w:val="false"/>
                <w:dstrike w:val="false"/>
                <w:color w:val="000000"/>
                <w:sz w:val="12"/>
                <w:u w:val="none"/>
                <w:effect w:val="none"/>
              </w:rPr>
              <w:t>6,694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See accompanying notes to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F-12</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 Nature of Business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Unless the context otherwise requires, references herein to "Innventure", "we", "us", "our" and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refer to the business and operations of Innventure LLC and its consolidated subsidiaries (the “Predecessor”) for all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periods prior to the Closing (as defined below) and to the business and operations of Innventure, Inc. and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consolidated subsidiaries (the “Successor”) for all periods after Closing.</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 founds, funds, and operates companies with a focus on transformative, sustainable technology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solutions that we acquire or license from technology innovators, which are typically Multinational Corporations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(‘‘MNCs’’). As owner-operators, our goal is to take what we believe to be breakthrough technologies from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evaluation to scaled commercialization utilizing an approach designed to help mitigate risk in collaboration with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MNCs (our channel partner(s)), as we build disruptive companies that we believe have the potential to achieve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target enterprise value of at least $1 billion. We define ‘‘disruptive’’ as innovations that, in our opinion, have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ability to significantly change the way businesses, industries, markets, and/or consumers operate. Innventure, Inc.,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headquartered in Orlando, Florida.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Business Combination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October 24, 2023, Learn SPAC HoldCo, Inc. (“Holdco”), a Delaware corporation and direct, wholly-owned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subsidiary of Learn CW Investment Corporation (“Learn CW”), a Cayman Islands exempted company, LCW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Merger Sub, Inc. (“LCW Merger Sub”), a Delaware corporation and direct, wholly-owned subsidiary of Holdco,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 Merger Sub, LLC (“Innventure Merger Sub” and together with LCW Merger Sub, the “Merger Subs”),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Delaware limited liability company and direct, wholly-owned subsidiary of Holdco entered into a Business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Combination Agreement (the “Business Combination Agreement”) with Innventure LLC, a Delaware limited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liability company.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further discussed below and in Note 8. Business Combinations, on October 2,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“Closing Date” or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Closing”),  Learn CW and Innventure LLC consummated a business combination (the “Business Combination”)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pursuant to the terms of the Business Combination Agreement. Following the Closing, both Learn CW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 LLC became subsidiaries of Holdco, Holdco changed its name to “Innventure, Inc.” and became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publicly traded company. Holdco was determined to be the accounting acquirer.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Both Learn CW and Holdco, a direct wholly-owned subsidiary of Learn CW prior to the Business Combination,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were created for the purpose of consummating a business combination. Innventure, Inc. and its subsidiaries is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successor to Innventure LLC following the Business Combination and is a Delaware corporation, whose common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 is listed and traded on the Nasdaq Global Market (“Nasdaq”). Following the Business Combination,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continues the business of Innventure LLC. The information provided in this prospectus reflects two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distinct periods, the period up to the Closing Date labeled as the Predecessor and the period including and after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date labeled as the Successor. The Business Combination was accounted for using the acquisition method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accounting and the Successor financial statements reflect a new basis of accounting that is based on the fair value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net assets acquired. As a result of the application of the acquisition method of accounting as of the Closing Date,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accompanying Consolidated Financial Statements include a black line division which indicates that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Predecessor and Successor reporting entities shown are presented on a different basis and are therefore, not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comparable.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2. Accounting Policies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Basis of Presentation</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consolidated 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Company are prepared in accordance with U.S. generally accepted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accounting principles (“GAAP”) and in accordance with the rules and regulations of the Securities and Exchange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Commission (“SEC”). The Successor consolidated 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include the accounts of the Company,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wholly owned or majority-owned subsidiaries and entities in which the Company is deemed to have a direct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indirect controlling financial interest based on either a variable interest model or voting interest model.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Predecessor consolidated 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include all amounts of Innventure LLC and its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subsidiaries. All intercompany transactions and balances have been eliminated in consolidation.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F-13</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Reclassifications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amounts reported previously have been reclassified to conform to the current year presentation with no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effect on total stockholders' deficit, or net income as previously reported.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Going Concern</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 the Company had cash balance of $11,119, accumulated deficit of $78,262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working capital deficit of $45,061. During the year ended December 31, 2024, the Company incurred a net loss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$70,093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Successor period from October 2, 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$28,198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Predecessor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 from January 1, 2024 through October 1, 2024. Management believes the Company will continue to incur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losses and negative cash flows from operating activities for the foreseeable future and will need additional capital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debt financing to proceed with its business plans. Additionally, the future value of investments held is unpredictable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subject to market events outside of the Company’s control.</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Subsequent to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the Company secured additional gross proceeds of $925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through Common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Stock issuances as part of the Company’s Standby Equity Purchase Agreement.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Company entered into preferred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 purchase agreements (each, a “Series C Purchase Agreement”, and collectively, the “Series C Purchase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Agreements”) on March 24, 2025 to receive gross proceeds of $2,750. Additionally, the Company converted Related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party notes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into Series C equity, with aggregate principal of $14,000, as discussed in Note 5. Borrowings.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conversion was not determined to be a trouble debt restructuring. Further, the Company entered into a financing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agreement on March 25, 2025 to receive up to $30,000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exchange for convertible debentures, contingent upon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certain reporting requirements. For further details on these events, refer to Note 21. Subsequent Events.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connection with the Company’s assessment of going concern considerations, management has determined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in order to maintain its current level of operations, the Company will require additional working capital from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cash flows from operations, the sale of its capital and/or issuance of debt. The Company intends to obtain additional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financing in the future to proceed with its business plans. If the Company is unable to acquire additional working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capital, it will be required to significantly reduce its current level of operations.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accompanying consolidated 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have been prepared assuming that the Company will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continue as a going concern within one year after the date of the accompanying consolidated 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issued; however, the above conditions raise substantial doubt about the Company’s ability to do so. The consolidated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do not include any adjustments to reflect the possible future effects on the recoverability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classification of assets or the amounts and classifications of liabilities that may result should the Company be unable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continue as a going concern. There can be no assurance that management will be successful in implementing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business plan or that the successful implementation of such business plan will improve our operating results.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Use of Estimates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preparation of consolidated 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conformity with GAAP requires management to make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estimates and assumptions that affect certain reported amounts and disclosures. Management bases its estimates 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historical experience and on various other factors it believes to be reasonable under the circumstances, the results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which form the basis for making judgments about the carrying values of assets and liabilities. Accordingly, actual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results could differ from those estimates.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Fair Value Measurements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measures the fair value of assets and liabilities on a recurring and nonrecurring basis according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 fair value hierarchy that prioritizes the inputs to valuation techniques used to measure fair value and requires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entity to maximize the use of observable inputs and minimize the use of unobservable inputs.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categorizes each of its fair value measurements in one of these three levels based on the lowest level input that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significant to the fair value measurement in its entirety. These levels are: </w:t>
      </w:r>
    </w:p>
    <w:p>
      <w:pPr>
        <w:pStyle w:val="TextBody"/>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Level 1</w:t>
      </w:r>
      <w:r>
        <w:rPr>
          <w:caps w:val="false"/>
          <w:smallCaps w:val="false"/>
          <w:strike w:val="false"/>
          <w:dstrike w:val="false"/>
          <w:sz w:val="24"/>
          <w:u w:val="none"/>
          <w:effect w:val="none"/>
        </w:rPr>
        <w:t xml:space="preserve"> – </w:t>
      </w:r>
      <w:r>
        <w:rPr>
          <w:rFonts w:ascii="Times New Roman;sans-serif" w:hAnsi="Times New Roman;sans-serif"/>
          <w:b w:val="false"/>
          <w:i w:val="false"/>
          <w:caps w:val="false"/>
          <w:smallCaps w:val="false"/>
          <w:strike w:val="false"/>
          <w:dstrike w:val="false"/>
          <w:sz w:val="20"/>
          <w:u w:val="none"/>
          <w:effect w:val="none"/>
        </w:rPr>
        <w:t>Quoted prices in active markets for identical assets or liabilities.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F-14</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Level 2</w:t>
      </w:r>
      <w:r>
        <w:rPr>
          <w:caps w:val="false"/>
          <w:smallCaps w:val="false"/>
          <w:strike w:val="false"/>
          <w:dstrike w:val="false"/>
          <w:sz w:val="24"/>
          <w:u w:val="none"/>
          <w:effect w:val="none"/>
        </w:rPr>
        <w:t xml:space="preserve"> – </w:t>
      </w:r>
      <w:r>
        <w:rPr>
          <w:rFonts w:ascii="Times New Roman;sans-serif" w:hAnsi="Times New Roman;sans-serif"/>
          <w:b w:val="false"/>
          <w:i w:val="false"/>
          <w:caps w:val="false"/>
          <w:smallCaps w:val="false"/>
          <w:strike w:val="false"/>
          <w:dstrike w:val="false"/>
          <w:sz w:val="20"/>
          <w:u w:val="none"/>
          <w:effect w:val="none"/>
        </w:rPr>
        <w:t xml:space="preserve">Observable inputs other than quoted prices in Level 1, such as quoted prices for similar assets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liabilities in active markets; quoted prices in markets that are not active; or other inputs that are observable or can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corroborated by observable market data.</w:t>
      </w:r>
    </w:p>
    <w:p>
      <w:pPr>
        <w:pStyle w:val="TextBody"/>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Level 3</w:t>
      </w:r>
      <w:r>
        <w:rPr>
          <w:caps w:val="false"/>
          <w:smallCaps w:val="false"/>
          <w:strike w:val="false"/>
          <w:dstrike w:val="false"/>
          <w:sz w:val="24"/>
          <w:u w:val="none"/>
          <w:effect w:val="none"/>
        </w:rPr>
        <w:t xml:space="preserve"> – </w:t>
      </w:r>
      <w:r>
        <w:rPr>
          <w:rFonts w:ascii="Times New Roman;sans-serif" w:hAnsi="Times New Roman;sans-serif"/>
          <w:b w:val="false"/>
          <w:i w:val="false"/>
          <w:caps w:val="false"/>
          <w:smallCaps w:val="false"/>
          <w:strike w:val="false"/>
          <w:dstrike w:val="false"/>
          <w:sz w:val="20"/>
          <w:u w:val="none"/>
          <w:effect w:val="none"/>
        </w:rPr>
        <w:t xml:space="preserve">Unobservable inputs that are supported by little or no market activity and reflect management’s best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estimate of what market participants would use in pricing the asset or liability. Consideration is given to the risk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inherent in the valuation technique and the risk inherent in the inputs to the model.</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Investments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Equity Method Investments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Equity method investments are investments where the Company does not consolidate the investee, but can exert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significant influence over the financial and operating policies of the investee.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carrying value of our equity method investments is determined based on amounts invested by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adjusted for the Company’s share in the earnings or losses of each investee, after consideration of contractual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arrangements that govern allocations of income or loss, less distributions received. For investments where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specified allocations of income or loss are different from the allocation of cash from operations and on liquidation,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utilizes the hypothetical liquidation book value method to allocate income or loss from the equity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method investment. The Company evaluates its equity method investments for impairment whenever events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changes in circumstances indicate that the carrying amounts of such investments may not be recoverable.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Cash distributions received as a result of the Company’s share of cumulative earnings are classified as operating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activities. Cash distributions, if any, received that are in excess of the Company’s share of cumulative earnings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losses are classified as investing activities.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Exchange-traded Investments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Exchange-traded equity investments are generally carried at fair value on the consolidated balance sheets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with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changes in the fair value recorded through net income (“FVTNI”) within non-operating income (expense).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Variable Interest and Voting Interest Entities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performs an analysis of its investments to determine if they are either a Variable Interest Entity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(“VIE”) or a Voting Interest Entity (“VOE”). Factors considered in this analysis include the entity’s legal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organization; the entity’s capital structure and sufficiency of equity at risk; the rights of equity investment holders;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contractual involvement with, and economic interest in, the entity; and any related party or de facto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agent implications of the Company’s involvement with the entity. Entities that are determined to be VIEs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if the Company is the primary beneficiary (“PB”) of the entity. If the Company is not deemed to be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PB of a VIE, the Company accounts for the investment or other variable interests in a VIE as either an equity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method investment or other investment, as applicable. VOEs are typically consolidated if the Company holds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majority voting interest.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Upon the occurrence of certain events (such as changes in the investment or the governance structure),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management reviews and reconsiders its previous conclusion regarding the status of an entity as a VIE or VOE,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when applicable, whether the Company continues to qualify as the PB of a VIE. Refer to Note 3. Investments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further discussion on investments in VIEs.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Impairments of Investments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Management periodically assesses equity method investments for impairment. If impairment exists,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impairment charge would be recorded for the excess of the carrying amount of the investment over its estimated fair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value in the consolidated statements of operations and comprehensive income (loss).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Impairment evaluation considers qualitative factors, including the financial conditions and specific events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related to an investee, that may indicate the fair value of the investment is less than its carrying value.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F-15</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Available-for-Sale Investments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Available-for-sale (“AFS”) debt securities are generally reported at estimated fair value, with unrealized gains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losses recorded in accumulated other comprehensive loss which is included within stockholders’ deficit. AFS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debt securities with an amortized cost basis in excess of estimated fair value are assessed to determine what amount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that difference, if any, is caused by expected credit losses. Allowance for credit losses on AFS debt securities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recognized as a charge in other loss on our consolidated statements of income, and any remaining unrealized losses,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net of taxes, are included in accumulated other comprehensive income (loss) in stockholders' equity.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Cash, Cash Equivalents and Restricted Cash</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Cash and cash equivalents primarily consist of cash, money market funds and short-term highly liquid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investments with original maturities of three months or less. The Company has concentrated credit risk for cash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cash equivalents by maintaining deposits in banks, which may, at times, exceed amounts covered by insurance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provided by the US Federal Deposit Insurance Corporation and management continues to monitor the financial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condition of the major financial institutions where these funds are held.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Cash that is restricted and not available for general operations is considered restricted cash. The Company's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restricted cash is related to cash received through the Company's Class B Preferred Units capital raise and held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escrow prior to finalization of the Class B Preferred Units investment.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2023,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 had restricted cash related to the capital raise of $—</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$100, respectively.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Additionally, the Company maintains certain compensating balances that may be withdrawn, but the availability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short-term lines of credit is dependent upon the maintenance of such compensating balances. As of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2023, the Company had compensating balances of $100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$300, respectively.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Inventory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Inventories are stated at the lower of cost or net realizable value. Cost is determined principally under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average cost method.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Property, Plant and Equipment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Property, plant and equipment is recorded at cost less accumulated depreciation. The Company depreciates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cost of property, plant and equipment using the straight-line method with depreciable lives of 10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Machinery &amp; equipment, 3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Computers &amp; office equipment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the lesser of useful life or lease terms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Leasehold improvements. The Company expenses normal maintenance and repair costs as incurred.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Impairment of Long-Lived Assets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assesses its property, plant and equipment and other long lived assets for impairment whenever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events or changes in circumstances indicate the carrying amount of an asset may not be recoverable.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recoverability of assets to be held and used is measured by comparing the carrying amount of an asset to the future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undiscounted net cash flows expected to be generated by the asset. In the event such an asset is considered impaired,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impairment to be recognized is measured by the amount by which the carrying value of the asset exceeds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estimated fair value of the asset. If such assets are not impaired, but their useful lives have decreased, the remaining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net book value is depreciated over the revised useful life. Assets to be disposed of are reported at the lower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carrying value of estimated fair value less estimated costs to sell.</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Intangible Assets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Intangible assets with finite lives are amortized over their estimated useful lives and reviewed for impairment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whenever events or other changes in circumstances indicate that the carrying amount may not be recoverable.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If required, recoverability of these assets is determined by comparison of their carrying value to the estimated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future undiscounted cash flows the assets are expected to generate over their remaining estimated useful lives. If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such assets are considered to be impaired, the impairment to be recognized in earnings equals the amount by which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F-16</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carrying value of the assets exceeds their estimated fair value determined by either a quoted market price, if 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or a value determined by utilizing a discounted cash flow technique.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Goodwill</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Goodwill reflects the excess purchase price over the fair value of net tangible and intangible assets acquired in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business combination.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Goodwill is evaluated for impairment annually, or more frequently if circumstances indicate a possible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impairment. The Company compares the fair value of its reporting unit to its carrying value. If the carrying value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net assets assigned to the reporting unit exceeds the fair value of its reporting unit, the Company would record an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impairment loss equal to the difference. The Company operates in one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operating segment which the Company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considers to be its only reporting unit. There were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impairments of goodwill recognized for the year ended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December 31, 2024.</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Stock and Warrants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 may be classified as a liability, temporary capital (i.e., mezzanine capital) or permanent stockholders'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equity. In order to determine the appropriate classification, an evaluation of the cash redemption and other features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 required. Where there exists an absolute right of redemption presently or in the future, the units in question would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 classified as a liability. If units are contingently redeemable upon the occurrence of an event that is outside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issuer’s control, the units are classified as mezzanine capital. The probability that the redemption event will occur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irrelevant. If no redemption features exist, or if a contingent redemption feature is within the Company’s control,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capital unit would be considered permanent stockholders' equity.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accounts for warrants to acquire stock as either equity-classified or liability-classified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instruments based on an assessment of the warrant’s specific terms. In order to determine the appropriate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classification, consideration is given as to whether the warrants are indexed to the Company’s own common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whether the warrant holders could potentially require net cash settlement in a circumstance outside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Company’s control, among other conditions. This assessment requires the use of judgement and is conducted at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time of warrant issuance and as of each reconsideration and balance sheet date while the warrants are outstanding.</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issued or modified warrants that meet all of the criteria for stockholders' equity classification, the warrants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are recorded as a component of additional paid-in capital at fair value at the time of issuance. For issued or modified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warrants that do not meet all of the criteria for stockholders' equity classification, the warrants are recorded as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liability at their initial fair value on the date of issuance and remeasured at fair value as of each reconsideration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balance sheet date thereafter. The change in fair value is recognized in the Company’s consolidated statements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operations and comprehensive income (loss).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Revenue Recognition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product sales arrangements contain performance obligations satisfied at a point in time when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control of the product transfers to the customer, based on the contractual terms. This typically occurs when title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risk and rewards of ownership have transferred to the customer. Revenue is recorded net of sales taxes, discounts,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expected returns. Sales discounts and other incentives are treated as variable consideration when estimating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revenue to be recognized.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earns management fees, consulting revenue and carried interest allocations from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advisory services it provides to its customers. The Company considers the investment advisory services represent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single performance obligation. Management fees, generally 1-2%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capital committed to the ESG Fund I, L.P.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ESG Fund”), are recognized over time using the time-elapsed method, resulting in straight-line revenue recognition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over the performance period. These fees are calculated and paid quarterly in advance based on the capital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commitments at the start of each quarter. Management fees are considered variable consideration but are typically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fully recognized at the end of each reporting period as they are not subject to clawback. Carried interest allocations,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typically 10-20%, are recognized based on cumulative fund performance and are subject to achieving minimum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F-17</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return levels, usually 8%. These allocations are considered variable consideration and are recognized when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significant reversal is no longer probable.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Stock-Based Compensation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participates in multiple stock-based compensation plans which are further discussed in Note 14.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Stock-based Compensation.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fair value of stock-based awards is measured on the grant date of the award and recognized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compensation expense over the period of service that generally coincides with the vesting period of the award.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Service-based awards vest over the period defined in each individual grant agreement. For equity awards with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graded vesting schedule, compensation cost is recognized on a straight-line basis over the requisite service period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entire award.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Expense related to grants of stock-based awards is included in the respective expense category in which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employee serves in the consolidated statements of operations and comprehensive income (loss).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recognizes forfeitures as they occur.</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Income Taxes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Prior to the Business Combination, Innventure LLC qualified as a partnership for federal income tax purposes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consolidated financial results with corporate subsidiaries within the financial statements. Consequently, federal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income taxes were not payable or provided by Innventure LLC but various corporate subsidiaries were subject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corporate federal, state, and local taxes. There was no federal income tax recorded by Innventure LLC for the year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ended December 31, 2023, but corporate income taxes were recorded for the period from January 1, 2024 through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October 1, 2024.</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October 2, 2024, the Business Combination occurred which merged Innventure LLC into Innventure Merger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 LLC, a wholly owned subsidiary of the Company. The Company became a publicly traded entity and is being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taxed as a corporation. The Company accounts for income taxes pursuant to the asset and liability method of ASC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740, Income Taxes, which requires the recognition of current tax liabilities or receivables for the amount of taxes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are estimated as payable or refundable for the current year, and deferred tax assets and liabilities for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expected future tax consequences attributable to temporary differences between the financial statement carrying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amounts and their respective tax bases of assets and liabilities and the expected benefits of net operating loss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credit carryforwards. Deferred tax assets and liabilities are measured using enacted tax rates expected to apply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taxable income in the years in which those temporary differences are expected to be recovered or settled. The effect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deferred tax assets and liabilities of a change in tax rates is recognized in operations in the period enacted.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valuation allowance is provided when it is more likely than not that a portion or all of a deferred tax asset will not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realized. The ultimate realization of deferred tax assets is dependent upon the generation of future taxable income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the reversal of deferred tax liabilities during the period in which related temporary differences become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deductible.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follows the provisions of ASC 740-10 related to the accounting for uncertainty in income taxes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recognized in an enterprise’s financial statements. ASC 740-10 prescribes a comprehensive model for the financial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statement recognition, measurement, presentation and disclosure of uncertain tax positions taken or expected to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taken in income tax returns. The benefit of tax positions taken or expected to be taken in our income tax returns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recognized in the financial statements if such positions are more likely than not of being sustained upon examination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by taxing authorities. Differences between tax positions taken or expected to be taken in a tax return and the benefit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recognized and measured pursuant to the interpretation are referred to as “unrecognized benefits”. A liability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recognized (or amount of net operating loss carryover or amount of tax refundable is reduced) for an unrecognized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tax benefit because it represents an enterprise’s potential future obligation to the taxing authority for a tax position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was not recognized as a result of applying the provisions of ASC 740-10. Interest costs and related penalties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related to unrecognized tax benefits are required to be calculated, if applicable.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2023,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 liability for unrecognized tax benefits was required to be reported. The Company does not expect any significant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changes in unrecognized tax benefits in the next year.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F-18</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Recently Adopted Accounting Pronouncements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In June 2022, the FASB issued ASU 2022-03, </w:t>
      </w:r>
      <w:r>
        <w:rPr>
          <w:rFonts w:ascii="Times New Roman;sans-serif" w:hAnsi="Times New Roman;sans-serif"/>
          <w:b w:val="false"/>
          <w:i/>
          <w:strike w:val="false"/>
          <w:dstrike w:val="false"/>
          <w:sz w:val="20"/>
          <w:u w:val="none"/>
          <w:effect w:val="none"/>
        </w:rPr>
        <w:t xml:space="preserve">Fair Value Measurement (Topic 820): Fair Value Measurement </w:t>
      </w:r>
    </w:p>
    <w:p>
      <w:pPr>
        <w:pStyle w:val="TextBody"/>
        <w:bidi w:val="0"/>
        <w:spacing w:lineRule="atLeast" w:line="200" w:before="0" w:after="0"/>
        <w:jc w:val="left"/>
        <w:rPr>
          <w:sz w:val="24"/>
        </w:rPr>
      </w:pPr>
      <w:r>
        <w:rPr>
          <w:rFonts w:ascii="Times New Roman;sans-serif" w:hAnsi="Times New Roman;sans-serif"/>
          <w:b w:val="false"/>
          <w:i/>
          <w:strike w:val="false"/>
          <w:dstrike w:val="false"/>
          <w:sz w:val="20"/>
          <w:u w:val="none"/>
          <w:effect w:val="none"/>
        </w:rPr>
        <w:t>of Equity Securities Subject to Contractual Sale Restrictions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("ASU 2022-03"). ASU 2022-03 clarifies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contractual sale restrictions should not be considered in measuring the fair value of equity securities. ASU 2022-03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 effective for fiscal years beginning after December 15, 2023, including interim periods therein, with early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adoption permitted. The Company adopted this ASU on January 1, 2024, and the adoption did not have a material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impact on the Company’s consolidated financial statements.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In November 2023, the FASB issued ASU 2023-07, </w:t>
      </w:r>
      <w:r>
        <w:rPr>
          <w:rFonts w:ascii="Times New Roman;sans-serif" w:hAnsi="Times New Roman;sans-serif"/>
          <w:b w:val="false"/>
          <w:i/>
          <w:strike w:val="false"/>
          <w:dstrike w:val="false"/>
          <w:sz w:val="20"/>
          <w:u w:val="none"/>
          <w:effect w:val="none"/>
        </w:rPr>
        <w:t xml:space="preserve">Segment Reporting (Topic 280): Improvements to </w:t>
      </w:r>
    </w:p>
    <w:p>
      <w:pPr>
        <w:pStyle w:val="TextBody"/>
        <w:bidi w:val="0"/>
        <w:spacing w:lineRule="atLeast" w:line="200" w:before="0" w:after="0"/>
        <w:jc w:val="left"/>
        <w:rPr>
          <w:sz w:val="24"/>
        </w:rPr>
      </w:pPr>
      <w:r>
        <w:rPr>
          <w:rFonts w:ascii="Times New Roman;sans-serif" w:hAnsi="Times New Roman;sans-serif"/>
          <w:b w:val="false"/>
          <w:i/>
          <w:strike w:val="false"/>
          <w:dstrike w:val="false"/>
          <w:sz w:val="20"/>
          <w:u w:val="none"/>
          <w:effect w:val="none"/>
        </w:rPr>
        <w:t>Reportable Segment Disclosures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("ASU 2023-07"), which enhances prior reportable segment disclosure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requirements in part by requiring entities to disclose significant expenses related to their reportable segments.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amendments in ASU 2023-07 are effective on a retrospective basis for annual periods beginning after December 15,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2023 and interim periods within fiscal years beginning after December 15, 2024. The Company has made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required disclosures related to this ASU within Note 20. Business Segment Data.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Recently Issued But Not Yet Adopted Accounting Standards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In October 2023, the FASB issued ASU 2023-06, </w:t>
      </w:r>
      <w:r>
        <w:rPr>
          <w:rFonts w:ascii="Times New Roman;sans-serif" w:hAnsi="Times New Roman;sans-serif"/>
          <w:b w:val="false"/>
          <w:i/>
          <w:strike w:val="false"/>
          <w:dstrike w:val="false"/>
          <w:sz w:val="20"/>
          <w:u w:val="none"/>
          <w:effect w:val="none"/>
        </w:rPr>
        <w:t xml:space="preserve">Disclosure Improvements: Codification Amendments in </w:t>
      </w:r>
    </w:p>
    <w:p>
      <w:pPr>
        <w:pStyle w:val="TextBody"/>
        <w:bidi w:val="0"/>
        <w:spacing w:lineRule="atLeast" w:line="200" w:before="0" w:after="0"/>
        <w:jc w:val="left"/>
        <w:rPr>
          <w:sz w:val="24"/>
        </w:rPr>
      </w:pPr>
      <w:r>
        <w:rPr>
          <w:rFonts w:ascii="Times New Roman;sans-serif" w:hAnsi="Times New Roman;sans-serif"/>
          <w:b w:val="false"/>
          <w:i/>
          <w:strike w:val="false"/>
          <w:dstrike w:val="false"/>
          <w:sz w:val="20"/>
          <w:u w:val="none"/>
          <w:effect w:val="none"/>
        </w:rPr>
        <w:t>Response to the SEC’s Disclosure Update and Simplification Initiative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(“ASU 2023-06”). This standard modifies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disclosure or presentation requirements of a variety of topics and aligns requirements with the SEC’s existing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disclosure requirements. ASU 2023-06 is effective on the date each amendment is removed from Regulation S-X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Regulation S-K with early adoption prohibited. The Company will monitor the removal of various requirements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from the current regulations in order to determine when to adopt the related amendments, but does not anticipate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adoption of the new guidance will have a material impact on the Company’s consolidated financial statements.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Company will continue to evaluate the impact of this guidance on its consolidated financial statements.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In December 2023, the FASB issued ASU 2023-09, </w:t>
      </w:r>
      <w:r>
        <w:rPr>
          <w:rFonts w:ascii="Times New Roman;sans-serif" w:hAnsi="Times New Roman;sans-serif"/>
          <w:b w:val="false"/>
          <w:i/>
          <w:strike w:val="false"/>
          <w:dstrike w:val="false"/>
          <w:sz w:val="20"/>
          <w:u w:val="none"/>
          <w:effect w:val="none"/>
        </w:rPr>
        <w:t xml:space="preserve">Income Taxes (Topic 740): Improvements to Income Tax </w:t>
      </w:r>
    </w:p>
    <w:p>
      <w:pPr>
        <w:pStyle w:val="TextBody"/>
        <w:bidi w:val="0"/>
        <w:spacing w:lineRule="atLeast" w:line="200" w:before="0" w:after="0"/>
        <w:jc w:val="left"/>
        <w:rPr>
          <w:sz w:val="24"/>
        </w:rPr>
      </w:pPr>
      <w:r>
        <w:rPr>
          <w:rFonts w:ascii="Times New Roman;sans-serif" w:hAnsi="Times New Roman;sans-serif"/>
          <w:b w:val="false"/>
          <w:i/>
          <w:strike w:val="false"/>
          <w:dstrike w:val="false"/>
          <w:sz w:val="20"/>
          <w:u w:val="none"/>
          <w:effect w:val="none"/>
        </w:rPr>
        <w:t>Disclosures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("ASU 2023-09"), which requires disaggregated information about a reporting entity's effective tax rate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reconciliation as well as information on income taxes paid to enhance the transparency and decision usefulness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income tax disclosures. The amendments in this ASU are effective for annual periods beginning after December 15,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2024 on a prospective basis. The Company is currently evaluating the impact that the adoption of this accounting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standard will have on its consolidated financial statements.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In November 2024, the FASB issued ASU 2024-03, </w:t>
      </w:r>
      <w:r>
        <w:rPr>
          <w:rFonts w:ascii="Times New Roman;sans-serif" w:hAnsi="Times New Roman;sans-serif"/>
          <w:b w:val="false"/>
          <w:i/>
          <w:strike w:val="false"/>
          <w:dstrike w:val="false"/>
          <w:sz w:val="20"/>
          <w:u w:val="none"/>
          <w:effect w:val="none"/>
        </w:rPr>
        <w:t xml:space="preserve">Income Statement - Reporting Comprehensive Income - </w:t>
      </w:r>
    </w:p>
    <w:p>
      <w:pPr>
        <w:pStyle w:val="TextBody"/>
        <w:bidi w:val="0"/>
        <w:spacing w:lineRule="atLeast" w:line="200" w:before="0" w:after="0"/>
        <w:jc w:val="left"/>
        <w:rPr>
          <w:sz w:val="24"/>
        </w:rPr>
      </w:pPr>
      <w:r>
        <w:rPr>
          <w:rFonts w:ascii="Times New Roman;sans-serif" w:hAnsi="Times New Roman;sans-serif"/>
          <w:b w:val="false"/>
          <w:i/>
          <w:strike w:val="false"/>
          <w:dstrike w:val="false"/>
          <w:sz w:val="20"/>
          <w:u w:val="none"/>
          <w:effect w:val="none"/>
        </w:rPr>
        <w:t>Expense Disaggregation Disclosures (Subtopic 220-40): Disaggregation of Income Statement Expenses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("ASU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2024-03"). In January 2025, the FASB issued Clarifying the Effective Date (“ASU 2025-01”) to add some clarity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around the effective date of the guidance. ASU 2024-03 requires disclosures about specific types of expenses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included in the expense captions presented on the face of the income statement as well as disclosures about selling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expenses. The new standard is effective for fiscal years beginning after December 15, 2026, and for interim periods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within fiscal years beginning after December 15, 2027. Early adoption is permitted. The amendments may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applied either prospectively, to financial statements issued after the effective date, or retrospectively, to all prior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periods presented. The Company is currently evaluating the impact that the adoption of this accounting standard will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3. Investments</w:t>
      </w:r>
    </w:p>
    <w:tbl>
      <w:tblPr>
        <w:tblW w:w="8966" w:type="dxa"/>
        <w:jc w:val="left"/>
        <w:tblInd w:w="0" w:type="dxa"/>
        <w:tblLayout w:type="fixed"/>
        <w:tblCellMar>
          <w:top w:w="28" w:type="dxa"/>
          <w:left w:w="28" w:type="dxa"/>
          <w:bottom w:w="28" w:type="dxa"/>
          <w:right w:w="28" w:type="dxa"/>
        </w:tblCellMar>
      </w:tblPr>
      <w:tblGrid>
        <w:gridCol w:w="6421"/>
        <w:gridCol w:w="1141"/>
        <w:gridCol w:w="109"/>
        <w:gridCol w:w="109"/>
        <w:gridCol w:w="1186"/>
      </w:tblGrid>
      <w:tr>
        <w:trPr/>
        <w:tc>
          <w:tcPr>
            <w:tcW w:w="642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421"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6421"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4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Equity-method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$17,547</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$4,482</w:t>
            </w:r>
          </w:p>
        </w:tc>
      </w:tr>
      <w:tr>
        <w:trPr/>
        <w:tc>
          <w:tcPr>
            <w:tcW w:w="64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Exchange-traded investments at fair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9,685</w:t>
            </w:r>
          </w:p>
        </w:tc>
      </w:tr>
      <w:tr>
        <w:trPr/>
        <w:tc>
          <w:tcPr>
            <w:tcW w:w="64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 in debt securities - AFS</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11,187</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21"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Total Investments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$28,734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$14,167</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F-19</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Equity-method investments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ESG Fund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During the Predecessor period, the Company’s equity-method investment in the ESG Fund reflects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Company’s general partner interest which represents approximately 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ESG Fund’s total capital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commitments and limited partner interests which were received in exchange for shares of Innventure LLC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Accelsius Holdings LLC prior to October 1, 2024. As of December 31, 2024, the Company’s equity-method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in the ESG Fund solely reflects interests held by the Company as a limited partner due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deconsolidation of certain SILOs as further discussed in Note 8. The Predecessor period general partner interest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not consolidated because the ESG Fund is not considered a VIE and the Company does not hold a controlling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financial interest in the ESG Fund under the VOE model. The ESG Fund is an investment company that follows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specialized basis of accounting established by GAAP. The Company’s partnership interests in the ESG Fund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substantially illiquid. While the ESG Fund’s holdings are accounted for at fair value, the equity-method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ESG Fund is adjusted to reflect the fair value of the underlying investments of the ESG Fund as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2023. The fair value of the underlying investments in the ESG Fund is based 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Company’s assessment, which takes into account expected cash flows, earnings multiples and/or comparisons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similar market transactions, among other factors. Valuation adjustments reflecting consideration of credit quality,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concentration risk, sales restrictions and other liquidity factors are integral to valuing these instruments.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AeroFlexx</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determined that AeroFlexx has insufficient equity at risk to fund its operations, as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therefore will meet the definition of a VIE. The Company does not have power to direct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AeroFlexx's operations. AeroFlexx’s core operations are not closely associated with the Company and it was not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created specifically to provide substantially all benefits to Innventure. Therefore, the Company is not considered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primary beneficiary and does not consolidate AeroFlexx as a VIE. The Company accounts for its investments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AeroFlexx under the equity method and held a 34%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31%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interest in AeroFlexx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2023, respectively.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Company’s carrying amounts and maximum exposure relating to AeroFlexx, were as follows:</w:t>
      </w:r>
    </w:p>
    <w:tbl>
      <w:tblPr>
        <w:tblW w:w="8751" w:type="dxa"/>
        <w:jc w:val="left"/>
        <w:tblInd w:w="0" w:type="dxa"/>
        <w:tblLayout w:type="fixed"/>
        <w:tblCellMar>
          <w:top w:w="28" w:type="dxa"/>
          <w:left w:w="28" w:type="dxa"/>
          <w:bottom w:w="28" w:type="dxa"/>
          <w:right w:w="28" w:type="dxa"/>
        </w:tblCellMar>
      </w:tblPr>
      <w:tblGrid>
        <w:gridCol w:w="3946"/>
        <w:gridCol w:w="109"/>
        <w:gridCol w:w="826"/>
        <w:gridCol w:w="109"/>
        <w:gridCol w:w="1336"/>
        <w:gridCol w:w="109"/>
        <w:gridCol w:w="826"/>
        <w:gridCol w:w="109"/>
        <w:gridCol w:w="1381"/>
      </w:tblGrid>
      <w:tr>
        <w:trPr/>
        <w:tc>
          <w:tcPr>
            <w:tcW w:w="3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231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3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31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w:t>
            </w:r>
          </w:p>
        </w:tc>
      </w:tr>
      <w:tr>
        <w:trPr/>
        <w:tc>
          <w:tcPr>
            <w:tcW w:w="39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Asset type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Carrying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Maximum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Exposure to Loss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Carrying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Maximum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Exposure to Loss</w:t>
            </w:r>
          </w:p>
        </w:tc>
      </w:tr>
      <w:tr>
        <w:trPr/>
        <w:tc>
          <w:tcPr>
            <w:tcW w:w="3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investment in AeroFlexx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$16,930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$16,930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$1,570</w:t>
            </w:r>
          </w:p>
        </w:tc>
      </w:tr>
      <w:tr>
        <w:trPr/>
        <w:tc>
          <w:tcPr>
            <w:tcW w:w="39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Investments in debt securities - AFS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Due from related party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2,600</w:t>
            </w:r>
          </w:p>
        </w:tc>
      </w:tr>
      <w:tr>
        <w:trPr/>
        <w:tc>
          <w:tcPr>
            <w:tcW w:w="3946"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Total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$32,589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$32,589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$4,170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$4,170</w:t>
            </w:r>
          </w:p>
        </w:tc>
      </w:tr>
    </w:tbl>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Summarized financial information:</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Balance sheets</w:t>
      </w:r>
    </w:p>
    <w:tbl>
      <w:tblPr>
        <w:tblW w:w="7442" w:type="dxa"/>
        <w:jc w:val="left"/>
        <w:tblInd w:w="0" w:type="dxa"/>
        <w:tblLayout w:type="fixed"/>
        <w:tblCellMar>
          <w:top w:w="28" w:type="dxa"/>
          <w:left w:w="28" w:type="dxa"/>
          <w:bottom w:w="28" w:type="dxa"/>
          <w:right w:w="28" w:type="dxa"/>
        </w:tblCellMar>
      </w:tblPr>
      <w:tblGrid>
        <w:gridCol w:w="3826"/>
        <w:gridCol w:w="781"/>
        <w:gridCol w:w="109"/>
        <w:gridCol w:w="781"/>
        <w:gridCol w:w="109"/>
        <w:gridCol w:w="901"/>
        <w:gridCol w:w="109"/>
        <w:gridCol w:w="826"/>
      </w:tblGrid>
      <w:tr>
        <w:trPr/>
        <w:tc>
          <w:tcPr>
            <w:tcW w:w="38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283"/>
              <w:jc w:val="left"/>
              <w:rPr>
                <w:sz w:val="4"/>
                <w:szCs w:val="4"/>
              </w:rPr>
            </w:pPr>
            <w:r>
              <w:rPr>
                <w:sz w:val="4"/>
                <w:szCs w:val="4"/>
              </w:rPr>
            </w:r>
          </w:p>
        </w:tc>
        <w:tc>
          <w:tcPr>
            <w:tcW w:w="167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ESG Fund</w:t>
            </w:r>
          </w:p>
        </w:tc>
        <w:tc>
          <w:tcPr>
            <w:tcW w:w="109" w:type="dxa"/>
            <w:tcBorders/>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AeroFlexx</w:t>
            </w:r>
          </w:p>
        </w:tc>
      </w:tr>
      <w:tr>
        <w:trPr/>
        <w:tc>
          <w:tcPr>
            <w:tcW w:w="3826" w:type="dxa"/>
            <w:tcBorders/>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3826"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38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$58,022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$17,002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$10,780</w:t>
            </w:r>
          </w:p>
        </w:tc>
      </w:tr>
      <w:tr>
        <w:trPr/>
        <w:tc>
          <w:tcPr>
            <w:tcW w:w="382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27,861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8,031</w:t>
            </w:r>
          </w:p>
        </w:tc>
      </w:tr>
      <w:tr>
        <w:trPr/>
        <w:tc>
          <w:tcPr>
            <w:tcW w:w="38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Equity (Deficit)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$57,915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$2,749</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F-20</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Statements of operation</w:t>
      </w:r>
    </w:p>
    <w:tbl>
      <w:tblPr>
        <w:tblW w:w="7968" w:type="dxa"/>
        <w:jc w:val="left"/>
        <w:tblInd w:w="0" w:type="dxa"/>
        <w:tblLayout w:type="fixed"/>
        <w:tblCellMar>
          <w:top w:w="28" w:type="dxa"/>
          <w:left w:w="28" w:type="dxa"/>
          <w:bottom w:w="28" w:type="dxa"/>
          <w:right w:w="28" w:type="dxa"/>
        </w:tblCellMar>
      </w:tblPr>
      <w:tblGrid>
        <w:gridCol w:w="3766"/>
        <w:gridCol w:w="938"/>
        <w:gridCol w:w="130"/>
        <w:gridCol w:w="956"/>
        <w:gridCol w:w="109"/>
        <w:gridCol w:w="1008"/>
        <w:gridCol w:w="121"/>
        <w:gridCol w:w="940"/>
      </w:tblGrid>
      <w:tr>
        <w:trPr/>
        <w:tc>
          <w:tcPr>
            <w:tcW w:w="37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jc w:val="left"/>
              <w:rPr>
                <w:sz w:val="4"/>
                <w:szCs w:val="4"/>
              </w:rPr>
            </w:pPr>
            <w:r>
              <w:rPr>
                <w:sz w:val="4"/>
                <w:szCs w:val="4"/>
              </w:rPr>
            </w:r>
          </w:p>
        </w:tc>
        <w:tc>
          <w:tcPr>
            <w:tcW w:w="202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ESG Fund</w:t>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AeroFlexx</w:t>
            </w:r>
          </w:p>
        </w:tc>
      </w:tr>
      <w:tr>
        <w:trPr/>
        <w:tc>
          <w:tcPr>
            <w:tcW w:w="3766" w:type="dxa"/>
            <w:tcBorders/>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Years ended December 31,</w:t>
            </w:r>
          </w:p>
        </w:tc>
      </w:tr>
      <w:tr>
        <w:trPr/>
        <w:tc>
          <w:tcPr>
            <w:tcW w:w="3766" w:type="dxa"/>
            <w:tcBorders/>
            <w:vAlign w:val="center"/>
          </w:tcPr>
          <w:p>
            <w:pPr>
              <w:pStyle w:val="TableContents"/>
              <w:bidi w:val="0"/>
              <w:spacing w:before="0" w:after="283"/>
              <w:jc w:val="left"/>
              <w:rPr>
                <w:sz w:val="4"/>
                <w:szCs w:val="4"/>
              </w:rPr>
            </w:pPr>
            <w:r>
              <w:rPr>
                <w:sz w:val="4"/>
                <w:szCs w:val="4"/>
              </w:rPr>
            </w:r>
          </w:p>
        </w:tc>
        <w:tc>
          <w:tcPr>
            <w:tcW w:w="93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37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Revenue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$202</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r>
      <w:tr>
        <w:trPr/>
        <w:tc>
          <w:tcPr>
            <w:tcW w:w="37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Gross (Loss) Profit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(735)</w:t>
            </w:r>
          </w:p>
        </w:tc>
        <w:tc>
          <w:tcPr>
            <w:tcW w:w="130" w:type="dxa"/>
            <w:tcBorders/>
            <w:shd w:fill="FFFFFF" w:val="clear"/>
            <w:vAlign w:val="center"/>
          </w:tcPr>
          <w:p>
            <w:pPr>
              <w:pStyle w:val="TableContents"/>
              <w:bidi w:val="0"/>
              <w:spacing w:before="0" w:after="283"/>
              <w:jc w:val="left"/>
              <w:rPr>
                <w:sz w:val="4"/>
                <w:szCs w:val="4"/>
              </w:rPr>
            </w:pPr>
            <w:r>
              <w:rPr>
                <w:sz w:val="4"/>
                <w:szCs w:val="4"/>
              </w:rPr>
            </w:r>
          </w:p>
        </w:tc>
        <w:tc>
          <w:tcPr>
            <w:tcW w:w="9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w:t>
            </w:r>
          </w:p>
        </w:tc>
        <w:tc>
          <w:tcPr>
            <w:tcW w:w="121" w:type="dxa"/>
            <w:tcBorders/>
            <w:shd w:fill="FFFFFF" w:val="clear"/>
            <w:vAlign w:val="center"/>
          </w:tcPr>
          <w:p>
            <w:pPr>
              <w:pStyle w:val="TableContents"/>
              <w:bidi w:val="0"/>
              <w:spacing w:before="0" w:after="283"/>
              <w:jc w:val="left"/>
              <w:rPr>
                <w:sz w:val="4"/>
                <w:szCs w:val="4"/>
              </w:rPr>
            </w:pPr>
            <w:r>
              <w:rPr>
                <w:sz w:val="4"/>
                <w:szCs w:val="4"/>
              </w:rPr>
            </w:r>
          </w:p>
        </w:tc>
        <w:tc>
          <w:tcPr>
            <w:tcW w:w="94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w:t>
            </w:r>
          </w:p>
        </w:tc>
      </w:tr>
      <w:tr>
        <w:trPr/>
        <w:tc>
          <w:tcPr>
            <w:tcW w:w="37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$39,437</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$(13,663)</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$(8,221)</w:t>
            </w:r>
          </w:p>
        </w:tc>
      </w:tr>
    </w:tbl>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Exchange-traded investments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previously invested in PureCycle Technologies (“PCT”) as the first company formed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partnership with a multinational corporation. In 2021, PCT merged with a special purpose acquisition company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became a publicly-traded entity. The shares of PCT's common stock held by the Company are classified as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Exchange-traded investment at FVTNI. During the Predecessor period from January 1, 2024 through October 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the Company sold 400,000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PCT shares for aggregate net proceeds of $2,302. The PCT shares were measured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at their fair value immediately prior to the transactions. All remaining PCT shares were derecognized as a result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Business Combination.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Investment in debt securities - AFS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July 1, 2024, the Company entered into a loan agreement with AeroFlexx under which the Company will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lend up to $10,000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AeroFlexx. As of July 1, 2024, the aggregate outstanding principal of working capital interest-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free advances to AeroFlexx, amounting to $7,635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were included as outstanding term loans under this agreement.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During the Predecessor period from January 1, 2024 through October 1, 2024, the Company lent AeroFlexx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remaining principal balance of $2,365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under this agreement.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term loans and any unpaid accrued interest are required to be repaid by the maturity date, which is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earlier of (i) December 31, 2026 or (ii) the date of the sale, transfer or other disposition all of AeroFlexx’s assets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AeroFlexx's stock. After any full or partial repayment of the term loans, AeroFlexx may borrow additional funds up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to the $10,000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limit until the maturity date. The loans bear interest at the applicable federal rate published by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Internal Revenue Service and is adjusted on a quarterly basis.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has an option to convert the outstanding principal amount of the term loans and any unpaid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accrued interest into shares or units in connection with the next issuance of equity securities by AeroFlexx, at a price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equal to 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the price per share or unit and on the same terms and conditions as apply to such issuance.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If, by January 1, 2025, AeroFlexx has not raised equity financing equal to or more than a target of $10,000, then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January 2, 2025, the outstanding principal and any unpaid accrued interest on the term loans will automatically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convert into Class D preferred units of AeroFlexx at the same price per unit and on the same terms and conditions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Class D preferred unit of AeroFlexx purchased by the Company prior to the date of this loan agreement, up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amount necessary to reach the $10,000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target.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accounted for the loans as an investment in debt securities and classified them as available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sale debt securities. Based on the AFS classification, the Company records this investment at fair value at each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reporting date and as such recorded the changes in fair value of these loans (including the adjustment to fair value 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inception date) in Other Comprehensive Income ("OCI").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amortized cost, gross unrealized gains and losses, and fair value of AFS debt securities as of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is represented in the table below:</w:t>
      </w:r>
    </w:p>
    <w:tbl>
      <w:tblPr>
        <w:tblW w:w="8487" w:type="dxa"/>
        <w:jc w:val="left"/>
        <w:tblInd w:w="0" w:type="dxa"/>
        <w:tblLayout w:type="fixed"/>
        <w:tblCellMar>
          <w:top w:w="28" w:type="dxa"/>
          <w:left w:w="28" w:type="dxa"/>
          <w:bottom w:w="28" w:type="dxa"/>
          <w:right w:w="28" w:type="dxa"/>
        </w:tblCellMar>
      </w:tblPr>
      <w:tblGrid>
        <w:gridCol w:w="5131"/>
        <w:gridCol w:w="1051"/>
        <w:gridCol w:w="109"/>
        <w:gridCol w:w="1051"/>
        <w:gridCol w:w="109"/>
        <w:gridCol w:w="1036"/>
      </w:tblGrid>
      <w:tr>
        <w:trPr/>
        <w:tc>
          <w:tcPr>
            <w:tcW w:w="513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5131"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Amortized </w:t>
            </w:r>
          </w:p>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unrealized </w:t>
            </w:r>
          </w:p>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gains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Fair value</w:t>
            </w:r>
          </w:p>
        </w:tc>
      </w:tr>
      <w:tr>
        <w:trPr/>
        <w:tc>
          <w:tcPr>
            <w:tcW w:w="51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 in Debt Securities - AFS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$11,187</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F-21</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At December 31, 2024, there was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allowance for credit loss related to the available for sale securities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portfolio. Accrued interest receivable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on available for sale debt securities totaled $216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at December 31, 2024.</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amortized cost and fair value of debt securities, by contractual maturity,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shown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below. Expected maturities can differ from contractual maturities.</w:t>
      </w:r>
    </w:p>
    <w:tbl>
      <w:tblPr>
        <w:tblW w:w="8572" w:type="dxa"/>
        <w:jc w:val="left"/>
        <w:tblInd w:w="0" w:type="dxa"/>
        <w:tblLayout w:type="fixed"/>
        <w:tblCellMar>
          <w:top w:w="28" w:type="dxa"/>
          <w:left w:w="28" w:type="dxa"/>
          <w:bottom w:w="28" w:type="dxa"/>
          <w:right w:w="28" w:type="dxa"/>
        </w:tblCellMar>
      </w:tblPr>
      <w:tblGrid>
        <w:gridCol w:w="6361"/>
        <w:gridCol w:w="1201"/>
        <w:gridCol w:w="109"/>
        <w:gridCol w:w="901"/>
      </w:tblGrid>
      <w:tr>
        <w:trPr/>
        <w:tc>
          <w:tcPr>
            <w:tcW w:w="63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6361"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Amortized cost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w:t>
            </w:r>
          </w:p>
        </w:tc>
      </w:tr>
      <w:tr>
        <w:trPr/>
        <w:tc>
          <w:tcPr>
            <w:tcW w:w="63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Due within one year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3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Due after one year through five years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11,187</w:t>
            </w:r>
          </w:p>
        </w:tc>
      </w:tr>
      <w:tr>
        <w:trPr/>
        <w:tc>
          <w:tcPr>
            <w:tcW w:w="63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Due after five years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61"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$10,278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$11,187</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the contractual maturity of the loan is in 2026, it is included in the non-current line item Investments of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consolidated balance sheets. The change in fair value of this investment in debt securities of $909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period from October 2, 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included as Unrealized gain on available-for-sale debt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securities - related party</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the consolidated statements of operations and comprehensive income (loss). As this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was acquired at fair value as part of the Business Combination there is no activity for the Predecessor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4. Fair Value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Fair Value Hierarchy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tables present the Company’s fair value hierarchy for assets and liabilities measured at fair value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a recurring basis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(Successor) and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(Predecessor): </w:t>
      </w:r>
    </w:p>
    <w:tbl>
      <w:tblPr>
        <w:tblW w:w="8762" w:type="dxa"/>
        <w:jc w:val="left"/>
        <w:tblInd w:w="0" w:type="dxa"/>
        <w:tblLayout w:type="fixed"/>
        <w:tblCellMar>
          <w:top w:w="28" w:type="dxa"/>
          <w:left w:w="28" w:type="dxa"/>
          <w:bottom w:w="28" w:type="dxa"/>
          <w:right w:w="28" w:type="dxa"/>
        </w:tblCellMar>
      </w:tblPr>
      <w:tblGrid>
        <w:gridCol w:w="3931"/>
        <w:gridCol w:w="1216"/>
        <w:gridCol w:w="109"/>
        <w:gridCol w:w="1366"/>
        <w:gridCol w:w="109"/>
        <w:gridCol w:w="1096"/>
        <w:gridCol w:w="109"/>
        <w:gridCol w:w="826"/>
      </w:tblGrid>
      <w:tr>
        <w:trPr/>
        <w:tc>
          <w:tcPr>
            <w:tcW w:w="393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 (Successor)</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Quoted Prices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 Active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Markets for</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Identical Assets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Significant Other</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Observable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Inputs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Significant</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Unobservable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Inputs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tc>
      </w:tr>
      <w:tr>
        <w:trPr/>
        <w:tc>
          <w:tcPr>
            <w:tcW w:w="3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Assets:</w:t>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 in debt security - AFS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$11,187</w:t>
            </w:r>
          </w:p>
        </w:tc>
      </w:tr>
      <w:tr>
        <w:trPr/>
        <w:tc>
          <w:tcPr>
            <w:tcW w:w="3931"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Liabilities:</w:t>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Earnout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14,752</w:t>
            </w:r>
          </w:p>
        </w:tc>
      </w:tr>
      <w:tr>
        <w:trPr/>
        <w:tc>
          <w:tcPr>
            <w:tcW w:w="3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WTI warrant liability</w:t>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17,230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17,230</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Private placement warrant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16,793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16,793</w:t>
            </w:r>
          </w:p>
        </w:tc>
      </w:tr>
    </w:tbl>
    <w:tbl>
      <w:tblPr>
        <w:tblW w:w="8912" w:type="dxa"/>
        <w:jc w:val="left"/>
        <w:tblInd w:w="0" w:type="dxa"/>
        <w:tblLayout w:type="fixed"/>
        <w:tblCellMar>
          <w:top w:w="28" w:type="dxa"/>
          <w:left w:w="28" w:type="dxa"/>
          <w:bottom w:w="28" w:type="dxa"/>
          <w:right w:w="28" w:type="dxa"/>
        </w:tblCellMar>
      </w:tblPr>
      <w:tblGrid>
        <w:gridCol w:w="3961"/>
        <w:gridCol w:w="1351"/>
        <w:gridCol w:w="109"/>
        <w:gridCol w:w="1411"/>
        <w:gridCol w:w="109"/>
        <w:gridCol w:w="1141"/>
        <w:gridCol w:w="109"/>
        <w:gridCol w:w="721"/>
      </w:tblGrid>
      <w:tr>
        <w:trPr/>
        <w:tc>
          <w:tcPr>
            <w:tcW w:w="39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 (Predecessor)</w:t>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Quoted Prices in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Active Markets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for Identical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Assets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Significant Other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Observable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Inputs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Significant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Unobservable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Inputs(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tc>
      </w:tr>
      <w:tr>
        <w:trPr/>
        <w:tc>
          <w:tcPr>
            <w:tcW w:w="3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Assets:</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Exchange-traded investments at FVTNI</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$9,685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$9,685</w:t>
            </w:r>
          </w:p>
        </w:tc>
      </w:tr>
      <w:tr>
        <w:trPr/>
        <w:tc>
          <w:tcPr>
            <w:tcW w:w="396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Liabilities:</w:t>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39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Embedded derivative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$1,994</w:t>
            </w:r>
          </w:p>
        </w:tc>
      </w:tr>
      <w:tr>
        <w:trPr/>
        <w:tc>
          <w:tcPr>
            <w:tcW w:w="3961"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Related party payables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5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w:t>
            </w:r>
          </w:p>
        </w:tc>
      </w:tr>
    </w:tbl>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Gains and losses for such assets and liabilities categorized within the Level 3 table set forth may include changes 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fair value that are attributable to both observable inputs (Levels 1 and 2) and unobservable inputs (Level 3).</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F-22</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Changes in the estimated fair value of Level 3 financial assets and liabilities that are measured on a recurring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basis for the Successor period from October 2, 2024 through December 31, 2024, the Predecessor period from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January 1, 2024 through 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the Predecessor year ended December 31, 2023, respectively, are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follows: </w:t>
      </w:r>
    </w:p>
    <w:tbl>
      <w:tblPr>
        <w:tblW w:w="8467" w:type="dxa"/>
        <w:jc w:val="left"/>
        <w:tblInd w:w="0" w:type="dxa"/>
        <w:tblLayout w:type="fixed"/>
        <w:tblCellMar>
          <w:top w:w="28" w:type="dxa"/>
          <w:left w:w="28" w:type="dxa"/>
          <w:bottom w:w="28" w:type="dxa"/>
          <w:right w:w="28" w:type="dxa"/>
        </w:tblCellMar>
      </w:tblPr>
      <w:tblGrid>
        <w:gridCol w:w="3046"/>
        <w:gridCol w:w="796"/>
        <w:gridCol w:w="109"/>
        <w:gridCol w:w="916"/>
        <w:gridCol w:w="109"/>
        <w:gridCol w:w="1276"/>
        <w:gridCol w:w="109"/>
        <w:gridCol w:w="781"/>
        <w:gridCol w:w="109"/>
        <w:gridCol w:w="1216"/>
      </w:tblGrid>
      <w:tr>
        <w:trPr/>
        <w:tc>
          <w:tcPr>
            <w:tcW w:w="30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Forward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Embedded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Derivative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Liability</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Investment in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debt securities -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AFS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Earnout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Liability</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WTI Warrant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Liability</w:t>
            </w:r>
          </w:p>
        </w:tc>
      </w:tr>
      <w:tr>
        <w:trPr/>
        <w:tc>
          <w:tcPr>
            <w:tcW w:w="304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Balance as of January 1, 2023 </w:t>
            </w:r>
          </w:p>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(Predecessor) </w:t>
            </w:r>
            <w:r>
              <w:rPr>
                <w:rFonts w:ascii="Times New Roman;sans-serif" w:hAnsi="Times New Roman;sans-serif"/>
                <w:b/>
                <w:i w:val="false"/>
                <w:caps w:val="false"/>
                <w:smallCaps w:val="false"/>
                <w:strike w:val="false"/>
                <w:dstrike w:val="false"/>
                <w:color w:val="B4B4B4"/>
                <w:sz w:val="20"/>
                <w:u w:val="none"/>
                <w:effect w:val="none"/>
              </w:rPr>
              <w:t>....................................</w:t>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r>
      <w:tr>
        <w:trPr/>
        <w:tc>
          <w:tcPr>
            <w:tcW w:w="30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Additions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fair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4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Balance as of December 31, 2023 </w:t>
            </w:r>
          </w:p>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(Predecessor)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79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$1,994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r>
      <w:tr>
        <w:trPr/>
        <w:tc>
          <w:tcPr>
            <w:tcW w:w="30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Additions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Settlement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fair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4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Balance as of October 1, 2024 </w:t>
            </w:r>
          </w:p>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(Predecessor)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Balance as of October 2, 2024 </w:t>
            </w:r>
          </w:p>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(Successor)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11,352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Additions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15,690</w:t>
            </w:r>
          </w:p>
        </w:tc>
      </w:tr>
      <w:tr>
        <w:trPr/>
        <w:tc>
          <w:tcPr>
            <w:tcW w:w="30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Settlement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fair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1,540</w:t>
            </w:r>
          </w:p>
        </w:tc>
      </w:tr>
      <w:tr>
        <w:trPr/>
        <w:tc>
          <w:tcPr>
            <w:tcW w:w="30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Balance as of December 31, 2024 </w:t>
            </w:r>
          </w:p>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(Successor)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$11,187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$14,752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$17,230</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There were no transfers in or out of levels during the Successor period from October 2, 2024 through December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31, 2024, the Predecessor period from January 1, 2024 through October 1, 2024, or for the Predecessor year ended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December 31, 2023.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Standby Equity Purchase Agreement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October 24, 2023, the Company entered into the Standby Equity Purchase Agreement (“SEPA”) with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Yorkville, as further described in Note 13. Stockholders' Equity</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with applicable terms defined. The SEPA became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effective concurrently with the Business Combination. The SEPA includes two components subject to fair value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measurement: the Purchased Put Option and Forward Contract. These are considered freestanding financial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instruments not indexed to the Company’s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Purchased Put Option is accounted for as a derivative asset, initially measured at fair value upon Closing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subsequently measured at fair value each reporting period with changes in fair value recorded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statements of operations and comprehensive income (loss). The Purchased Put Option fair value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considered de minimis upon Closing due to the exercise price being at a discount to market prices and remains de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minimis as of December 31, 2024.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Forward Contract is initially measured at fair value upon any Advance Notice and subsequently remeasured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changes in fair value recorded in the consolidated statements of operations and comprehensive income (loss).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derivative liability or asset will be recorded when there is an Advance Notice outstanding as of a reporting period.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There were no outstanding Advance Notices as of  December 31, 2024.</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Derivative Liabilities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Embedded derivative liabilities contained within the 2025 Notes (as defined and further described in Note 5.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Borrowings) are stated at fair value. Fair value is determined utilizing discounted cash flows, using unobservable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F-23</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market data inputs, and an option pricing model based on a probability-weighted expected outcome with respect to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financing or a change of control. The derivatives associated with the 2025 Notes were settled in March 2024 due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conversion of the 2025 Notes in a qualified financing. A summary of the significant unobservable inputs utilized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estimate the fair value is as follows: </w:t>
      </w:r>
    </w:p>
    <w:tbl>
      <w:tblPr>
        <w:tblW w:w="9292" w:type="dxa"/>
        <w:jc w:val="left"/>
        <w:tblInd w:w="0" w:type="dxa"/>
        <w:tblLayout w:type="fixed"/>
        <w:tblCellMar>
          <w:top w:w="28" w:type="dxa"/>
          <w:left w:w="28" w:type="dxa"/>
          <w:bottom w:w="28" w:type="dxa"/>
          <w:right w:w="28" w:type="dxa"/>
        </w:tblCellMar>
      </w:tblPr>
      <w:tblGrid>
        <w:gridCol w:w="6976"/>
        <w:gridCol w:w="1021"/>
        <w:gridCol w:w="109"/>
        <w:gridCol w:w="1186"/>
      </w:tblGrid>
      <w:tr>
        <w:trPr/>
        <w:tc>
          <w:tcPr>
            <w:tcW w:w="69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strike w:val="false"/>
                <w:dstrike w:val="false"/>
                <w:sz w:val="16"/>
                <w:u w:val="none"/>
                <w:effect w:val="none"/>
              </w:rPr>
            </w:pPr>
            <w:r>
              <w:rPr>
                <w:rFonts w:ascii="Times New Roman;sans-serif" w:hAnsi="Times New Roman;sans-serif"/>
                <w:b/>
                <w:i/>
                <w:strike w:val="false"/>
                <w:dstrike w:val="false"/>
                <w:sz w:val="16"/>
                <w:u w:val="none"/>
                <w:effect w:val="none"/>
              </w:rPr>
              <w:t>Embedded derivative within 2025 Note issued August 18, 2022 with a principal balance of $4,000</w:t>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Settlement</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Discount Rate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35%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- 36%</w:t>
            </w:r>
          </w:p>
        </w:tc>
      </w:tr>
      <w:tr>
        <w:trPr/>
        <w:tc>
          <w:tcPr>
            <w:tcW w:w="697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Probability of Expected Outcomes</w:t>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Financing</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w:t>
            </w:r>
          </w:p>
        </w:tc>
      </w:tr>
      <w:tr>
        <w:trPr/>
        <w:tc>
          <w:tcPr>
            <w:tcW w:w="69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control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w:t>
            </w:r>
          </w:p>
        </w:tc>
      </w:tr>
      <w:tr>
        <w:trPr/>
        <w:tc>
          <w:tcPr>
            <w:tcW w:w="69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2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w:t>
            </w:r>
          </w:p>
        </w:tc>
      </w:tr>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6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Embedded derivative within 2025 Notes issued June 7 &amp; July 3, 2023 with an </w:t>
            </w:r>
          </w:p>
          <w:p>
            <w:pPr>
              <w:pStyle w:val="TableContents"/>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aggregate principal balance of $2,000</w:t>
            </w:r>
          </w:p>
        </w:tc>
        <w:tc>
          <w:tcPr>
            <w:tcW w:w="10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Discount Rate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21"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71%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71%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- 88%</w:t>
            </w:r>
          </w:p>
        </w:tc>
      </w:tr>
      <w:tr>
        <w:trPr/>
        <w:tc>
          <w:tcPr>
            <w:tcW w:w="697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Probability of Expected Outcomes</w:t>
            </w:r>
          </w:p>
        </w:tc>
        <w:tc>
          <w:tcPr>
            <w:tcW w:w="10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Financing</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w:t>
            </w:r>
          </w:p>
        </w:tc>
      </w:tr>
      <w:tr>
        <w:trPr/>
        <w:tc>
          <w:tcPr>
            <w:tcW w:w="69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control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2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w:t>
            </w:r>
          </w:p>
        </w:tc>
      </w:tr>
      <w:tr>
        <w:trPr/>
        <w:tc>
          <w:tcPr>
            <w:tcW w:w="69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Significant increases or decreases to any of these inputs would result in a significantly higher or lower liability.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Investment in debt securities - AFS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The investment in debt securities is stated at fair value as described in </w:t>
      </w:r>
      <w:r>
        <w:rPr>
          <w:rFonts w:ascii="Times New Roman;sans-serif" w:hAnsi="Times New Roman;sans-serif"/>
          <w:b/>
          <w:i w:val="false"/>
          <w:caps w:val="false"/>
          <w:smallCaps w:val="false"/>
          <w:strike w:val="false"/>
          <w:dstrike w:val="false"/>
          <w:sz w:val="20"/>
          <w:u w:val="none"/>
          <w:effect w:val="none"/>
        </w:rPr>
        <w:t>Note 3. Investments</w:t>
      </w:r>
      <w:r>
        <w:rPr>
          <w:rFonts w:ascii="Times New Roman;sans-serif" w:hAnsi="Times New Roman;sans-serif"/>
          <w:b w:val="false"/>
          <w:i w:val="false"/>
          <w:caps w:val="false"/>
          <w:smallCaps w:val="false"/>
          <w:strike w:val="false"/>
          <w:dstrike w:val="false"/>
          <w:sz w:val="20"/>
          <w:u w:val="none"/>
          <w:effect w:val="none"/>
        </w:rPr>
        <w:t xml:space="preserve">. The terms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securities are such that they are highly likely to convert into Class D Units of AeroFlexx. The fair value of the debt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securities is estimated on an as-converted basis using a Black-Scholes model incorporating breakpoints upon which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each tranche of AeroFlexx equity participates in distributions. </w:t>
      </w:r>
    </w:p>
    <w:tbl>
      <w:tblPr>
        <w:tblW w:w="8977" w:type="dxa"/>
        <w:jc w:val="left"/>
        <w:tblInd w:w="0" w:type="dxa"/>
        <w:tblLayout w:type="fixed"/>
        <w:tblCellMar>
          <w:top w:w="28" w:type="dxa"/>
          <w:left w:w="28" w:type="dxa"/>
          <w:bottom w:w="28" w:type="dxa"/>
          <w:right w:w="28" w:type="dxa"/>
        </w:tblCellMar>
      </w:tblPr>
      <w:tblGrid>
        <w:gridCol w:w="6391"/>
        <w:gridCol w:w="1291"/>
        <w:gridCol w:w="109"/>
        <w:gridCol w:w="1186"/>
      </w:tblGrid>
      <w:tr>
        <w:trPr/>
        <w:tc>
          <w:tcPr>
            <w:tcW w:w="63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October 2, 2024</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3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Volatility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120.00%</w:t>
            </w:r>
          </w:p>
        </w:tc>
      </w:tr>
      <w:tr>
        <w:trPr/>
        <w:tc>
          <w:tcPr>
            <w:tcW w:w="639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Time to liquidity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 years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 years</w:t>
            </w:r>
          </w:p>
        </w:tc>
      </w:tr>
      <w:tr>
        <w:trPr/>
        <w:tc>
          <w:tcPr>
            <w:tcW w:w="63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Discount for lack of marketability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31.00%</w:t>
            </w:r>
          </w:p>
        </w:tc>
      </w:tr>
      <w:tr>
        <w:trPr/>
        <w:tc>
          <w:tcPr>
            <w:tcW w:w="639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Weighted average cost of capital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45.00%</w:t>
            </w:r>
          </w:p>
        </w:tc>
      </w:tr>
      <w:tr>
        <w:trPr/>
        <w:tc>
          <w:tcPr>
            <w:tcW w:w="63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Risk-free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4.23%</w:t>
            </w:r>
          </w:p>
        </w:tc>
      </w:tr>
    </w:tbl>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Earnout Shares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Upon Closing of the Business Combination, Earnout Shares were issued to previous Innventure Members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contingently issued to Sponsors (as defined and further described in Note 10. Earnout Shares). The fair value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Earnout Shares was determined using a Monte Carlo valuation model that utilizes significant assumptions, including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expected volatility, expected term, and risk-free rate, to determine the probability of achieving common share price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revenue milestones. The shares may vest upon either the achievement of the common share price milestone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revenue or event-based milestone specific to each of three tranches. Specifically, the future stock price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and revenues of Accelsius and AeroFlexx are simulated assuming a Geometric Brownian Motion (GBM)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a risk-neutral framework. The Earnout Share payoff is calculated based on the contractual terms, and then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discounted at the term-matched risk-free rate. The risk-free interest rate was determined by reference to the U.S.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Treasury yield curve for time periods approximately equal to the remaining contractual term of the Earnout Shares.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Discounting conventions of revenue-based milestones are mid-period assuming annual revenue forecasts are earned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F-24</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average at the mid-period of the forecast period. The value of the Earnout Shares is calculated as the average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present value over all future modeled payoffs.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inputs used in simulating the Company’s stock price include, the term, stock price, volatility, risk-free rate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dividend yield. Prior to the Business Combination, the Company never paid or declared dividends, thus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dividend yield is estimated to be 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of December 31, 2024. The following table summarizes the inputs used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simulating the Company’s stock price for purposes of valuing the Earnout Shares:</w:t>
      </w:r>
    </w:p>
    <w:tbl>
      <w:tblPr>
        <w:tblW w:w="8797" w:type="dxa"/>
        <w:jc w:val="left"/>
        <w:tblInd w:w="0" w:type="dxa"/>
        <w:tblLayout w:type="fixed"/>
        <w:tblCellMar>
          <w:top w:w="28" w:type="dxa"/>
          <w:left w:w="28" w:type="dxa"/>
          <w:bottom w:w="28" w:type="dxa"/>
          <w:right w:w="28" w:type="dxa"/>
        </w:tblCellMar>
      </w:tblPr>
      <w:tblGrid>
        <w:gridCol w:w="6211"/>
        <w:gridCol w:w="1291"/>
        <w:gridCol w:w="109"/>
        <w:gridCol w:w="1186"/>
      </w:tblGrid>
      <w:tr>
        <w:trPr/>
        <w:tc>
          <w:tcPr>
            <w:tcW w:w="6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211"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October 2, 2024</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Term</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6.8 years</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Stock price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$13.85</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Volatility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56.00%</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Risk-Free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4.42%</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Dividend Yield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Milestone One and Milestone Two Earnout Shares are equity classified and the Milestone Three Earnout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are liability classified, as further described in Note 10. Earnout Shares. The assumptions used in measuring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fair value of Milestone One and Milestone Three are considered Level 3 inputs, which include weighted average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cost of capital risk premium, operational leverage ratio, revenue risk premium and revenue volatility. </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Milestone One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summarizes the unobservable inputs used in estimating the fair value of the Earnout Shares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based on revenue for Accelsius (Milestone One): </w:t>
      </w:r>
    </w:p>
    <w:tbl>
      <w:tblPr>
        <w:tblW w:w="8852" w:type="dxa"/>
        <w:jc w:val="left"/>
        <w:tblInd w:w="0" w:type="dxa"/>
        <w:tblLayout w:type="fixed"/>
        <w:tblCellMar>
          <w:top w:w="28" w:type="dxa"/>
          <w:left w:w="28" w:type="dxa"/>
          <w:bottom w:w="28" w:type="dxa"/>
          <w:right w:w="28" w:type="dxa"/>
        </w:tblCellMar>
      </w:tblPr>
      <w:tblGrid>
        <w:gridCol w:w="7516"/>
        <w:gridCol w:w="1336"/>
      </w:tblGrid>
      <w:tr>
        <w:trPr/>
        <w:tc>
          <w:tcPr>
            <w:tcW w:w="751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751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October 2, 2024</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Revenue risk premium</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6.10%</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Revenue volatility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44.00%</w:t>
            </w:r>
          </w:p>
        </w:tc>
      </w:tr>
    </w:tbl>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Milestone Two</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Milestone Two is contingent on the Company’s formation of a new subsidiary, in partnership with an MNC,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determined using the Innventure LLC's “DownSelect” process, within the Vesting Period. The probability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achievement based on the Company’s analysis was 98%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on October 2, 2024.</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Milestone Three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summarizes the unobservable inputs used in estimating the fair value of the Earnout Shares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based on revenue for AeroFlexx (Milestone Three): </w:t>
      </w:r>
    </w:p>
    <w:tbl>
      <w:tblPr>
        <w:tblW w:w="8823" w:type="dxa"/>
        <w:jc w:val="left"/>
        <w:tblInd w:w="0" w:type="dxa"/>
        <w:tblLayout w:type="fixed"/>
        <w:tblCellMar>
          <w:top w:w="28" w:type="dxa"/>
          <w:left w:w="28" w:type="dxa"/>
          <w:bottom w:w="28" w:type="dxa"/>
          <w:right w:w="28" w:type="dxa"/>
        </w:tblCellMar>
      </w:tblPr>
      <w:tblGrid>
        <w:gridCol w:w="6346"/>
        <w:gridCol w:w="1291"/>
        <w:gridCol w:w="1186"/>
      </w:tblGrid>
      <w:tr>
        <w:trPr/>
        <w:tc>
          <w:tcPr>
            <w:tcW w:w="63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October 2, 2024</w:t>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Revenue risk premium</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30.60%</w:t>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36.10%</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Revenue volatility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165.00%</w:t>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176.00%</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For further information on the Earnout Shares, refer to Note 10. Earnout Shares.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Warrants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issued freestanding warrants to the WTI Lenders in connection with the WTI Facility (as defined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further described in Note 5. Borrowings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Note 11. Warrants). The fair value measurement of WTI Warrants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 based on unobservable inputs (Level 3 fair value measurement).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F-25</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fair value of the WTI Warrants was determined using a Monte Carlo valuation model in which the future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 price is simulated assuming a GBM in a risk-neutral framework. The model utilizes significant assumptions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including stock price, stock price volatility, and credit spread. The credit spread relates to estimated counterparty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credit risk of Innventure being able to make payments related to the WTI Lenders’ put right, in which the WTI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Lenders may exchange the WTI Warrants for a total cash payment of $15,000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after the four-year</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anniversary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issuance. The risk-free interest rate was determined by reference to the U.S. Treasury yield curve.</w:t>
      </w:r>
    </w:p>
    <w:tbl>
      <w:tblPr>
        <w:tblW w:w="8913" w:type="dxa"/>
        <w:jc w:val="left"/>
        <w:tblInd w:w="0" w:type="dxa"/>
        <w:tblLayout w:type="fixed"/>
        <w:tblCellMar>
          <w:top w:w="28" w:type="dxa"/>
          <w:left w:w="28" w:type="dxa"/>
          <w:bottom w:w="28" w:type="dxa"/>
          <w:right w:w="28" w:type="dxa"/>
        </w:tblCellMar>
      </w:tblPr>
      <w:tblGrid>
        <w:gridCol w:w="6346"/>
        <w:gridCol w:w="1381"/>
        <w:gridCol w:w="1186"/>
      </w:tblGrid>
      <w:tr>
        <w:trPr/>
        <w:tc>
          <w:tcPr>
            <w:tcW w:w="63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October 22, 2024</w:t>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Stock Price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$11.50</w:t>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$13.85</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Stock Price Volatility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56.00%</w:t>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56.00%</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Credit Spread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18.60%</w:t>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18.80%</w:t>
            </w:r>
          </w:p>
        </w:tc>
      </w:tr>
    </w:tbl>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Other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Our financial instruments that are not re-measured at fair value include prepaid expenses and other current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assets, due from related parties, other assets, accounts payable, accrued expenses, accrued employee benefits,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current liabilities and other liabilities as the carrying amounts approximate fair value due to the short maturity terms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5. Borrowings</w:t>
      </w:r>
    </w:p>
    <w:tbl>
      <w:tblPr>
        <w:tblW w:w="9821" w:type="dxa"/>
        <w:jc w:val="left"/>
        <w:tblInd w:w="0" w:type="dxa"/>
        <w:tblLayout w:type="fixed"/>
        <w:tblCellMar>
          <w:top w:w="28" w:type="dxa"/>
          <w:left w:w="28" w:type="dxa"/>
          <w:bottom w:w="28" w:type="dxa"/>
          <w:right w:w="28" w:type="dxa"/>
        </w:tblCellMar>
      </w:tblPr>
      <w:tblGrid>
        <w:gridCol w:w="3556"/>
        <w:gridCol w:w="1111"/>
        <w:gridCol w:w="109"/>
        <w:gridCol w:w="1141"/>
        <w:gridCol w:w="109"/>
        <w:gridCol w:w="1171"/>
        <w:gridCol w:w="109"/>
        <w:gridCol w:w="109"/>
        <w:gridCol w:w="1141"/>
        <w:gridCol w:w="109"/>
        <w:gridCol w:w="1156"/>
      </w:tblGrid>
      <w:tr>
        <w:trPr/>
        <w:tc>
          <w:tcPr>
            <w:tcW w:w="3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3556"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Maturities</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 Rates</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 Rates</w:t>
            </w:r>
          </w:p>
        </w:tc>
      </w:tr>
      <w:tr>
        <w:trPr/>
        <w:tc>
          <w:tcPr>
            <w:tcW w:w="35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Series 1 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- 15%</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- 15%</w:t>
            </w:r>
          </w:p>
        </w:tc>
      </w:tr>
      <w:tr>
        <w:trPr/>
        <w:tc>
          <w:tcPr>
            <w:tcW w:w="35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Related party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- 15.99%</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35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Convertible 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8%</w:t>
            </w:r>
          </w:p>
        </w:tc>
      </w:tr>
      <w:tr>
        <w:trPr/>
        <w:tc>
          <w:tcPr>
            <w:tcW w:w="35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WTI Facility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13.50%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3556"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Total Notes Payable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34,725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9,545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Less: unamortized debt discount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35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Less: current portion of related party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notes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Less: current portion of notes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3556"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Total Long-term Notes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$13,654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$5,500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debt is carried on a historical cost basis net of unamortized discounts and premiums. Costs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associated with acquiring debt are presented in the consolidated balance sheets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a direct deduction from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carrying amount of the debt as a debt discount. Discounts on debt are amortized over the contractual life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related debt instrument using the effective interest method (unless otherwise specified below) and are included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Interest expense, net in the consolidated statements of operations and comprehensive income (loss).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notes payable, excluding debt issuance costs, and notes payable to related parties mature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follows:</w:t>
      </w:r>
    </w:p>
    <w:tbl>
      <w:tblPr>
        <w:tblW w:w="8177" w:type="dxa"/>
        <w:jc w:val="left"/>
        <w:tblInd w:w="0" w:type="dxa"/>
        <w:tblLayout w:type="fixed"/>
        <w:tblCellMar>
          <w:top w:w="28" w:type="dxa"/>
          <w:left w:w="28" w:type="dxa"/>
          <w:bottom w:w="28" w:type="dxa"/>
          <w:right w:w="28" w:type="dxa"/>
        </w:tblCellMar>
      </w:tblPr>
      <w:tblGrid>
        <w:gridCol w:w="7351"/>
        <w:gridCol w:w="826"/>
      </w:tblGrid>
      <w:tr>
        <w:trPr/>
        <w:tc>
          <w:tcPr>
            <w:tcW w:w="73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351" w:type="dxa"/>
            <w:tcBorders/>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Year Ending December 31,</w:t>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r>
      <w:tr>
        <w:trPr/>
        <w:tc>
          <w:tcPr>
            <w:tcW w:w="73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$14,625</w:t>
            </w:r>
          </w:p>
        </w:tc>
      </w:tr>
      <w:tr>
        <w:trPr/>
        <w:tc>
          <w:tcPr>
            <w:tcW w:w="73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2026</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7,295</w:t>
            </w:r>
          </w:p>
        </w:tc>
      </w:tr>
      <w:tr>
        <w:trPr/>
        <w:tc>
          <w:tcPr>
            <w:tcW w:w="73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2027</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8,244</w:t>
            </w:r>
          </w:p>
        </w:tc>
      </w:tr>
      <w:tr>
        <w:trPr/>
        <w:tc>
          <w:tcPr>
            <w:tcW w:w="73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2028</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4,561</w:t>
            </w:r>
          </w:p>
        </w:tc>
      </w:tr>
      <w:tr>
        <w:trPr/>
        <w:tc>
          <w:tcPr>
            <w:tcW w:w="7351"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Total Debt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$34,725</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F-26</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Series 1 Promissory Notes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2018, the Company authorized the issuance and sale of unsecured promissory notes to investors up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$35,000. From 2018 to 2021, the Company issued promissory notes with a total principal amount of $4,936.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notes require monthly interest payments, have an original maturity period of 36-48 months, and bear interest at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9%-12%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annum. The notes contain two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term extension options, at the Company’s election, which can extend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notes’ maturity period to 60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months in total. If the Company elects its first term extension option, the note will bear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 at 12%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months 36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through 48. If the Company elects its second term extension option, the notes will bear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 at 15%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months 48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through 60.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event of a change of control or a portfolio company sale, the notes are required to be repaid. In the event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a default, noteholders may elect to convert notes into common units of the Company equal to two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times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unpaid principal balance plus accrued but unpaid interest at the time of conversion at a pre-money valuation agreed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by a majority of the converting noteholders. If the Company is in default due to lack of payment and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noteholders do not elect repayment, notes will accrue interest at the default rate. During the first 36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months,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default interest rate is 12%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increases to 18%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thereafter.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Noteholders converted their Series 1 promissory notes into Class B Preferred Units as follows:</w:t>
      </w:r>
    </w:p>
    <w:tbl>
      <w:tblPr>
        <w:tblW w:w="9181" w:type="dxa"/>
        <w:jc w:val="left"/>
        <w:tblInd w:w="0" w:type="dxa"/>
        <w:tblLayout w:type="fixed"/>
        <w:tblCellMar>
          <w:top w:w="28" w:type="dxa"/>
          <w:left w:w="28" w:type="dxa"/>
          <w:bottom w:w="28" w:type="dxa"/>
          <w:right w:w="28" w:type="dxa"/>
        </w:tblCellMar>
      </w:tblPr>
      <w:tblGrid>
        <w:gridCol w:w="4951"/>
        <w:gridCol w:w="1336"/>
        <w:gridCol w:w="109"/>
        <w:gridCol w:w="109"/>
        <w:gridCol w:w="1381"/>
        <w:gridCol w:w="109"/>
        <w:gridCol w:w="1186"/>
      </w:tblGrid>
      <w:tr>
        <w:trPr/>
        <w:tc>
          <w:tcPr>
            <w:tcW w:w="495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951"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4951"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49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Principal amount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$1,310</w:t>
            </w:r>
          </w:p>
        </w:tc>
      </w:tr>
      <w:tr>
        <w:trPr/>
        <w:tc>
          <w:tcPr>
            <w:tcW w:w="49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Number of shares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40,829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135,133</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conversion rate was based on the Class B Preferred Unit issuance price of $9.6992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unit.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noteholders elected to receive the last interest payment due and waive the prepayment fee, if applicable,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connection with the transaction. The Company accounted for the conversion of promissory notes as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extinguishment of debt, the impact of which is immaterial to the Company’s financial statements. Upon Closing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Business Combination, the option for noteholders to convert their Series 1 promissory notes into Class B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Preferred Units is no longer available.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Extensions on Series 1 promissory notes were as follow:</w:t>
      </w:r>
    </w:p>
    <w:tbl>
      <w:tblPr>
        <w:tblW w:w="8986" w:type="dxa"/>
        <w:jc w:val="left"/>
        <w:tblInd w:w="0" w:type="dxa"/>
        <w:tblLayout w:type="fixed"/>
        <w:tblCellMar>
          <w:top w:w="28" w:type="dxa"/>
          <w:left w:w="28" w:type="dxa"/>
          <w:bottom w:w="28" w:type="dxa"/>
          <w:right w:w="28" w:type="dxa"/>
        </w:tblCellMar>
      </w:tblPr>
      <w:tblGrid>
        <w:gridCol w:w="5281"/>
        <w:gridCol w:w="1051"/>
        <w:gridCol w:w="109"/>
        <w:gridCol w:w="1141"/>
        <w:gridCol w:w="109"/>
        <w:gridCol w:w="109"/>
        <w:gridCol w:w="1186"/>
      </w:tblGrid>
      <w:tr>
        <w:trPr/>
        <w:tc>
          <w:tcPr>
            <w:tcW w:w="52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 Rate</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2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Principal amount of 1st extension 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$829</w:t>
            </w:r>
          </w:p>
        </w:tc>
      </w:tr>
      <w:tr>
        <w:trPr/>
        <w:tc>
          <w:tcPr>
            <w:tcW w:w="52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Principal amount of 2nd extension promissory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$603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$890</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Interest expense on Series 1 promissory notes was as follows:</w:t>
      </w:r>
    </w:p>
    <w:tbl>
      <w:tblPr>
        <w:tblW w:w="9586" w:type="dxa"/>
        <w:jc w:val="left"/>
        <w:tblInd w:w="0" w:type="dxa"/>
        <w:tblLayout w:type="fixed"/>
        <w:tblCellMar>
          <w:top w:w="28" w:type="dxa"/>
          <w:left w:w="28" w:type="dxa"/>
          <w:bottom w:w="28" w:type="dxa"/>
          <w:right w:w="28" w:type="dxa"/>
        </w:tblCellMar>
      </w:tblPr>
      <w:tblGrid>
        <w:gridCol w:w="5356"/>
        <w:gridCol w:w="1336"/>
        <w:gridCol w:w="109"/>
        <w:gridCol w:w="109"/>
        <w:gridCol w:w="1381"/>
        <w:gridCol w:w="109"/>
        <w:gridCol w:w="1186"/>
      </w:tblGrid>
      <w:tr>
        <w:trPr/>
        <w:tc>
          <w:tcPr>
            <w:tcW w:w="53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35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35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3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attributable to contractual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$297</w:t>
            </w:r>
          </w:p>
        </w:tc>
      </w:tr>
      <w:tr>
        <w:trPr/>
        <w:tc>
          <w:tcPr>
            <w:tcW w:w="53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attributable to amortization 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w:t>
            </w:r>
          </w:p>
        </w:tc>
      </w:tr>
      <w:tr>
        <w:trPr/>
        <w:tc>
          <w:tcPr>
            <w:tcW w:w="535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Total interest expense</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$29</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$329</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F-27</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Related Party Notes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entered into unsecured promissory notes with two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related parties, the first on August 20, 2024,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a principal amount of $10,000, and the second on August 22, 2024, for a principal amount of $2,000.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entered into amended and restated agreements to amend the terms of these unsecured promissory notes 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October 1, 2024. As per the original agreements, the note with the first party contained a loan fee of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which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was payable with the repayment of the principal amount of the note and the note with the second party contained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 at the rate of 11.50%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annum. The principal amounts, loan fees and accrued interest were repayable at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earlier of October 15, 2024 and the first business day following the date of consummation of the Business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Combination.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per the amended note with the first party, the maturity date was extended to the earlier of (i) January 31,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2025 and (ii) the first business day following the date on which the Company has sufficient capital to be able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repay all amounts outstanding under the note and otherwise meet its expected working capital needs as determined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by the Company in its reasonable discretion. The loan fee of $1,000, required under the original agreement, became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due on or around the amendment date but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has not yet been paid and interest will accrue at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rate of 15.99%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annum until paid. The amendment was accounted for as a troubled debt restructuring as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was provided a concession through a decrease in the effective interest rate. However, no gain or loss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recognized as a result.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per the amended note with the second party, the maturity date was extended to January 31, 2025 and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 rate was increased to 13.50%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annum. Additionally,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amount became due on 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around the amendment date but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has not yet been paid.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Interest expense on the related party notes was as follows:</w:t>
      </w:r>
    </w:p>
    <w:tbl>
      <w:tblPr>
        <w:tblW w:w="9226" w:type="dxa"/>
        <w:jc w:val="left"/>
        <w:tblInd w:w="0" w:type="dxa"/>
        <w:tblLayout w:type="fixed"/>
        <w:tblCellMar>
          <w:top w:w="28" w:type="dxa"/>
          <w:left w:w="28" w:type="dxa"/>
          <w:bottom w:w="28" w:type="dxa"/>
          <w:right w:w="28" w:type="dxa"/>
        </w:tblCellMar>
      </w:tblPr>
      <w:tblGrid>
        <w:gridCol w:w="4996"/>
        <w:gridCol w:w="1336"/>
        <w:gridCol w:w="109"/>
        <w:gridCol w:w="109"/>
        <w:gridCol w:w="1381"/>
        <w:gridCol w:w="109"/>
        <w:gridCol w:w="1186"/>
      </w:tblGrid>
      <w:tr>
        <w:trPr/>
        <w:tc>
          <w:tcPr>
            <w:tcW w:w="499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99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499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499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Total interest expense</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$611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addition to the related party notes above, the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Company also has a related party note for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that had no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stated interest or maturity at issuance. The Company formally came to terms on the related party note by executing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 unsecured promissory note with the related party on May 2, 2024. As per the terms of the executed agreement,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principal amount became due on December 21, 2024 but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has not yet been paid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 will now accrue at the rate of 8.00%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annum.</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Upon maturity, the Company is required to repay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outstanding principal amount of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a loan fee equal to approximately $63. There is no stated interest as per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terms of the executed agreement but it provides for interest at the rate of 8.00%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annum on the outstanding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amount from the maturity date if the Company fails to pay any amount due on the maturity date.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Convertible Promissory Notes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previously issued 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convertible promissory notes (the “2025 Notes”) that can be converted into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equity units at the later of a qualified financing event or upon maturity, which is 36-months. A qualified financing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event is one or more transactions that results in gross proceeds of at least $2,000. Upon the occurrence of a qualified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financing event, the 2025 Notes convert to the series of stock issued in that financing at the lesser of (a) a 20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percent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discount or (b) $200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million divided by the number of fully diluted units outstanding immediately prior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financing. This conversion option is accounted for as a derivative instrument and the fair value of such is discussed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 Note 4. Fair Value.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March 31, 2024, the 2025 Notes with a $6,000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principal balance and $755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accrued interest were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converted into 693,480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Accelsius Series A units at a conversion price of $9.74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The conversion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pursuant to the occurrence of a qualified financing event. The related embedded derivative liability was extinguished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connection with the conversion, resulting in a loss on conversion of $1,119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recorded on the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F-28</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statements of operations and comprehensive income (loss)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the Predecessor period from January 1, 2024 through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October 1, 2024.</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Interest expense on the 2025 Notes was as follows:</w:t>
      </w:r>
    </w:p>
    <w:tbl>
      <w:tblPr>
        <w:tblW w:w="9586" w:type="dxa"/>
        <w:jc w:val="left"/>
        <w:tblInd w:w="0" w:type="dxa"/>
        <w:tblLayout w:type="fixed"/>
        <w:tblCellMar>
          <w:top w:w="28" w:type="dxa"/>
          <w:left w:w="28" w:type="dxa"/>
          <w:bottom w:w="28" w:type="dxa"/>
          <w:right w:w="28" w:type="dxa"/>
        </w:tblCellMar>
      </w:tblPr>
      <w:tblGrid>
        <w:gridCol w:w="5356"/>
        <w:gridCol w:w="1336"/>
        <w:gridCol w:w="109"/>
        <w:gridCol w:w="109"/>
        <w:gridCol w:w="1381"/>
        <w:gridCol w:w="109"/>
        <w:gridCol w:w="1186"/>
      </w:tblGrid>
      <w:tr>
        <w:trPr/>
        <w:tc>
          <w:tcPr>
            <w:tcW w:w="53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35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35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3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attributable to contractual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$583</w:t>
            </w:r>
          </w:p>
        </w:tc>
      </w:tr>
      <w:tr>
        <w:trPr/>
        <w:tc>
          <w:tcPr>
            <w:tcW w:w="53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attributable to amortization of implied discounts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456</w:t>
            </w:r>
          </w:p>
        </w:tc>
      </w:tr>
      <w:tr>
        <w:trPr/>
        <w:tc>
          <w:tcPr>
            <w:tcW w:w="535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Total interest expense</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$1,039</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has accrued interest of $—</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$634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convertible promissory notes as of December 31, 2024</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2023, respectively.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2023, the unamortized discount was $—</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$2,133,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respectively.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WTI Facility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October 22, 2024, the Company entered into a term loan with WTI Fund X, Inc. and WTI Fund XI, Inc.,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(collectively, “WTI Lenders”). The terms of the loan provides for a term loan facility in the aggregate principal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amount of up to $50,000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(the "WTI Facility"), of which (i) up to $20,000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made available after October 22,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through November 15, 2024 (the "First Tranche"); (ii) up to $15,000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made available after November 1,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through November 30, 2024 (the "Second Tranche"); and (iii) up to $15,000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will be made available after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and through January 31, 2025 (the "Third Tranche") (provided that up to $7,500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Third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Tranche will be made available until March 31, 2025), in each case, subject to the satisfaction of certain conditions,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including, with respect to each of the Second Tranche and the Third Tranche, satisfaction of certain financial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conditions and the WTI Lenders’ satisfaction with the Company’s forward-looking plan at such time.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Borrowings under the WTI Facility will accrue interest at a rate per annum equal to the greater of (i) the “prime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rate” of interest, as published by The Wall Street Journal on the date that the WTI Lenders prepare the promissory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notes for the borrowings under such tranche, plus 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(ii) 13.50%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will amortize, after an interest-only period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twelve months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the case of the First Tranche and six months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the case of each of the Second Tranche and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Third Tranche, in equal monthly installments over a period of thirty months. Obligations are secured by a lien 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majority of the assets of Innventure LLC and Innventure, Inc.</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received all $20,000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First Tranche on November 15, 2024. The First Tranche, principal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interest, shall be repaid over a period of 30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months in equal, monthly installments, commencing after an initial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12-month period of interest-only monthly payments, resulting in a total term of 42 months. The interest rate on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outstanding principal amounts under the WTI Facility for the Successor period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13.50%.</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connection with the WTI Facility, the Company issued WTI Warrants to the WTI Lenders (as further defined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described in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Note 11. Warrants). The Company accounted for each of the WTI Warrants as detachable warrants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at their fair value. The fair value of the WTI Warrants was recorded as a liability and as a discount to the WTI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Facility on the consolidated balance sheets. The Company is amortizing the discount over the term of the WTI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Facility using the straight-line method.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October 22, 2024, when the Company entered into the WTI Facility, the Company recognized $16,735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commitment fee asset on the consolidated balance sheets. On November 15, 2024, when the Company received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First Tranche in the amount of $20,000, the prorated portion of the commitment fee asset of $6,694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reclassified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to a debt issuance cost within Notes payable, net of current portion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began amortizing over the term of the First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Tranche. On November 30, 2024 and December 31, 2024, management determined that the Second and Third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Tranche, respectively, could not be drawn upon due to certain operational thresholds which had not been met 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these Tranches. Therefore, the Company wrote off $5,021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$5,021, respectively on these dates, to Write-off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F-29</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loan commitment fee asset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on the consolidated statements of operations and comprehensive income (loss)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commitment fee asset could no longer benefit the Company in receiving debt financing capital.</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Interest expense on this facility was as follows:</w:t>
      </w:r>
    </w:p>
    <w:tbl>
      <w:tblPr>
        <w:tblW w:w="9496" w:type="dxa"/>
        <w:jc w:val="left"/>
        <w:tblInd w:w="0" w:type="dxa"/>
        <w:tblLayout w:type="fixed"/>
        <w:tblCellMar>
          <w:top w:w="28" w:type="dxa"/>
          <w:left w:w="28" w:type="dxa"/>
          <w:bottom w:w="28" w:type="dxa"/>
          <w:right w:w="28" w:type="dxa"/>
        </w:tblCellMar>
      </w:tblPr>
      <w:tblGrid>
        <w:gridCol w:w="5266"/>
        <w:gridCol w:w="1336"/>
        <w:gridCol w:w="109"/>
        <w:gridCol w:w="109"/>
        <w:gridCol w:w="1381"/>
        <w:gridCol w:w="109"/>
        <w:gridCol w:w="1186"/>
      </w:tblGrid>
      <w:tr>
        <w:trPr/>
        <w:tc>
          <w:tcPr>
            <w:tcW w:w="526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26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2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attributable to contractual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52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attributable to amortization of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6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Total interest expense</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$600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6. Inventories</w:t>
      </w:r>
    </w:p>
    <w:tbl>
      <w:tblPr>
        <w:tblW w:w="8741" w:type="dxa"/>
        <w:jc w:val="left"/>
        <w:tblInd w:w="0" w:type="dxa"/>
        <w:tblLayout w:type="fixed"/>
        <w:tblCellMar>
          <w:top w:w="28" w:type="dxa"/>
          <w:left w:w="28" w:type="dxa"/>
          <w:bottom w:w="28" w:type="dxa"/>
          <w:right w:w="28" w:type="dxa"/>
        </w:tblCellMar>
      </w:tblPr>
      <w:tblGrid>
        <w:gridCol w:w="6196"/>
        <w:gridCol w:w="1141"/>
        <w:gridCol w:w="109"/>
        <w:gridCol w:w="109"/>
        <w:gridCol w:w="1186"/>
      </w:tblGrid>
      <w:tr>
        <w:trPr/>
        <w:tc>
          <w:tcPr>
            <w:tcW w:w="619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6196"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1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Raw materials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$2,974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19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Work in process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Finished goods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2,154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9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inventories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$5,178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7. Property, Plant and Equipment</w:t>
      </w:r>
    </w:p>
    <w:tbl>
      <w:tblPr>
        <w:tblW w:w="8891" w:type="dxa"/>
        <w:jc w:val="left"/>
        <w:tblInd w:w="0" w:type="dxa"/>
        <w:tblLayout w:type="fixed"/>
        <w:tblCellMar>
          <w:top w:w="28" w:type="dxa"/>
          <w:left w:w="28" w:type="dxa"/>
          <w:bottom w:w="28" w:type="dxa"/>
          <w:right w:w="28" w:type="dxa"/>
        </w:tblCellMar>
      </w:tblPr>
      <w:tblGrid>
        <w:gridCol w:w="6346"/>
        <w:gridCol w:w="1141"/>
        <w:gridCol w:w="109"/>
        <w:gridCol w:w="109"/>
        <w:gridCol w:w="1186"/>
      </w:tblGrid>
      <w:tr>
        <w:trPr/>
        <w:tc>
          <w:tcPr>
            <w:tcW w:w="6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6346"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Leasehold improvements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Machinery &amp; equipment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86</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Computers &amp; office equipment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Construction in progress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502</w:t>
            </w:r>
          </w:p>
        </w:tc>
      </w:tr>
      <w:tr>
        <w:trPr/>
        <w:tc>
          <w:tcPr>
            <w:tcW w:w="6346"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Property, Plant and Equipment, Gross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1,492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645</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Less: Accumulated depreciation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w:t>
            </w:r>
          </w:p>
        </w:tc>
      </w:tr>
      <w:tr>
        <w:trPr/>
        <w:tc>
          <w:tcPr>
            <w:tcW w:w="6346"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Property, Plant and Equipment, Net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$1,414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$637</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Total depreciation expense on property, plant and equipment was as follows:</w:t>
      </w:r>
    </w:p>
    <w:tbl>
      <w:tblPr>
        <w:tblW w:w="9256" w:type="dxa"/>
        <w:jc w:val="left"/>
        <w:tblInd w:w="0" w:type="dxa"/>
        <w:tblLayout w:type="fixed"/>
        <w:tblCellMar>
          <w:top w:w="28" w:type="dxa"/>
          <w:left w:w="28" w:type="dxa"/>
          <w:bottom w:w="28" w:type="dxa"/>
          <w:right w:w="28" w:type="dxa"/>
        </w:tblCellMar>
      </w:tblPr>
      <w:tblGrid>
        <w:gridCol w:w="5026"/>
        <w:gridCol w:w="1336"/>
        <w:gridCol w:w="109"/>
        <w:gridCol w:w="109"/>
        <w:gridCol w:w="1381"/>
        <w:gridCol w:w="109"/>
        <w:gridCol w:w="1186"/>
      </w:tblGrid>
      <w:tr>
        <w:trPr/>
        <w:tc>
          <w:tcPr>
            <w:tcW w:w="502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02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02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Period from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Period from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0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Depreciation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$148</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8. Business Combinations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discussed in Note 1. Nature of Business, the Closing of the Business Combination occurred on October 2,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pursuant to the terms of the Business Combination Agreement. Upon Closing, 250,000,000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Company’s common stock (“Common Stock”), par value $0.0001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share, and 25,000,000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Company’s preferred stock, par value $0.0001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share, were authorized. Of the 25,000,000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preferred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stock authorized, the Company designated 3,000,000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as Series B preferred stock ("Series B Preferred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F-30</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a result of the Business Combination, (a) each Learn CW Class A ordinary share and Class B ordinary share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issued and outstanding immediately prior to Closing (and not cancelled or redeemed) was converted into the right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receive one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 of Common Stock; (b) each Learn CW public warrant and private placement warrant outstanding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immediately prior to Closing was assumed and converted into a Company warrant ("Warrant"); (c) the Innventure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LLC equity units (other than the Innventure LLC Class PCTA units ("Class PCTA Units") and Class I units ("Class I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Units")) issued and outstanding immediately prior to Closing were converted into the right to receive 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Common Stock; and (d) the Class PCTA Units and the Class I Units of Innventure LLC remained outstanding.</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Business Combination has been accounted for using the acquisition method of accounting. Holdco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determined to be the accounting acquirer as Innventure LLC was determined to be a VIE and Holdco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determined to be the primary beneficiary. In applying the VIE model, the Class I and Class PCTA Units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associated assets and liabilities are considered silos within Innventure LLC for which Holdco is not considered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primary beneficiary; therefore such silos were not acquired and are omitted from the Company’s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financial statements. Accordingly, the Company recorded all assets acquired and liabilities assumed that Holdco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determined to be the primary beneficiary of at their acquisition date fair values, with any excess recognized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goodwill.</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Consideration Transferred</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The aggregate consideration for the Business Combination (the “Purchase Consideration”) paid to the holders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Innventure LLC’s outstanding equity and profits interests and warrants, other than the Class PCTA Units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Class I Units (such holders, the “Innventure Members”), consisted of 43,494,999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Common Stock.</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portion of this Purchase Consideration to be delivered to Innventure Members consists of a contingent right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receive up to 5,000,000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(the “Company Earnout Shares”) shares of Common Stock. Refer to Note 10. Earnout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Shares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more details on the Company Earnout Shares.</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Immediately after giving effect to the Business Combination (including as a result of the conversions described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above), there were 43,589,850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Common Stock</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18,645,997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Warrants issued and outstanding. As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Closing, the Innventure Members owned approximately 88.3%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the Company’s outstanding shares of Common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ans-serif" w:hAnsi="Times New Roman;sans-serif"/>
          <w:b w:val="false"/>
          <w:i w:val="false"/>
          <w:caps w:val="false"/>
          <w:smallCaps w:val="false"/>
          <w:strike w:val="false"/>
          <w:dstrike w:val="false"/>
          <w:sz w:val="20"/>
          <w:u w:val="none"/>
          <w:effect w:val="none"/>
        </w:rPr>
        <w:t>Stock and the former shareholders of Learn CW, including (i) Learn CW's sponsor, CWAM LC Sponsor LLC (the</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Sponsor”) and (ii) Learn CW's independent directors, owned approximately 13.7%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the Company’s outstanding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shares of Common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number of shares of Common Stock issued and outstanding at the Closing of the Business Combination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were:</w:t>
      </w:r>
    </w:p>
    <w:tbl>
      <w:tblPr>
        <w:tblW w:w="9507" w:type="dxa"/>
        <w:jc w:val="left"/>
        <w:tblInd w:w="0" w:type="dxa"/>
        <w:tblLayout w:type="fixed"/>
        <w:tblCellMar>
          <w:top w:w="28" w:type="dxa"/>
          <w:left w:w="28" w:type="dxa"/>
          <w:bottom w:w="28" w:type="dxa"/>
          <w:right w:w="28" w:type="dxa"/>
        </w:tblCellMar>
      </w:tblPr>
      <w:tblGrid>
        <w:gridCol w:w="5326"/>
        <w:gridCol w:w="1276"/>
        <w:gridCol w:w="109"/>
        <w:gridCol w:w="1381"/>
        <w:gridCol w:w="109"/>
        <w:gridCol w:w="1306"/>
      </w:tblGrid>
      <w:tr>
        <w:trPr/>
        <w:tc>
          <w:tcPr>
            <w:tcW w:w="5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Innventure LLC Units</w:t>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Immediately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Prior to Closing</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Common Stock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Conversion Ratio</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Common Stock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Upon Closing</w:t>
            </w:r>
          </w:p>
        </w:tc>
      </w:tr>
      <w:tr>
        <w:trPr/>
        <w:tc>
          <w:tcPr>
            <w:tcW w:w="53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Class B Preferred Units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10,875,000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22,754,664</w:t>
            </w:r>
          </w:p>
        </w:tc>
      </w:tr>
      <w:tr>
        <w:trPr/>
        <w:tc>
          <w:tcPr>
            <w:tcW w:w="532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Class B-1 Preferred Units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5,609,951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11,738,165</w:t>
            </w:r>
          </w:p>
        </w:tc>
      </w:tr>
      <w:tr>
        <w:trPr/>
        <w:tc>
          <w:tcPr>
            <w:tcW w:w="53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Class A Units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342,608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716,867</w:t>
            </w:r>
          </w:p>
        </w:tc>
      </w:tr>
      <w:tr>
        <w:trPr/>
        <w:tc>
          <w:tcPr>
            <w:tcW w:w="532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Class C Units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1,570,125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3,285,303</w:t>
            </w:r>
          </w:p>
        </w:tc>
      </w:tr>
      <w:tr>
        <w:trPr/>
        <w:tc>
          <w:tcPr>
            <w:tcW w:w="53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18,397,684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38,494,999</w:t>
            </w:r>
          </w:p>
        </w:tc>
      </w:tr>
      <w:tr>
        <w:trPr/>
        <w:tc>
          <w:tcPr>
            <w:tcW w:w="532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Learn CW Shares</w:t>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r>
      <w:tr>
        <w:trPr/>
        <w:tc>
          <w:tcPr>
            <w:tcW w:w="532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Learn CW Public shareholders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1,027,674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1,027,674</w:t>
            </w:r>
          </w:p>
        </w:tc>
      </w:tr>
      <w:tr>
        <w:trPr/>
        <w:tc>
          <w:tcPr>
            <w:tcW w:w="53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Learn CW Class B Shareholders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5,000,000</w:t>
            </w:r>
          </w:p>
        </w:tc>
      </w:tr>
      <w:tr>
        <w:trPr/>
        <w:tc>
          <w:tcPr>
            <w:tcW w:w="532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6,027,674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6,027,674</w:t>
            </w:r>
          </w:p>
        </w:tc>
      </w:tr>
      <w:tr>
        <w:trPr/>
        <w:tc>
          <w:tcPr>
            <w:tcW w:w="5326"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r>
      <w:tr>
        <w:trPr/>
        <w:tc>
          <w:tcPr>
            <w:tcW w:w="532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Less: Learn CW shares subject to clawback provisions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(932,823)</w:t>
            </w:r>
          </w:p>
        </w:tc>
      </w:tr>
      <w:tr>
        <w:trPr/>
        <w:tc>
          <w:tcPr>
            <w:tcW w:w="5326"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r>
      <w:tr>
        <w:trPr/>
        <w:tc>
          <w:tcPr>
            <w:tcW w:w="532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Common Stock Issued and Outstanding at Closing</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43,589,850</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F-31</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consideration transferred for the Business Combination is summarized as follows:</w:t>
      </w:r>
    </w:p>
    <w:tbl>
      <w:tblPr>
        <w:tblW w:w="8762" w:type="dxa"/>
        <w:jc w:val="left"/>
        <w:tblInd w:w="0" w:type="dxa"/>
        <w:tblLayout w:type="fixed"/>
        <w:tblCellMar>
          <w:top w:w="28" w:type="dxa"/>
          <w:left w:w="28" w:type="dxa"/>
          <w:bottom w:w="28" w:type="dxa"/>
          <w:right w:w="28" w:type="dxa"/>
        </w:tblCellMar>
      </w:tblPr>
      <w:tblGrid>
        <w:gridCol w:w="7831"/>
        <w:gridCol w:w="931"/>
      </w:tblGrid>
      <w:tr>
        <w:trPr/>
        <w:tc>
          <w:tcPr>
            <w:tcW w:w="78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8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Holdco Common Stock transferred to Innventure Members</w:t>
            </w:r>
            <w:r>
              <w:rPr>
                <w:rFonts w:ascii="Times New Roman;sans-serif" w:hAnsi="Times New Roman;sans-serif"/>
                <w:b w:val="false"/>
                <w:i w:val="false"/>
                <w:caps w:val="false"/>
                <w:smallCaps w:val="false"/>
                <w:strike w:val="false"/>
                <w:dstrike w:val="false"/>
                <w:sz w:val="13"/>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$418,441</w:t>
            </w:r>
          </w:p>
        </w:tc>
      </w:tr>
      <w:tr>
        <w:trPr/>
        <w:tc>
          <w:tcPr>
            <w:tcW w:w="78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Contingent consideration</w:t>
            </w:r>
            <w:r>
              <w:rPr>
                <w:rFonts w:ascii="Times New Roman;sans-serif" w:hAnsi="Times New Roman;sans-serif"/>
                <w:b w:val="false"/>
                <w:i w:val="false"/>
                <w:caps w:val="false"/>
                <w:smallCaps w:val="false"/>
                <w:strike w:val="false"/>
                <w:dstrike w:val="false"/>
                <w:sz w:val="13"/>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53,980</w:t>
            </w:r>
          </w:p>
        </w:tc>
      </w:tr>
      <w:tr>
        <w:trPr/>
        <w:tc>
          <w:tcPr>
            <w:tcW w:w="783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Consideration transferred</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472,421</w:t>
            </w:r>
          </w:p>
        </w:tc>
      </w:tr>
      <w:tr>
        <w:trPr/>
        <w:tc>
          <w:tcPr>
            <w:tcW w:w="78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Non-controlling interest</w:t>
            </w:r>
            <w:r>
              <w:rPr>
                <w:rFonts w:ascii="Times New Roman;sans-serif" w:hAnsi="Times New Roman;sans-serif"/>
                <w:b w:val="false"/>
                <w:i w:val="false"/>
                <w:caps w:val="false"/>
                <w:smallCaps w:val="false"/>
                <w:strike w:val="false"/>
                <w:dstrike w:val="false"/>
                <w:sz w:val="13"/>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343,030</w:t>
            </w:r>
          </w:p>
        </w:tc>
      </w:tr>
      <w:tr>
        <w:trPr/>
        <w:tc>
          <w:tcPr>
            <w:tcW w:w="783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Total business enterprise value</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$815,451</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(1)Represents the fair value of the 38,494,999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 xml:space="preserve">of aggregate consideration paid in shares (excluding the Company Earnout shares) at a Closing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share price of $10.87.</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(2)Represents the fair value of the Company Earnout Shares issued and contingently issuable to Innventure Members. Refer to Note 10. </w:t>
      </w:r>
    </w:p>
    <w:p>
      <w:pPr>
        <w:pStyle w:val="TextBody"/>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Earnout Shares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for more details.</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(3)The non-controlling interest represents the fair value of equity in Accelsius held by non-controlling parties. The fair value is calculated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using a discounted cash flow methodology to determine the Accelsius equity value which is pro rated by the non-controlling ownership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percentage (Level 3). Significant inputs used to measure the fair value of the non-controlling interest include the long-term growth rate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3%, normalized tax rate of 27.9%, normalized net working capital of 18%, and weighted average cost of capital of 17.6%.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Investing cash flow activity as a result of the Business Combination is summarized as follows:</w:t>
      </w:r>
    </w:p>
    <w:tbl>
      <w:tblPr>
        <w:tblW w:w="8522" w:type="dxa"/>
        <w:jc w:val="left"/>
        <w:tblInd w:w="0" w:type="dxa"/>
        <w:tblLayout w:type="fixed"/>
        <w:tblCellMar>
          <w:top w:w="28" w:type="dxa"/>
          <w:left w:w="28" w:type="dxa"/>
          <w:bottom w:w="28" w:type="dxa"/>
          <w:right w:w="28" w:type="dxa"/>
        </w:tblCellMar>
      </w:tblPr>
      <w:tblGrid>
        <w:gridCol w:w="7786"/>
        <w:gridCol w:w="736"/>
      </w:tblGrid>
      <w:tr>
        <w:trPr/>
        <w:tc>
          <w:tcPr>
            <w:tcW w:w="778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7786"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r>
      <w:tr>
        <w:trPr/>
        <w:tc>
          <w:tcPr>
            <w:tcW w:w="77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Cash consideration transferred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77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Add: Cash and cash equivalents acquired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r>
      <w:tr>
        <w:trPr/>
        <w:tc>
          <w:tcPr>
            <w:tcW w:w="778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Investing cash flow activity as a result of the Business Combination</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$16</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the Closing Date, Innventure settled certain obligations using cash from the Learn CW trust account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was released at Closing and financing secured through Series B Preferred Stock. The financing secured through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Series B Preferred Stock is discussed in Note 13. Stockholders' Equity. </w:t>
      </w:r>
    </w:p>
    <w:tbl>
      <w:tblPr>
        <w:tblW w:w="8657" w:type="dxa"/>
        <w:jc w:val="left"/>
        <w:tblInd w:w="0" w:type="dxa"/>
        <w:tblLayout w:type="fixed"/>
        <w:tblCellMar>
          <w:top w:w="28" w:type="dxa"/>
          <w:left w:w="28" w:type="dxa"/>
          <w:bottom w:w="28" w:type="dxa"/>
          <w:right w:w="28" w:type="dxa"/>
        </w:tblCellMar>
      </w:tblPr>
      <w:tblGrid>
        <w:gridCol w:w="7831"/>
        <w:gridCol w:w="826"/>
      </w:tblGrid>
      <w:tr>
        <w:trPr/>
        <w:tc>
          <w:tcPr>
            <w:tcW w:w="78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831"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r>
      <w:tr>
        <w:trPr/>
        <w:tc>
          <w:tcPr>
            <w:tcW w:w="78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Cash proceeds from Learn CW trust account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$11,342</w:t>
            </w:r>
          </w:p>
        </w:tc>
      </w:tr>
      <w:tr>
        <w:trPr/>
        <w:tc>
          <w:tcPr>
            <w:tcW w:w="78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cash proceeds from Series B Preferred Stock issuance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10,572</w:t>
            </w:r>
          </w:p>
        </w:tc>
      </w:tr>
      <w:tr>
        <w:trPr/>
        <w:tc>
          <w:tcPr>
            <w:tcW w:w="783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Innventure, Inc. cash sources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$21,914</w:t>
            </w:r>
          </w:p>
        </w:tc>
      </w:tr>
      <w:tr>
        <w:trPr/>
        <w:tc>
          <w:tcPr>
            <w:tcW w:w="783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78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Payment of Learn CW accounts payable and accrued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$9,233</w:t>
            </w:r>
          </w:p>
        </w:tc>
      </w:tr>
      <w:tr>
        <w:trPr/>
        <w:tc>
          <w:tcPr>
            <w:tcW w:w="78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Payment of Learn CW promissory note due to Sponsor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4,628</w:t>
            </w:r>
          </w:p>
        </w:tc>
      </w:tr>
      <w:tr>
        <w:trPr/>
        <w:tc>
          <w:tcPr>
            <w:tcW w:w="78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Payment of Innventure LLC transaction costs at Closing</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6,206</w:t>
            </w:r>
          </w:p>
        </w:tc>
      </w:tr>
      <w:tr>
        <w:trPr/>
        <w:tc>
          <w:tcPr>
            <w:tcW w:w="783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cash uses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$20,067</w:t>
            </w:r>
          </w:p>
        </w:tc>
      </w:tr>
      <w:tr>
        <w:trPr/>
        <w:tc>
          <w:tcPr>
            <w:tcW w:w="783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Net cash proceeds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$1,847</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Business Combination has been accounted for as a business combination using the acquisition method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accounting. The total purchase price was allocated to the tangible and identifiable intangible assets acquired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liabilities assumed based on their respective fair values on the acquisition date.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F-32</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purchase consideration was allocated to the following assets and liabilities:</w:t>
      </w:r>
    </w:p>
    <w:tbl>
      <w:tblPr>
        <w:tblW w:w="8447" w:type="dxa"/>
        <w:jc w:val="left"/>
        <w:tblInd w:w="0" w:type="dxa"/>
        <w:tblLayout w:type="fixed"/>
        <w:tblCellMar>
          <w:top w:w="28" w:type="dxa"/>
          <w:left w:w="28" w:type="dxa"/>
          <w:bottom w:w="28" w:type="dxa"/>
          <w:right w:w="28" w:type="dxa"/>
        </w:tblCellMar>
      </w:tblPr>
      <w:tblGrid>
        <w:gridCol w:w="7516"/>
        <w:gridCol w:w="931"/>
      </w:tblGrid>
      <w:tr>
        <w:trPr/>
        <w:tc>
          <w:tcPr>
            <w:tcW w:w="75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516"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r>
      <w:tr>
        <w:trPr/>
        <w:tc>
          <w:tcPr>
            <w:tcW w:w="75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Assets acquired: </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Cash and cash equivalents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Accounts receivable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Due from related parties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210</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Inventory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2,824</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Prepaid expenses and other current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1,955</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18,449</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 in debt securities - AFS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10,172</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Property, plant, and equipment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1,227</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Intangible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187,500</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829</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Total assets acquired: </w:t>
            </w:r>
            <w:r>
              <w:rPr>
                <w:rFonts w:ascii="Times New Roman;sans-serif" w:hAnsi="Times New Roman;sans-serif"/>
                <w:b/>
                <w:i w:val="false"/>
                <w:caps w:val="false"/>
                <w:smallCaps w:val="false"/>
                <w:strike w:val="false"/>
                <w:dstrike w:val="false"/>
                <w:color w:val="B4B4B4"/>
                <w:sz w:val="20"/>
                <w:u w:val="none"/>
                <w:effect w:val="none"/>
              </w:rPr>
              <w:t>........................................................................................................................</w:t>
            </w:r>
          </w:p>
        </w:tc>
        <w:tc>
          <w:tcPr>
            <w:tcW w:w="9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$223,299</w:t>
            </w:r>
          </w:p>
        </w:tc>
      </w:tr>
      <w:tr>
        <w:trPr/>
        <w:tc>
          <w:tcPr>
            <w:tcW w:w="7516"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Liabilities assumed: </w:t>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Accounts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$6,286</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Accrued employee benefits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7,617</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Accrued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1,972</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Related party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13,932</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Notes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975</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Patent installment payable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13,600</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tax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30,654</w:t>
            </w:r>
          </w:p>
        </w:tc>
      </w:tr>
      <w:tr>
        <w:trPr/>
        <w:tc>
          <w:tcPr>
            <w:tcW w:w="75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748</w:t>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Total liabilities assumed: </w:t>
            </w:r>
            <w:r>
              <w:rPr>
                <w:rFonts w:ascii="Times New Roman;sans-serif" w:hAnsi="Times New Roman;sans-serif"/>
                <w:b/>
                <w:i w:val="false"/>
                <w:caps w:val="false"/>
                <w:smallCaps w:val="false"/>
                <w:strike w:val="false"/>
                <w:dstrike w:val="false"/>
                <w:color w:val="B4B4B4"/>
                <w:sz w:val="20"/>
                <w:u w:val="none"/>
                <w:effect w:val="none"/>
              </w:rPr>
              <w:t>...................................................................................................................</w:t>
            </w:r>
          </w:p>
        </w:tc>
        <w:tc>
          <w:tcPr>
            <w:tcW w:w="9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$75,784</w:t>
            </w:r>
          </w:p>
        </w:tc>
      </w:tr>
      <w:tr>
        <w:trPr/>
        <w:tc>
          <w:tcPr>
            <w:tcW w:w="751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Net identifiable assets acquired</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$147,515</w:t>
            </w:r>
          </w:p>
        </w:tc>
      </w:tr>
      <w:tr>
        <w:trPr/>
        <w:tc>
          <w:tcPr>
            <w:tcW w:w="751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51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Goodwill</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$667,936</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assessment of fair value is preliminary and is based on information that was available to management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through the end of the fiscal year. If additional information of events or circumstances that existed at Closing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becomes available to management related to assets acquired or liabilities assumed subsequent to this preliminary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assessment of fair value but not later than one year after Closing, measurement period adjustments will be recorded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 the period in which they are determined, as if they had been completed at the Closing Date.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Goodwill is recognized as the excess of consideration over the net assets acquired of Innventure LLC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represents the value derived by Innventure LLC’s strong market position and assembled workforce. Goodwill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arising from the Business Combination is attributable to the Company’s Technology segment and is not deductible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for tax purposes.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F-33</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fair value of definite-lived intangible assets as of the Closing Date included:</w:t>
      </w:r>
    </w:p>
    <w:tbl>
      <w:tblPr>
        <w:tblW w:w="8477" w:type="dxa"/>
        <w:jc w:val="left"/>
        <w:tblInd w:w="0" w:type="dxa"/>
        <w:tblLayout w:type="fixed"/>
        <w:tblCellMar>
          <w:top w:w="28" w:type="dxa"/>
          <w:left w:w="28" w:type="dxa"/>
          <w:bottom w:w="28" w:type="dxa"/>
          <w:right w:w="28" w:type="dxa"/>
        </w:tblCellMar>
      </w:tblPr>
      <w:tblGrid>
        <w:gridCol w:w="7546"/>
        <w:gridCol w:w="931"/>
      </w:tblGrid>
      <w:tr>
        <w:trPr/>
        <w:tc>
          <w:tcPr>
            <w:tcW w:w="75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546"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r>
      <w:tr>
        <w:trPr/>
        <w:tc>
          <w:tcPr>
            <w:tcW w:w="75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Trade names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17,800</w:t>
            </w:r>
          </w:p>
        </w:tc>
      </w:tr>
      <w:tr>
        <w:trPr/>
        <w:tc>
          <w:tcPr>
            <w:tcW w:w="75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Customer relationships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4,600</w:t>
            </w:r>
          </w:p>
        </w:tc>
      </w:tr>
      <w:tr>
        <w:trPr/>
        <w:tc>
          <w:tcPr>
            <w:tcW w:w="75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Developed technology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165,100</w:t>
            </w:r>
          </w:p>
        </w:tc>
      </w:tr>
      <w:tr>
        <w:trPr/>
        <w:tc>
          <w:tcPr>
            <w:tcW w:w="754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$187,500</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Refer to Note 9. Goodwill and Intangible Assets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additional information.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Predecessor financial statements for the year ended December 31, 2023, include $3,452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transaction costs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from Innventure LLC and for the period from January 1, 2024 to October 1, 2024 include $9,627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transaction costs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from Innventure LLC. These transaction costs are recorded within General and administrative expenses within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statements of operations and comprehensive income (loss). Prior to the Closing Date, Learn CW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incurred $9,233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transaction costs related to the Business Combination, which are not reported in the Predecessor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statements of operations and comprehensive income (loss) since Learn CW is not the Predecessor;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these transaction costs are included within Accumulated deficit for the Successor period beginning October 2,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Innventure LLC contributed revenues of $455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net loss of $18,333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the consolidated statements of operations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comprehensive income (loss)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Successor period from October 2, 2024 through December 31, 2024.</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 LLC incurred certain acquiree expenses contingent solely upon the consummation of the Business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Combination. Such costs consisted of $5,292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transaction costs and $223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expense related to share-based award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accelerated vesting. Such costs are presented “on the line” and are not reflected in either Predecessor or Successor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financial statement periods. “On the line” describes those expenses triggered by the consummation of a business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combination that are not recognized in the consolidated statements of operations and comprehensive income (loss)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as they are not directly attributable to either period but instead were contingent on the Business Combination.</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Pro Forma Financial Information (Unaudited)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unaudited pro forma financial information summarizes the results of operations for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though the Business Combination had occurred as of the beginning of the comparable prior annual reporting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 The Successor and Predecessor Periods for the year ended December 31, 2024 have been combined.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unaudited pro forma financial information has been presented for illustrative purposes only and is not necessarily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indicative of results of operations that would have been achieved had the Business Combination taken place 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date indicated, or the future consolidated results of operations of the Company.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unaudited pro forma results reflect the step-up amortization adjustments for the fair value of intangible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assets acquired, transaction expenses, public warrant reclass from liabilities to equity, removal of Learn CW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income, and accelerated vesting of equity-based compensation. The amounts of revenue for the years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are $1,219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$1,117, respectively. The amounts of net loss for the years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are $105,972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$74,165,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9. Goodwill and Intangible Assets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There was no goodwill on the consolidated balance sheets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during the Predecessor periods. For the Successor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period from October 2, 2024 through December 31, 2024, there was $667,936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goodwill recognized in connection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the Business Combination and no change to this value as of  December 31, 2024. Refer to Note 8. Business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Combinations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details.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F-34</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summarizes intangible assets, net:</w:t>
      </w:r>
    </w:p>
    <w:tbl>
      <w:tblPr>
        <w:tblW w:w="8957" w:type="dxa"/>
        <w:jc w:val="left"/>
        <w:tblInd w:w="0" w:type="dxa"/>
        <w:tblLayout w:type="fixed"/>
        <w:tblCellMar>
          <w:top w:w="28" w:type="dxa"/>
          <w:left w:w="28" w:type="dxa"/>
          <w:bottom w:w="28" w:type="dxa"/>
          <w:right w:w="28" w:type="dxa"/>
        </w:tblCellMar>
      </w:tblPr>
      <w:tblGrid>
        <w:gridCol w:w="3931"/>
        <w:gridCol w:w="1141"/>
        <w:gridCol w:w="109"/>
        <w:gridCol w:w="1291"/>
        <w:gridCol w:w="109"/>
        <w:gridCol w:w="1096"/>
        <w:gridCol w:w="109"/>
        <w:gridCol w:w="1171"/>
      </w:tblGrid>
      <w:tr>
        <w:trPr/>
        <w:tc>
          <w:tcPr>
            <w:tcW w:w="393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6"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 (Successor)</w:t>
            </w:r>
          </w:p>
        </w:tc>
      </w:tr>
      <w:tr>
        <w:trPr/>
        <w:tc>
          <w:tcPr>
            <w:tcW w:w="3931" w:type="dxa"/>
            <w:tcBorders/>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Intangible Asset</w:t>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Amortization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Period (years)</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Gross Carrying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Net Carrying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Trade names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17,523</w:t>
            </w:r>
          </w:p>
        </w:tc>
      </w:tr>
      <w:tr>
        <w:trPr/>
        <w:tc>
          <w:tcPr>
            <w:tcW w:w="39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Customer relationships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4,218</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Developed technology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165,100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160,382</w:t>
            </w:r>
          </w:p>
        </w:tc>
      </w:tr>
      <w:tr>
        <w:trPr/>
        <w:tc>
          <w:tcPr>
            <w:tcW w:w="39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finite-lived intangible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w:t>
            </w:r>
          </w:p>
        </w:tc>
      </w:tr>
      <w:tr>
        <w:trPr/>
        <w:tc>
          <w:tcPr>
            <w:tcW w:w="393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intangible assets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$187,530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$(5,377)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$182,153</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There were no intangible assets on the</w:t>
      </w:r>
      <w:r>
        <w:rPr>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consolidated balance sheets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during the Predecessor periods; therefore, no</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amortization expense was recognized. Amortization expense was $5,377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is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recorded on the consolidated statements of operations and comprehensive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income (loss).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Estimated future amortization expense is as follows: </w:t>
      </w:r>
    </w:p>
    <w:tbl>
      <w:tblPr>
        <w:tblW w:w="8567" w:type="dxa"/>
        <w:jc w:val="left"/>
        <w:tblInd w:w="0" w:type="dxa"/>
        <w:tblLayout w:type="fixed"/>
        <w:tblCellMar>
          <w:top w:w="28" w:type="dxa"/>
          <w:left w:w="28" w:type="dxa"/>
          <w:bottom w:w="28" w:type="dxa"/>
          <w:right w:w="28" w:type="dxa"/>
        </w:tblCellMar>
      </w:tblPr>
      <w:tblGrid>
        <w:gridCol w:w="7396"/>
        <w:gridCol w:w="1171"/>
      </w:tblGrid>
      <w:tr>
        <w:trPr/>
        <w:tc>
          <w:tcPr>
            <w:tcW w:w="739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7396" w:type="dxa"/>
            <w:tcBorders/>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Amortization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Expense</w:t>
            </w:r>
          </w:p>
        </w:tc>
      </w:tr>
      <w:tr>
        <w:trPr/>
        <w:tc>
          <w:tcPr>
            <w:tcW w:w="73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$21,616</w:t>
            </w:r>
          </w:p>
        </w:tc>
      </w:tr>
      <w:tr>
        <w:trPr/>
        <w:tc>
          <w:tcPr>
            <w:tcW w:w="739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2026</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21,616</w:t>
            </w:r>
          </w:p>
        </w:tc>
      </w:tr>
      <w:tr>
        <w:trPr/>
        <w:tc>
          <w:tcPr>
            <w:tcW w:w="73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2027</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21,234</w:t>
            </w:r>
          </w:p>
        </w:tc>
      </w:tr>
      <w:tr>
        <w:trPr/>
        <w:tc>
          <w:tcPr>
            <w:tcW w:w="739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2028</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20,073</w:t>
            </w:r>
          </w:p>
        </w:tc>
      </w:tr>
      <w:tr>
        <w:trPr/>
        <w:tc>
          <w:tcPr>
            <w:tcW w:w="73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2029</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18,853</w:t>
            </w:r>
          </w:p>
        </w:tc>
      </w:tr>
      <w:tr>
        <w:trPr/>
        <w:tc>
          <w:tcPr>
            <w:tcW w:w="739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Thereafter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78,761</w:t>
            </w:r>
          </w:p>
        </w:tc>
      </w:tr>
      <w:tr>
        <w:trPr/>
        <w:tc>
          <w:tcPr>
            <w:tcW w:w="739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$182,153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10. Earnout Shares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Upon Closing of the Business Combination, 5,000,000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Company Earnout Shares were contingently issuable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Innventure Members. Additionally, 344,828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earnout shares were issued to the Sponsor who received consideration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Business Combination. These shares, referred to as "Sponsor Earnout Shares," are subject to clawback.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Company Earnout Shares and the Sponsor Earnout Shares are collectively referred to as the “Earnout Shares”.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Earnout Shares will vest upon the following milestone conditions: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40%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Earnout Shares will vest upon Accelsius having entered into binding contracts providing 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revenue for the Company (as defined in the Business Combination Agreement) within 7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following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Closing (the “Vesting Period”) in excess of $15,000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revenue ("Milestone One");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40%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Earnout Shares will vest upon the Company’s formation of a new subsidiary, in partnership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an MNC, as determined using the Innventure LLC's “DownSelect” process, within the Vesting Period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("Milestone Two");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20%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the Earnout Shares will vest upon AeroFlexx having received in excess of $15,000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revenue within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Vesting Period ("Milestone Three").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Sponsor Earnout Shares have a vesting provision that occurs upon a change of control event or upon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occurrence of the VWAP of the shares of Innventure, Inc. Common Stock exceeding $11.50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for at least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twenty</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days in any immediately preceding thirty</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day period (the "VWAP Completion Event"). These vesting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conditions are not effective on the Company Earnout shares until 6 months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following the Business Combination.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F-35</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Earnout Shares related to Milestone One and Milestone Two were determined to be classified as equity. At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Closing, 4,275,862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equity-classified Earnout Shares were fair valued at $46,350, inclusive of 2,137,931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Milestone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One shares fair valued at $23,175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2,137,931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Milestone Two shares fair valued at $23,175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which are presented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Additional paid-in capital</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consolidated balance sheets.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Earnout Shares related to Milestone Three are classified as a liability. At Closing, 1,068,966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liability-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classified Earnout Shares were fair valued at  $11,352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subsequently fair valued at $14,752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of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The Company recognized a loss of  $3,400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Change in fair value of financial liabilities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consolidated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statements of operations and comprehensive income (loss)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11. Warrants</w:t>
      </w:r>
    </w:p>
    <w:tbl>
      <w:tblPr>
        <w:tblW w:w="8982" w:type="dxa"/>
        <w:jc w:val="left"/>
        <w:tblInd w:w="0" w:type="dxa"/>
        <w:tblLayout w:type="fixed"/>
        <w:tblCellMar>
          <w:top w:w="28" w:type="dxa"/>
          <w:left w:w="28" w:type="dxa"/>
          <w:bottom w:w="28" w:type="dxa"/>
          <w:right w:w="28" w:type="dxa"/>
        </w:tblCellMar>
      </w:tblPr>
      <w:tblGrid>
        <w:gridCol w:w="5176"/>
        <w:gridCol w:w="1306"/>
        <w:gridCol w:w="109"/>
        <w:gridCol w:w="931"/>
        <w:gridCol w:w="109"/>
        <w:gridCol w:w="1351"/>
      </w:tblGrid>
      <w:tr>
        <w:trPr/>
        <w:tc>
          <w:tcPr>
            <w:tcW w:w="517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Public Warrants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Private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WTI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Warrants</w:t>
            </w:r>
          </w:p>
        </w:tc>
      </w:tr>
      <w:tr>
        <w:trPr/>
        <w:tc>
          <w:tcPr>
            <w:tcW w:w="517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Outstanding, October 2, 2024 (Successor)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11,499,997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7,146,000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Exercised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(259,309)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Issued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0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w:t>
            </w:r>
          </w:p>
        </w:tc>
      </w:tr>
      <w:tr>
        <w:trPr/>
        <w:tc>
          <w:tcPr>
            <w:tcW w:w="517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Outstanding, December 31, 2024 (Successor)</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11,240,688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7,146,000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There were no warrants outstanding during the Predecessor period from January 1, 2024 through October 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nor the Predecessor year ended December 31, 2023.</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Public and Private Placement Warrants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Upon the consummation of the Business Combination, 11,499,997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Learn CW public warrants and 7,146,000</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private placement warrants outstanding immediately prior to Closing was assumed by the Company and each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converted into  Company warrant ("Warrant"). All references to “Class A ordinary shares” of Learn CW in Learn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CW’s prior agreement were amended to shares of Common Stock of the Company. The Warrants will become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exercisable on November 1, 2024 and will expire on October 2, 2029 or earlier upon redemption or liquidation.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Warrants are exercisable for $11.50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share.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private placement warrants are identical to the public warrants, except that the private placement warrants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the Common Stock issuable upon the exercise of the private placement warrants will not be transferable,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assignable or salable until 30 days after the completion of the Business Combination, subject to certain limited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exceptions. Additionally, the private placement warrants will be exercisable on a cashless basis and will be non-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redeemable so long as they are held by the initial purchasers or their permitted transferees. If the private placement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warrants are held by someone other than the initial purchasers or their permitted transferees, the private placement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warrants will be redeemable by Learn CW and exercisable by such holders on the same basis as the public warrants.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Public Warrants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determined the public warrants are equity-classified and are presented as permanent equity 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balance sheets. As such, the public warrants are measured at fair value at Closing using the warrant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price at Closing multiplied by the number of public warrants and will not be subsequently re-measured. At Closing,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fair value of the equity classified public warrants was $1,265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is presented in the consolidated balance sheets.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See Note 4. Fair Value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details on valuation. The public warrants expire on October 2, 2029. During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Successor period from October 2, 2024 through December 31, 2024, 259,309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public warrants were exercised. Each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public warrant that was exercised was converted into one share of Common Stock for an exercise price of $11.50,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amounting to a total of $2,982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cash proceeds. </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Private Placement Warrants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private placement warrants are liability classified and are not eligible for an exception from derivative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accounting. The private placement warrants are presented as a current liability on the consolidated balance sheets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F-36</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given their exercisable term, which is 30 days from Closing. The private placement warrants are measured at fair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value based on the price of the public warrants (Level 2 fair value measurement).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Closing and December 31, 2024, the fair value of the liability-classified private placement warrants is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$786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$16,793, respectively, and is presented in the consolidated balance sheets. For the Successor period from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October 2, 2024 through December 31, 2024, the company recognized a loss of $16,007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Change in fair value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financial liabilities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on the consolidated statements of operations and comprehensive income (loss).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There were no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private warrants exercised for the year ended December 31, 2024.</w:t>
      </w:r>
    </w:p>
    <w:tbl>
      <w:tblPr>
        <w:tblW w:w="8612" w:type="dxa"/>
        <w:jc w:val="left"/>
        <w:tblInd w:w="0" w:type="dxa"/>
        <w:tblLayout w:type="fixed"/>
        <w:tblCellMar>
          <w:top w:w="28" w:type="dxa"/>
          <w:left w:w="28" w:type="dxa"/>
          <w:bottom w:w="28" w:type="dxa"/>
          <w:right w:w="28" w:type="dxa"/>
        </w:tblCellMar>
      </w:tblPr>
      <w:tblGrid>
        <w:gridCol w:w="3766"/>
        <w:gridCol w:w="931"/>
        <w:gridCol w:w="109"/>
        <w:gridCol w:w="1126"/>
        <w:gridCol w:w="109"/>
        <w:gridCol w:w="1276"/>
        <w:gridCol w:w="109"/>
        <w:gridCol w:w="1186"/>
      </w:tblGrid>
      <w:tr>
        <w:trPr/>
        <w:tc>
          <w:tcPr>
            <w:tcW w:w="37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r>
      <w:tr>
        <w:trPr/>
        <w:tc>
          <w:tcPr>
            <w:tcW w:w="37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3766"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Expiration Date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Balance</w:t>
            </w:r>
          </w:p>
        </w:tc>
      </w:tr>
      <w:tr>
        <w:trPr/>
        <w:tc>
          <w:tcPr>
            <w:tcW w:w="37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Private Warrants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7,146,000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$16,793</w:t>
            </w:r>
          </w:p>
        </w:tc>
      </w:tr>
    </w:tbl>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WTI Warrants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On October 22, 2024, in connection with the WTI Facility, the Company issued warrants (the </w:t>
      </w:r>
      <w:r>
        <w:rPr>
          <w:caps w:val="false"/>
          <w:smallCaps w:val="false"/>
          <w:strike w:val="false"/>
          <w:dstrike w:val="false"/>
          <w:sz w:val="24"/>
          <w:u w:val="none"/>
          <w:effect w:val="none"/>
        </w:rPr>
        <w:t>“</w:t>
      </w:r>
      <w:r>
        <w:rPr>
          <w:rFonts w:ascii="Times New Roman;sans-serif" w:hAnsi="Times New Roman;sans-serif"/>
          <w:b w:val="false"/>
          <w:i w:val="false"/>
          <w:caps w:val="false"/>
          <w:smallCaps w:val="false"/>
          <w:strike w:val="false"/>
          <w:dstrike w:val="false"/>
          <w:sz w:val="20"/>
          <w:u w:val="none"/>
          <w:effect w:val="none"/>
        </w:rPr>
        <w:t>WTI Warrants</w:t>
      </w:r>
      <w:r>
        <w:rPr>
          <w:caps w:val="false"/>
          <w:smallCaps w:val="false"/>
          <w:strike w:val="false"/>
          <w:dstrike w:val="false"/>
          <w:sz w:val="24"/>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the WTI Lenders. The WTI Warrants allow the holders to acquire shares of the Company’s Common Stock or 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future equity securities issued by the Company (</w:t>
      </w:r>
      <w:r>
        <w:rPr>
          <w:caps w:val="false"/>
          <w:smallCaps w:val="false"/>
          <w:strike w:val="false"/>
          <w:dstrike w:val="false"/>
          <w:sz w:val="24"/>
          <w:u w:val="none"/>
          <w:effect w:val="none"/>
        </w:rPr>
        <w:t>“</w:t>
      </w:r>
      <w:r>
        <w:rPr>
          <w:rFonts w:ascii="Times New Roman;sans-serif" w:hAnsi="Times New Roman;sans-serif"/>
          <w:b w:val="false"/>
          <w:i w:val="false"/>
          <w:caps w:val="false"/>
          <w:smallCaps w:val="false"/>
          <w:strike w:val="false"/>
          <w:dstrike w:val="false"/>
          <w:sz w:val="20"/>
          <w:u w:val="none"/>
          <w:effect w:val="none"/>
        </w:rPr>
        <w:t>Subsequent Round Stock</w:t>
      </w:r>
      <w:r>
        <w:rPr>
          <w:caps w:val="false"/>
          <w:smallCaps w:val="false"/>
          <w:strike w:val="false"/>
          <w:dstrike w:val="false"/>
          <w:sz w:val="24"/>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 for cash, at a purchase price equal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share. The number of shares acquirable is determined by dividing $10,000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by the applicable exercise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price, which varies depending on the type of stock acquired and certain other conditions.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If the WTI Lenders choose to exercise the warrants for Common Stock, the exercise price is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 however, if the volume-weighted average price (VWAP) of the Company's Common Stock is less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than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share as of the date which is eighteen months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after the Company's Common Stock began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trading, then the exercise price shall be reduced to such lower VWAP.</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If the WTI Lenders choose to exercise the warrants for Subsequent Round Stock, the exercise price shall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lowest price per share paid by any person for the Company's equity securities issued in a corresponding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subsequent round.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WTI Warrants are exercisable at the option of the holders until March 31, 2035, and may be exchanged 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 cash amount of $15,000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(subject to ratable reduction for partial exercises) upon the occurrence of certain liquidity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events or at any time from and after October 22, 2028. The holders also have the right to participate in future equity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or convertible debt offerings up to an aggregate amount of $5,000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or to maintain their pro rata ownership, subject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customary exclusions.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WTI Warrants are considered freestanding financial instruments and are recorded at fair value on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consolidated balance sheets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a warrant liability. The fair value of the WTI Warrants upon issuance was $15,690.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the period from issuance to December 31, 2024, the Company recognized a loss of $1,540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Change in fair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value of financial liabilities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consolidated statements of operations and comprehensive income (loss).  See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Note 4. Fair Value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details on the valuation.</w:t>
      </w:r>
    </w:p>
    <w:tbl>
      <w:tblPr>
        <w:tblW w:w="8537" w:type="dxa"/>
        <w:jc w:val="left"/>
        <w:tblInd w:w="0" w:type="dxa"/>
        <w:tblLayout w:type="fixed"/>
        <w:tblCellMar>
          <w:top w:w="28" w:type="dxa"/>
          <w:left w:w="28" w:type="dxa"/>
          <w:bottom w:w="28" w:type="dxa"/>
          <w:right w:w="28" w:type="dxa"/>
        </w:tblCellMar>
      </w:tblPr>
      <w:tblGrid>
        <w:gridCol w:w="3691"/>
        <w:gridCol w:w="931"/>
        <w:gridCol w:w="109"/>
        <w:gridCol w:w="1126"/>
        <w:gridCol w:w="109"/>
        <w:gridCol w:w="1276"/>
        <w:gridCol w:w="109"/>
        <w:gridCol w:w="1186"/>
      </w:tblGrid>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r>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Expiration Date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Balance</w:t>
            </w:r>
          </w:p>
        </w:tc>
      </w:tr>
      <w:tr>
        <w:trPr/>
        <w:tc>
          <w:tcPr>
            <w:tcW w:w="36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WTI Warrants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varies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3/31/2025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$17,230</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F-37</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12. Mezzanine Capital</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Predecessor period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redemption of Class PCTA Units or Class I Units is not solely in control of the Company and, as such, both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classes of units are considered redeemable at the option of the holder. The Class PCTA Units are probable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becoming redeemable and the Class I Units are currently redeemable. As such, these units are accreted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redemption value at each reporting date.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Valuation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Class PCTA Units are valued on a monthly basis to align with the underlying value of the PCT stock. Changes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redemption value (e.g., fair value) are recognized immediately as they occur and the carrying value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instrument is adjusted to equal the redemption value at the end of each reporting period. Class I Units are valued 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 quarterly basis based on the underlying fair value of the ESG Fund.</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Voting</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Class PCTA Units carry the right to hold, vote and dispose of the Company’s investment in the related 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PCT common stock. All Class PCTA Units are held by Innventure1 LLC (“Innventure1”). Class I Units carry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right to hold, vote and dispose of the Company’s partnership interest in the ESG Fund with respect to its General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Partner (“GP”) affiliated commitment. Class I Units are held by WE-INN LLC. The holders of units of any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class are not permitted to vote on matters specific to the Class PCTA or Class I Units.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Liquidation Preference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Distributions to Class PCTA and Class I Unit holders are based on their ownership percentage of the respective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class.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Redemption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will distribute unencumbered shares of PCT common stock, held in connection with the Class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PCTA Units back to Innventure1, as the original contributing member, and at the election of Innventure1. When this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occurs, Innventure1 is obligated to either invest the after-tax net proceeds into the Company or contribute the shares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PCT common stock (an in-kind capital contribution) back to the Company in exchange for Class B-1 Preferred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Units. With respect to up to 1,000,000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Class PCTA Units, Innventure1 is obligated to acquire Class B-1 Preferred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Units after the achievement of certain operational milestones at PCT.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in-kind capital contributions will correspond to the release of the Company’s obligations under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contractual lock-up agreement related to PCT's common stock and will be equal to the product of the weighted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average per share closing price for one share of PCT common stock for each full trading day during the 30-day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 ending on the date of such transfer and multiplied by 0.8. There is no maximum amount the Company could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be required to pay if the instrument is redeemed.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will distribute the Class I investments held by Innventus ESG Fund I, L.P., to the investor in-kind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at the election of WE-INN LLC. There is no maximum amount that the Company could be required to pay if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instrument is redeemed.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13. Stockholders' Equity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periods prior to the Closing, the Predecessor had Class B Preferred Units, Class B-1 Preferred Units, Class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 Units and Class C Units issued and outstanding. In connection with the Business Combination on October 2,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2024, as described in Note 8. Business Combinations, the Successor acquired all membership interests that were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existence for the Predecessor.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F-38</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Series B Preferred Stock</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is authorized to issue 25,000,000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preferred stock with a par value of $0.0001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which, 3,000,000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shares of preferred stock are designated as Series B Preferred Stock. Immediately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following the Business Combination, Innventure issued 1,102,000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Series B Preferred Stock at a purchase price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(the “Original Issue Price”) for a total amount of $11,020.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Series B Preferred Stock are subject to: (i) a mandatory conversion on the date that is five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after original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issuance (the “Maturity Date”); and (ii) an optional conversion, at the election of the holder, at any time prior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Maturity Date upon the effectiveness of a registration statement by the Company registering the underlying 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issuable upon conversion. The number of shares of Common Stock that each holder of Series B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Preferred Stock will receive upon conversion will be the number of Series B Preferred shares multiplied by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Conversion Rate, subject to a threshold amount. The conversion rate (“Conversion Rate”) will equal a fraction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whose numerator is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whose denominator is the lesser of: (i) $12.50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(ii) the Reset Conversion Price,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where the “Reset Conversion Price” means the greater of: (a) $5.00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(b) the 10-trading day volume-weighted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average closing price of the Common Stock. Any fractional shares resulting from conversion will be rounded up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next whole share.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Holders of Series B Preferred Stock are entitled to cast the number of votes equal to: (i) $10.00, divided by (ii)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Minimum Price (which shall have the meaning assigned in Nasdaq Listing Rule 5635(d)) of Common Stock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the initial issue date of the Series B Preferred Stock. Holders of Series B Preferred Stock will vote with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holders of Common Stock as a single class and on an as-converted basis, except as provided by law or applicable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Nasdaq Listing Rules. The voting power of Series B Preferred Stock holders cannot exceed 19.99%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total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outstanding voting power.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Series B Preferred Stock will rank senior to the Common Stock, which is junior stock when compared to Series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B Preferred Stock. Dividends for Series B Preferred Stock will accrue annually at the rate of 8.0%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Original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Issue Price of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All dividends are prior to and in preference over any dividend on any junior stock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parity stock and shall be declared and fully paid before any dividends are declared and paid, or any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distributions are made, on any junior stock or parity stock. When dividends are declared by the Company’s board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directors, dividends will be due and payable annually in arrears as payment in kind on the last day of the last quarter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each fiscal year. Holders of Series B Preferred Stock are also eligible to receive dividends and distributions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declared on Common Stock, as though their shares were converted into Common Stock, based on the Conversion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Rate, using assets legally available for distribution by the Company. The preferred dividends that became due 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were recorded within Obligation to issue equity</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consolidated balance sheets. As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December 31, 2024, the cumulative dividends on Series B Preferred Stock were $217.</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Common Stock</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is authorized to issue 250,000,000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Common Stock with a par value of $0.0001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share. Holders of the Company’s common stock are entitled to one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vote for each share. Immediately following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Business Combination, there were 43,589,850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Common Stock issued and outstanding as further discussed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Note 8. Business Combinations. As of December 31, 2024 there were 44,597,154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Common Stock issued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outstanding due to the issuance of Common Stock, exercise of Public Warrants, the issuance of Common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relation to the Standby Equity Purchase Agreement, and the vesting of Earnout Shares that occurred prior to year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Standby Equity Purchase Agreement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October 2023, we entered into the SEPA with YA II PN, LTD., an exempt limited partnership from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Cayman Islands (“Yorkville”). Concurrently with the Business Combination, this agreement became effective.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Pursuant to the SEPA, the Company shall have the right, but not the obligation, to sell to Yorkville up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$75,000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Common Stock, par value $0.0001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at the Company’s request any time during the commitment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period commencing on the Closing and continuing for a term of 3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(“Purchased Put Option”). As consideration,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Innventure agreed and paid, to YA Global II SPV, LLC, a subsidiary of Yorkville, (i) a structuring fee in the amount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F-39</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(ii) a commitment fee of $375. The commitment fee was expensed in full immediately following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consummation of the Business Combination, according to ASC 815, and recorded within the General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administrative expense line item in the consolidated statements of operations and comprehensive income (loss)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year ended December 31, 2024.</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Each advance that Innventure issues in writing to Yorkville under the SEPA (each, an “Advance,” and notice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such request, and “Advance Notice”) may be in an amount of Common Stock up to the greater of: (i) $10,000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or (ii)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aggregate daily trading volume of Common Stock for the five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trading days prior to Innventure requesting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Advance. The purchase price for the shares of Common Stock set forth in the Advance is determined by multiplying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market price of Common Stock by either (a) 95%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daily volume weighted average price (“VWAP”) during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applicable one-day</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pricing period or (b) 97%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the lowest daily VWAP during the applicable three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consecutive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trading day pricing period. The applicable pricing period depends on the type of Advance Notice selected by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under the SEPA. Additionally, the Company may establish a minimum acceptable price in each Advance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Notice below which the Company will not be obligated to make any sales to Yorkville. Once the Company draws 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SEPA, the related number of shares issuable constitutes a forward contract to issue common stock (“Forward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Contract”).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SEPA will automatically terminate on the earlier to occur of (i) November 01, 2027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(ii) the date 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which Yorkville shall have made payment of advances pursuant to the SEPA for Common Stock equal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commitment amount of  $75,000.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December 24, 2024, the Company issued and sold 60,000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Common Stock in amount of $770,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based on the settlement date closing stock price. Additionally, on December 30, 2024, the Company issued and sold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75,000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Common Stock in an amount of $965.</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the year ended December 31, 2024, the Company sold 135,000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Common Stock under the SEPA,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raising $1,735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which is classified within Issuance of common shares, net of issuance costs in the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statements of changes in stockholders' equity (deficit).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At Risk Sponsor Shares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connection with the Business Combination Agreement, the Company entered into the Sponsor Support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Agreement under which 5,000,000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were issued to the Sponsor at the Closing, as follows: 2,775,172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Fixed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Shares, 344,828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Sponsor Earnout Shares, and 1,880,000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At Risk Sponsor Shares.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Fixed Shares issued to the sponsor are not subject to any contingencies or forfeiture provisions.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Sponsor Earnout Shares are issued until they are deemed forfeited due to non-achievement of the associated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Milestones. See Note 10. Earnout Shares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more discussion on the Sponsor Earnout Shares. The At Risk Sponsor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are issued, but a portion of such shares are subject to forfeiture in case the Company is not able to secure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additional financing based on the calculation within the Sponsor Support Agreement. As per the discussion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additional financing per the Sponsor Support Agreement, the number of shares subject to forfeiture were calculated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be 587,995. The rest of the At-Risk Sponsor Shares, 1,292,005, were free from any forfeiture conditions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contingencies.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When the Company received the First Tranche of the WTI Facility on November 15, 2024, the additional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financing condition was met and all the remaining At-Risk Sponsor Shares were considered non-forfeitable and free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from any contingencies. See Note 5. Borrowings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more discussion over the First Tranche of the WTI Facility.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Similar to the Sponsor Earnout Shares, all the At-Risk Sponsor Shares were entitled to non-forfeitable dividends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or distributions along with other common stockholders of the Company, from their issuance date.</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Service Provider Shares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December 2023, the Company entered into an agreement to receive financial advisory services in exchange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equity. Upon Closing of the Business Combination, the Company became liable for $441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Common Stock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divided by the conversion price of $10.87, resulting in 40,552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In connection with the closing of the WTI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F-40</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Facility mentioned in Note 5. Borrowings, the Company became liable for $500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worth of Common Stock calculated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the volume-weighted average price of the Common Stock over the five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consecutive trading days ending on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trading day immediately preceding November 15, 2024, $11.13, for a total of 44,919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The resulting liabilities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these unissued securities are included within Liability for future equity issuance on the consolidated balance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sheets.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October 2023, the Company entered into an agreement to receive financial advisory services in exchange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equity. Upon Closing of the Business Combination, the Company is obligated to pay a success fee in cash in an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amount of $600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equity success fee in $3,000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Series C Preferred Stock, par value $0.0001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of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 (the “Series C Preferred Stock”) at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As of December 31, 2024, the Company has no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Series C Preferred Stock outstanding and, therefore, has not yet issued this 300,000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Series C Preferred Stock.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resulting liabilities for these unissued securities are included within Obligation to issue equity</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14. Stock-based Compensation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Capital Incentive Plan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Predecessor’s capital incentive plan (the “Capital Incentive Plan”), as amended, permitted the grant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1,585,125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Class C Units to its employees, directors, and consultants, as designated by the Board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Directors. Upon Closing of the Business Combination, the vesting of all Innventure LLC unvested Class C Capital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Incentive Plan units was accelerated, resulting in 203,651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units vested and additional compensation expense of $223.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Class C Capital Incentive Plan units were then immediately exchanged as part of the Business Combination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Common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recognized compensation costs related to the Capital Incentive Plan as follows: </w:t>
      </w:r>
    </w:p>
    <w:tbl>
      <w:tblPr>
        <w:tblW w:w="9271" w:type="dxa"/>
        <w:jc w:val="left"/>
        <w:tblInd w:w="0" w:type="dxa"/>
        <w:tblLayout w:type="fixed"/>
        <w:tblCellMar>
          <w:top w:w="28" w:type="dxa"/>
          <w:left w:w="28" w:type="dxa"/>
          <w:bottom w:w="28" w:type="dxa"/>
          <w:right w:w="28" w:type="dxa"/>
        </w:tblCellMar>
      </w:tblPr>
      <w:tblGrid>
        <w:gridCol w:w="5041"/>
        <w:gridCol w:w="1336"/>
        <w:gridCol w:w="109"/>
        <w:gridCol w:w="109"/>
        <w:gridCol w:w="1381"/>
        <w:gridCol w:w="109"/>
        <w:gridCol w:w="1186"/>
      </w:tblGrid>
      <w:tr>
        <w:trPr/>
        <w:tc>
          <w:tcPr>
            <w:tcW w:w="50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041"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041"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Period from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Period from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0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Compensation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w:t>
            </w:r>
          </w:p>
        </w:tc>
      </w:tr>
    </w:tbl>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2024 Equity and Incentive Compensation Plan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October 2, 2024, the Company entered into the 2024 Equity and Incentive Compensation Plan (the “Plan”),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wherein the Company is permitted to grant awards to employees, directors, consultants, and former service providers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the Company. The Plan provides for the granting of awards including, restricted stock units (“RSUs”),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options, and stock appreciation rights (“SARs”). The number of shares of Common Stock available under the Plan is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initially limited to 11,022,894. The share limit will automatically increase by 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first day of each fiscal year,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beginning in 2025, unless a smaller number of shares is determined by the Board of Directors.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December 9, 2024, the Company granted 975,409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stock options and 2,036,476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restricted stock units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(together the “Awards”) to certain directors, employees and consultants. The Awards vest over the service periods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defined in each individual grant agreement, which is generally accelerated upon a change in control. All RSUs will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 vested by May 1, 2027 and all stock options will be vested by April 30, 2027. The fair value of the Awards issued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to employees is recognized as compensation expense on a straight-line basis over the requisite service period.</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Restricted Stock Units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Each RSU represents the right to receive one share of Common Stock upon vesting of such RSU. The fair value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RSUs is determined based on the closing market price of the Company’s Common Stock at the date of the grant.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If a cash dividend is declared on the Company’s Common Stock before the RSUs have vested, holders of RSUs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entitled to received dividends in the form of a cash credit, and shall be paid in cash at the same time as the RSUs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settled.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F-41</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summary of RSU activity for the Successor period from October 2, 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follows:</w:t>
      </w:r>
    </w:p>
    <w:tbl>
      <w:tblPr>
        <w:tblW w:w="8752" w:type="dxa"/>
        <w:jc w:val="left"/>
        <w:tblInd w:w="0" w:type="dxa"/>
        <w:tblLayout w:type="fixed"/>
        <w:tblCellMar>
          <w:top w:w="28" w:type="dxa"/>
          <w:left w:w="28" w:type="dxa"/>
          <w:bottom w:w="28" w:type="dxa"/>
          <w:right w:w="28" w:type="dxa"/>
        </w:tblCellMar>
      </w:tblPr>
      <w:tblGrid>
        <w:gridCol w:w="6346"/>
        <w:gridCol w:w="931"/>
        <w:gridCol w:w="109"/>
        <w:gridCol w:w="1366"/>
      </w:tblGrid>
      <w:tr>
        <w:trPr/>
        <w:tc>
          <w:tcPr>
            <w:tcW w:w="6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Weighted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Grant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Date Fair Value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 share)</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Granted on December 9,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2,036,476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Vested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131,468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Forfeited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Non-vested at 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1,905,008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During the Successor period from October 2, 2024 through December 31, 2024, the Company recognized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compensation costs related to the RSUs of $1,604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within General and administrative expense in the consolidated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statements of operations and comprehensive income (loss). As of December 31, 2024, the Company had $23,241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stock-based compensation expense remaining to be recognized over approximately 1.65 years.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Stock Options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stock options were granted with an exercise price of $12.20, which aligns with the Company’s closing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 price on December 9, 2024. Using the Black-Scholes option pricing model, the estimated grant date fair value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stock options was $6,468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based on an expected volatility of 56%, an expected option term of approximately 5.28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5.62 years, and risk-free rate of return of 4.0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- 4.1%. The stock options have a maximum contractual life, and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weighted average remaining contractual term, of 10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from the grant date.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Stock options activity for the Successor period from October 2, 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is as follows:</w:t>
      </w:r>
    </w:p>
    <w:tbl>
      <w:tblPr>
        <w:tblW w:w="9087" w:type="dxa"/>
        <w:jc w:val="left"/>
        <w:tblInd w:w="0" w:type="dxa"/>
        <w:tblLayout w:type="fixed"/>
        <w:tblCellMar>
          <w:top w:w="28" w:type="dxa"/>
          <w:left w:w="28" w:type="dxa"/>
          <w:bottom w:w="28" w:type="dxa"/>
          <w:right w:w="28" w:type="dxa"/>
        </w:tblCellMar>
      </w:tblPr>
      <w:tblGrid>
        <w:gridCol w:w="5161"/>
        <w:gridCol w:w="931"/>
        <w:gridCol w:w="109"/>
        <w:gridCol w:w="1411"/>
        <w:gridCol w:w="109"/>
        <w:gridCol w:w="1366"/>
      </w:tblGrid>
      <w:tr>
        <w:trPr/>
        <w:tc>
          <w:tcPr>
            <w:tcW w:w="51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Weighted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Exercise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Price</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Weighted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Grant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Date Fair Value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 share)</w:t>
            </w:r>
          </w:p>
        </w:tc>
      </w:tr>
      <w:tr>
        <w:trPr/>
        <w:tc>
          <w:tcPr>
            <w:tcW w:w="51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Granted on December 9,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975,409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$6.63</w:t>
            </w:r>
          </w:p>
        </w:tc>
      </w:tr>
      <w:tr>
        <w:trPr/>
        <w:tc>
          <w:tcPr>
            <w:tcW w:w="51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Vested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61,560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6.63</w:t>
            </w:r>
          </w:p>
        </w:tc>
      </w:tr>
      <w:tr>
        <w:trPr/>
        <w:tc>
          <w:tcPr>
            <w:tcW w:w="51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Exercised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Forfeited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Outstanding at 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913,849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$6.63</w:t>
            </w:r>
          </w:p>
        </w:tc>
      </w:tr>
      <w:tr>
        <w:trPr/>
        <w:tc>
          <w:tcPr>
            <w:tcW w:w="51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Exercisable at 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During the Successor period from October 2, 2024 through December 31, 2024, the Company recognized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compensation costs related to the stock options of $405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within General and administrative expense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statements of operations and comprehensive income (loss). As of December 31, 2024, the Company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had $6,063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compensation expense remaining to be recognized over approximately 1.68 years.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Stock Appreciation Rights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December 31, 2024 the Company granted 350,000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stock appreciation rights with respect to the equity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Accelsius Holdings LLC. The SARs were awarded to certain Innventure directors, officers, and former service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providers of the Company and its affiliates (the “Participants”). The SARs entitle the Participants to 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or cash, equal to the value of the appreciation in Accelsius’ stock price over the base price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$12.175. Two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Participants, who were considered non-employees, were granted cash-settled SARs and three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Participants were granted stock-settled SARs. The cash-settled SARs are considered liability-classified and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stock-settled SARs are considered equity-classified</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Both the cash-settled SARs and stock-settled SARs will be automatically exercised upon the two-year</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anniversary of the date of grant. The weighted average contractual term is 2 years.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F-42</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estimated grant date fair value of the cash-settled SARs and the stock-settled SARs was $1,160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$12,371, respectively. The SARs were valued using the Black-Scholes option-pricing model based on an expected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volatility of 70%, an expected term of approximately 2 years, and risk-free rate of return of 4%. The SARs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considered fully vested at the date of grant and compensation cost for both SARs was recognized immediately at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date of grant. During the Successor period from October 2, 2024 through December 31, 2024, the Company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recorded $13,531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compensation expense related to the SARs within General and administrative expense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consolidated statements of operations and comprehensive income (loss).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summary of SARs activity for the Successor period from October 2, 2024 through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follows:</w:t>
      </w:r>
    </w:p>
    <w:tbl>
      <w:tblPr>
        <w:tblW w:w="9207" w:type="dxa"/>
        <w:jc w:val="left"/>
        <w:tblInd w:w="0" w:type="dxa"/>
        <w:tblLayout w:type="fixed"/>
        <w:tblCellMar>
          <w:top w:w="28" w:type="dxa"/>
          <w:left w:w="28" w:type="dxa"/>
          <w:bottom w:w="28" w:type="dxa"/>
          <w:right w:w="28" w:type="dxa"/>
        </w:tblCellMar>
      </w:tblPr>
      <w:tblGrid>
        <w:gridCol w:w="2521"/>
        <w:gridCol w:w="931"/>
        <w:gridCol w:w="109"/>
        <w:gridCol w:w="1126"/>
        <w:gridCol w:w="109"/>
        <w:gridCol w:w="991"/>
        <w:gridCol w:w="109"/>
        <w:gridCol w:w="931"/>
        <w:gridCol w:w="109"/>
        <w:gridCol w:w="1126"/>
        <w:gridCol w:w="109"/>
        <w:gridCol w:w="1036"/>
      </w:tblGrid>
      <w:tr>
        <w:trPr/>
        <w:tc>
          <w:tcPr>
            <w:tcW w:w="252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3266"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Cash-settled SARs</w:t>
            </w:r>
          </w:p>
        </w:tc>
        <w:tc>
          <w:tcPr>
            <w:tcW w:w="109" w:type="dxa"/>
            <w:tcBorders/>
            <w:vAlign w:val="center"/>
          </w:tcPr>
          <w:p>
            <w:pPr>
              <w:pStyle w:val="TableContents"/>
              <w:bidi w:val="0"/>
              <w:spacing w:before="0" w:after="283"/>
              <w:jc w:val="left"/>
              <w:rPr>
                <w:sz w:val="4"/>
                <w:szCs w:val="4"/>
              </w:rPr>
            </w:pPr>
            <w:r>
              <w:rPr>
                <w:sz w:val="4"/>
                <w:szCs w:val="4"/>
              </w:rPr>
            </w:r>
          </w:p>
        </w:tc>
        <w:tc>
          <w:tcPr>
            <w:tcW w:w="331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Stock-settled SARs</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Weighted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Exercise Price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Weighted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Grant Date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Weighted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Exercise Price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Weighted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Grant Date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 share)</w:t>
            </w:r>
          </w:p>
        </w:tc>
      </w:tr>
      <w:tr>
        <w:trPr/>
        <w:tc>
          <w:tcPr>
            <w:tcW w:w="25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Granted on December 9,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$38.66</w:t>
            </w:r>
          </w:p>
        </w:tc>
      </w:tr>
      <w:tr>
        <w:trPr/>
        <w:tc>
          <w:tcPr>
            <w:tcW w:w="25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Vested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5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Exercised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5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Forfeited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5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Outstanding at December 31,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$38.66</w:t>
            </w:r>
          </w:p>
        </w:tc>
      </w:tr>
      <w:tr>
        <w:trPr/>
        <w:tc>
          <w:tcPr>
            <w:tcW w:w="25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Exercisable at December 31,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Subsidiary Equity Plans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Accelsius Subsidiary Equity Plan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Accelsius, a subsidiary of the Company, adopted an equity incentive plan on March 24, 2022 (the “Accelsius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Subsidiary Equity Plan”). In March 2023, the Accelsius Subsidiary Equity Plan was amended to permit the grant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3,300,000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Class C units of the subsidiary to the subsidiary’s employees, directors, and consultants, as designated by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Board of Directors. The awards vest over the period defined in each individual grant agreement which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generally accelerated upon a change of control event. Accelsius has the option to repurchase all vested units upon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employee’s termination of employment or service.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summary of Accelsius Subsidiary Equity Plan activity is as follows:</w:t>
      </w:r>
    </w:p>
    <w:tbl>
      <w:tblPr>
        <w:tblW w:w="9436" w:type="dxa"/>
        <w:jc w:val="left"/>
        <w:tblInd w:w="0" w:type="dxa"/>
        <w:tblLayout w:type="fixed"/>
        <w:tblCellMar>
          <w:top w:w="28" w:type="dxa"/>
          <w:left w:w="28" w:type="dxa"/>
          <w:bottom w:w="28" w:type="dxa"/>
          <w:right w:w="28" w:type="dxa"/>
        </w:tblCellMar>
      </w:tblPr>
      <w:tblGrid>
        <w:gridCol w:w="5206"/>
        <w:gridCol w:w="1336"/>
        <w:gridCol w:w="109"/>
        <w:gridCol w:w="109"/>
        <w:gridCol w:w="1381"/>
        <w:gridCol w:w="109"/>
        <w:gridCol w:w="1186"/>
      </w:tblGrid>
      <w:tr>
        <w:trPr/>
        <w:tc>
          <w:tcPr>
            <w:tcW w:w="520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20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 Period</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 Period</w:t>
            </w:r>
          </w:p>
        </w:tc>
      </w:tr>
      <w:tr>
        <w:trPr/>
        <w:tc>
          <w:tcPr>
            <w:tcW w:w="520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Period from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Period from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2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Compensation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$1,341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$705</w:t>
            </w:r>
          </w:p>
        </w:tc>
      </w:tr>
      <w:tr>
        <w:trPr/>
        <w:tc>
          <w:tcPr>
            <w:tcW w:w="52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Class C units granted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168,500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365,500</w:t>
            </w:r>
          </w:p>
        </w:tc>
      </w:tr>
      <w:tr>
        <w:trPr/>
        <w:tc>
          <w:tcPr>
            <w:tcW w:w="52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Weighted average grant date fair value per share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$46.38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$3.80</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Note: The grant date fair value per share for the year ended December 31, 2023 is an average amount.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recognizes compensation costs within General and administrative, Sales and marketing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Research and development expense in the consolidated statements of operations and comprehensive income (loss).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 the Company had $8,103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unit-based compensation expense remaining to be recognized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over approximately 2.42 years.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F-43</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grant date fair value was estimated using an Option Pricing Model to allocate the total equity value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Accelsius to the Class C Units. The total equity value was estimated using the Discounted Cash Flow method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Management’s projections. The resulting values of Class C Units were then discounted for lack of marketability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(20%).</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Series A Issuance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October, 18 2024, Accelsius issued 16,427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equity classified Series A Preferred Units to an employee of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 which was determined to be stock based payment. The grant date fair value of $616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recognized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compensation cost (within General and administrative expense in the consolidated statements of operations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comprehensive income (loss)), immediately at the date of grant as there is no requisite service period or vesting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 The fair value of the awards was estimated using a Black-Scholes model with a discount for lack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marketability of 20%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applied.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15. Revenues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 2024, the Company began selling products and services in its technology segment.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provides investment management services to the ESG Fund, a related party, through which it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earns revenue from management fees. Management fee revenue is affected by economic factors related to the asset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class composition of the holdings and the contractual terms such as the basis for calculating the management fees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investors’ ability to redeem. The Company did not recognize any carried interest allocation during the Successor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 from October 2, 2024 through December 31, 2024, the Predecessor period from January 1, 2024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October 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the Predecessor year ended December 31, 2023, as the amounts were probable of significant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reversal given the consideration is highly susceptible to factors outside the Company's influence. Cumulative carried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 allocation amounts that are subject to restraint and as such are not yet recognized were $11,282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$5,880</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2023, respectively. The Company also provides management services to AeroFlexx,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which do not have a carried interest feature.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represents the breakout of revenue by source:</w:t>
      </w:r>
    </w:p>
    <w:tbl>
      <w:tblPr>
        <w:tblW w:w="9237" w:type="dxa"/>
        <w:jc w:val="left"/>
        <w:tblInd w:w="0" w:type="dxa"/>
        <w:tblLayout w:type="fixed"/>
        <w:tblCellMar>
          <w:top w:w="28" w:type="dxa"/>
          <w:left w:w="28" w:type="dxa"/>
          <w:bottom w:w="28" w:type="dxa"/>
          <w:right w:w="28" w:type="dxa"/>
        </w:tblCellMar>
      </w:tblPr>
      <w:tblGrid>
        <w:gridCol w:w="5116"/>
        <w:gridCol w:w="1336"/>
        <w:gridCol w:w="109"/>
        <w:gridCol w:w="1381"/>
        <w:gridCol w:w="109"/>
        <w:gridCol w:w="1186"/>
      </w:tblGrid>
      <w:tr>
        <w:trPr/>
        <w:tc>
          <w:tcPr>
            <w:tcW w:w="511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11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1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Product revenue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51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Management fees - related party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892</w:t>
            </w:r>
          </w:p>
        </w:tc>
      </w:tr>
      <w:tr>
        <w:trPr/>
        <w:tc>
          <w:tcPr>
            <w:tcW w:w="51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Consulting revenue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225</w:t>
            </w:r>
          </w:p>
        </w:tc>
      </w:tr>
      <w:tr>
        <w:trPr/>
        <w:tc>
          <w:tcPr>
            <w:tcW w:w="51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revenue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$1,117</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represents major customer concentration of revenue:  </w:t>
      </w:r>
    </w:p>
    <w:tbl>
      <w:tblPr>
        <w:tblW w:w="9297" w:type="dxa"/>
        <w:jc w:val="left"/>
        <w:tblInd w:w="0" w:type="dxa"/>
        <w:tblLayout w:type="fixed"/>
        <w:tblCellMar>
          <w:top w:w="28" w:type="dxa"/>
          <w:left w:w="28" w:type="dxa"/>
          <w:bottom w:w="28" w:type="dxa"/>
          <w:right w:w="28" w:type="dxa"/>
        </w:tblCellMar>
      </w:tblPr>
      <w:tblGrid>
        <w:gridCol w:w="5176"/>
        <w:gridCol w:w="1336"/>
        <w:gridCol w:w="109"/>
        <w:gridCol w:w="1381"/>
        <w:gridCol w:w="109"/>
        <w:gridCol w:w="1186"/>
      </w:tblGrid>
      <w:tr>
        <w:trPr/>
        <w:tc>
          <w:tcPr>
            <w:tcW w:w="517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17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1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Customer A - Related Party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70.7%</w:t>
            </w:r>
          </w:p>
        </w:tc>
      </w:tr>
      <w:tr>
        <w:trPr/>
        <w:tc>
          <w:tcPr>
            <w:tcW w:w="51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Customer B - Related Party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9.2%</w:t>
            </w:r>
          </w:p>
        </w:tc>
      </w:tr>
      <w:tr>
        <w:trPr/>
        <w:tc>
          <w:tcPr>
            <w:tcW w:w="51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Customer 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20.1%</w:t>
            </w:r>
          </w:p>
        </w:tc>
      </w:tr>
      <w:tr>
        <w:trPr/>
        <w:tc>
          <w:tcPr>
            <w:tcW w:w="51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Customer 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51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Customer 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517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sz w:val="20"/>
                <w:u w:val="none"/>
                <w:effect w:val="none"/>
              </w:rPr>
              <w:t>Total Revenue Concentration of Major Customers</w:t>
            </w: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100.0%</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F-44</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16. Income Taxes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is subject to federal and state income taxes with respect to any income or loss generated as well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the allocable share of any taxable income or loss of Innventure LLC and other partnership subsidiaries.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partnership subsidiaries within the consolidated group generally do not pay income taxes in most jurisdictions.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Instead, taxable income or loss of the partnership subsidiaries is passed through to its members, including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The partnership subsidiaries are liable for income taxes in those states not recognizing its pass-through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status and for certain of its subsidiaries not taxed as pass-through entities. Through Innventure LLC,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acquired ownership interest in various domestic entities taxed as corporations. Where required or allowed,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corporation subsidiaries file and pay tax in a standalone basis for federal and state income tax purposes.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Company anticipates this structure to remain in existence for the foreseeable future.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provision for income taxes was as follows:</w:t>
      </w:r>
    </w:p>
    <w:tbl>
      <w:tblPr>
        <w:tblW w:w="9211" w:type="dxa"/>
        <w:jc w:val="left"/>
        <w:tblInd w:w="0" w:type="dxa"/>
        <w:tblLayout w:type="fixed"/>
        <w:tblCellMar>
          <w:top w:w="28" w:type="dxa"/>
          <w:left w:w="28" w:type="dxa"/>
          <w:bottom w:w="28" w:type="dxa"/>
          <w:right w:w="28" w:type="dxa"/>
        </w:tblCellMar>
      </w:tblPr>
      <w:tblGrid>
        <w:gridCol w:w="4981"/>
        <w:gridCol w:w="1336"/>
        <w:gridCol w:w="109"/>
        <w:gridCol w:w="109"/>
        <w:gridCol w:w="1381"/>
        <w:gridCol w:w="109"/>
        <w:gridCol w:w="1186"/>
      </w:tblGrid>
      <w:tr>
        <w:trPr/>
        <w:tc>
          <w:tcPr>
            <w:tcW w:w="498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4981"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Current Expense:</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Federal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Current Expense</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Federal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(3,301)</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Deferred Expense</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(3,301)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98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Expense:</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$(3,282)</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 reconciliation of the expected statutory federal tax and the total income tax expense (benefit) was as follows:</w:t>
      </w:r>
    </w:p>
    <w:tbl>
      <w:tblPr>
        <w:tblW w:w="9436" w:type="dxa"/>
        <w:jc w:val="left"/>
        <w:tblInd w:w="0" w:type="dxa"/>
        <w:tblLayout w:type="fixed"/>
        <w:tblCellMar>
          <w:top w:w="28" w:type="dxa"/>
          <w:left w:w="28" w:type="dxa"/>
          <w:bottom w:w="28" w:type="dxa"/>
          <w:right w:w="28" w:type="dxa"/>
        </w:tblCellMar>
      </w:tblPr>
      <w:tblGrid>
        <w:gridCol w:w="5206"/>
        <w:gridCol w:w="1336"/>
        <w:gridCol w:w="109"/>
        <w:gridCol w:w="109"/>
        <w:gridCol w:w="1381"/>
        <w:gridCol w:w="109"/>
        <w:gridCol w:w="1186"/>
      </w:tblGrid>
      <w:tr>
        <w:trPr/>
        <w:tc>
          <w:tcPr>
            <w:tcW w:w="520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20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20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2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Pre-tax book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$(73,375)</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$(27,766)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$(30,984)</w:t>
            </w:r>
          </w:p>
        </w:tc>
      </w:tr>
      <w:tr>
        <w:trPr/>
        <w:tc>
          <w:tcPr>
            <w:tcW w:w="52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Income taxes at federal statutory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(15,405)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 taxes, net of federal benefit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(1,801)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Tax on pre-tax earnings of corporate subsidiaries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(2,229)</w:t>
            </w:r>
          </w:p>
        </w:tc>
      </w:tr>
      <w:tr>
        <w:trPr/>
        <w:tc>
          <w:tcPr>
            <w:tcW w:w="52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Warrant liability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3,685</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Non-deductible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631</w:t>
            </w:r>
          </w:p>
        </w:tc>
      </w:tr>
      <w:tr>
        <w:trPr/>
        <w:tc>
          <w:tcPr>
            <w:tcW w:w="52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earnout fair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permanent differences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w:t>
            </w:r>
          </w:p>
        </w:tc>
      </w:tr>
      <w:tr>
        <w:trPr/>
        <w:tc>
          <w:tcPr>
            <w:tcW w:w="52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valuation allowance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11,664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1,602</w:t>
            </w:r>
          </w:p>
        </w:tc>
      </w:tr>
      <w:tr>
        <w:trPr/>
        <w:tc>
          <w:tcPr>
            <w:tcW w:w="52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R&amp;D credit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Total provision (benefit) for income taxes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$(3,282)</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F-45</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Entities within the consolidated group that are considered a corporation for federal income tax purposes,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recognize deferred income tax assets and liabilities for the future tax consequences attributable to temporary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differences between the financial statement carrying amounts of existing assets and liabilities and their respective tax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bases using currently enacted tax rates in effect for the year in which the differences are expected to reverse.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Significant components of deferred tax assets and liabilities 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are as follows: </w:t>
      </w:r>
    </w:p>
    <w:tbl>
      <w:tblPr>
        <w:tblW w:w="8857" w:type="dxa"/>
        <w:jc w:val="left"/>
        <w:tblInd w:w="0" w:type="dxa"/>
        <w:tblLayout w:type="fixed"/>
        <w:tblCellMar>
          <w:top w:w="28" w:type="dxa"/>
          <w:left w:w="28" w:type="dxa"/>
          <w:bottom w:w="28" w:type="dxa"/>
          <w:right w:w="28" w:type="dxa"/>
        </w:tblCellMar>
      </w:tblPr>
      <w:tblGrid>
        <w:gridCol w:w="6421"/>
        <w:gridCol w:w="1141"/>
        <w:gridCol w:w="109"/>
        <w:gridCol w:w="1186"/>
      </w:tblGrid>
      <w:tr>
        <w:trPr/>
        <w:tc>
          <w:tcPr>
            <w:tcW w:w="642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421"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642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Deferred Tax Assets:</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lease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$189</w:t>
            </w:r>
          </w:p>
        </w:tc>
      </w:tr>
      <w:tr>
        <w:trPr/>
        <w:tc>
          <w:tcPr>
            <w:tcW w:w="64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Capitalized R&amp;D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766</w:t>
            </w:r>
          </w:p>
        </w:tc>
      </w:tr>
      <w:tr>
        <w:trPr/>
        <w:tc>
          <w:tcPr>
            <w:tcW w:w="64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Fixed assets and intangibles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3,614</w:t>
            </w:r>
          </w:p>
        </w:tc>
      </w:tr>
      <w:tr>
        <w:trPr/>
        <w:tc>
          <w:tcPr>
            <w:tcW w:w="64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Reserves and other accruals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178</w:t>
            </w:r>
          </w:p>
        </w:tc>
      </w:tr>
      <w:tr>
        <w:trPr/>
        <w:tc>
          <w:tcPr>
            <w:tcW w:w="64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Loss carry-forwards and other tax attributes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15,682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1,663</w:t>
            </w:r>
          </w:p>
        </w:tc>
      </w:tr>
      <w:tr>
        <w:trPr/>
        <w:tc>
          <w:tcPr>
            <w:tcW w:w="64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Total Deferred Tax Assets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26,368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6,410</w:t>
            </w:r>
          </w:p>
        </w:tc>
      </w:tr>
      <w:tr>
        <w:trPr/>
        <w:tc>
          <w:tcPr>
            <w:tcW w:w="64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Less: Valuation allowance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(11,664)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(5,910)</w:t>
            </w:r>
          </w:p>
        </w:tc>
      </w:tr>
      <w:tr>
        <w:trPr/>
        <w:tc>
          <w:tcPr>
            <w:tcW w:w="642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Net Deferred Tax Assets  </w:t>
            </w:r>
            <w:r>
              <w:rPr>
                <w:rFonts w:ascii="Times New Roman;sans-serif" w:hAnsi="Times New Roman;sans-serif"/>
                <w:b/>
                <w:i w:val="false"/>
                <w:caps w:val="false"/>
                <w:smallCaps w:val="false"/>
                <w:strike w:val="false"/>
                <w:dstrike w:val="false"/>
                <w:color w:val="B4B4B4"/>
                <w:sz w:val="20"/>
                <w:u w:val="none"/>
                <w:effect w:val="none"/>
              </w:rPr>
              <w:t>........................................................................................</w:t>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$500</w:t>
            </w:r>
          </w:p>
        </w:tc>
      </w:tr>
      <w:tr>
        <w:trPr/>
        <w:tc>
          <w:tcPr>
            <w:tcW w:w="6421"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Deferred Tax Liabilities:</w:t>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64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$(38,443)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$(323)</w:t>
            </w:r>
          </w:p>
        </w:tc>
      </w:tr>
      <w:tr>
        <w:trPr/>
        <w:tc>
          <w:tcPr>
            <w:tcW w:w="64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 in Partnerships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Right of use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(177)</w:t>
            </w:r>
          </w:p>
        </w:tc>
      </w:tr>
      <w:tr>
        <w:trPr/>
        <w:tc>
          <w:tcPr>
            <w:tcW w:w="64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Total Deferred Tax Liabilities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(500)</w:t>
            </w:r>
          </w:p>
        </w:tc>
      </w:tr>
      <w:tr>
        <w:trPr/>
        <w:tc>
          <w:tcPr>
            <w:tcW w:w="64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Net Deferred Tax Liabilities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$(27,353)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Deferred tax assets are regularly reviewed for recoverability and a valuation allowance is provided when it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more likely than not that some portion or all of a deferred tax asset will not be realized. The ultimate realization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deferred tax assets is dependent upon future taxable income during the periods in which those temporary differences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become deductible. In assessing the need for a valuation allowance, management considers all available positive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negative evidence, including the ability to carryback operating losses to prior periods and the expected future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utilization of net operating loss carryforwards, the reversal of deferred tax liabilities, projected taxable income,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tax-planning strategies.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Valuation allowances are established when it is more likely than not that all or a portion of a deferred tax asset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will not be realized. The valuation allowance on deferred tax assets was $11,664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$5,910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of December 31, 2023, resulting in a net change of $5,754. The increase in valuation allowance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$15,115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during the period mainly relates to U.S. federal and state operating loss carryforwards and equity based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compensation deferred tax assets that were deemed unrealizable. During this period, Accelsius recognized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significant deferred tax liabilities from acquired intangible assets as part of the Business Combination. The deferred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tax liability provided a new source of income to realize the existing deferred tax assets, which provided enough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positive evidence to release the valuation allowance of $9,361. The Company and the remaining corporate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subsidiaries maintained the valuation allowance as the entities have been in a pre-tax loss position, with insufficient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projected taxable income (exclusive of reversing taxable temporary differences) to recognize the benefit of net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deferred tax assets as of the end of the year.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December 31, 2024, the taxable entity had net operating loss carryforwards for income tax purposes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approximately $62,653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related to federal taxes, all of which may be carried forward indefinitely. The Company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subsidiaries also have state net operating loss (“NOL”) carryforwards in the amount of $39,262. The state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NOL carryforwards begin to expire in 2038, however, some state NOL’s are able to be carried forward indefinitely.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2023, the Company had no material unrecognized income tax benefits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uncertain tax positions. Also, we do not expect to incur interest charges or penalties related to our tax positions, but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F-46</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if such charges or penalties are incurred, our policy is to account for interest charges as interest expense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penalties as tax expense in the consolidated statements of operations.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December 31, 2024, tax years 2022 through 2024 remain open and subject to examination by the Internal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Revenue Service and the states where the Company has nexus.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17. Net Loss Per Share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follows the two-class method when computing net loss per common share when shares are issued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meet the definition of participating securities. The two-class method requires income available to common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shareholders for the period to be allocated between common shares and participating securities based upon their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respective rights to receive dividends as if all income for the period had been distributed. The two-class method also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requires losses for the period to be allocated between common shares and participating securities based on their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respective rights if the participating security contractually participates in losses. As holders of Series B preferred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and WTI warrants, which are determined to be participating securities, do not have a contractual obligation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fund losses, undistributed net losses are not allocated to them for purposes of the loss per share calculation.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Given the historical structure of the Predecessor, the Company determined that the calculation of earnings per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membership unit results in values that are not a valuable metric to users of these consolidated financial statements.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Therefore, earnings per share (“EPS”) information is omitted for the Predecessor periods.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Presented in the table below is a reconciliation of the numerator and denominator for the EPS calculations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Successor period from October 2, 2024 through December 31, 2024:</w:t>
      </w:r>
    </w:p>
    <w:tbl>
      <w:tblPr>
        <w:tblW w:w="8987" w:type="dxa"/>
        <w:jc w:val="left"/>
        <w:tblInd w:w="0" w:type="dxa"/>
        <w:tblLayout w:type="fixed"/>
        <w:tblCellMar>
          <w:top w:w="28" w:type="dxa"/>
          <w:left w:w="28" w:type="dxa"/>
          <w:bottom w:w="28" w:type="dxa"/>
          <w:right w:w="28" w:type="dxa"/>
        </w:tblCellMar>
      </w:tblPr>
      <w:tblGrid>
        <w:gridCol w:w="7606"/>
        <w:gridCol w:w="1381"/>
      </w:tblGrid>
      <w:tr>
        <w:trPr/>
        <w:tc>
          <w:tcPr>
            <w:tcW w:w="760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7606" w:type="dxa"/>
            <w:tcBorders/>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r>
      <w:tr>
        <w:trPr/>
        <w:tc>
          <w:tcPr>
            <w:tcW w:w="7606" w:type="dxa"/>
            <w:tcBorders/>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60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Numerator:</w:t>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loss attributable to Innventure, Inc. shareholders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$(61,754)</w:t>
            </w:r>
          </w:p>
        </w:tc>
      </w:tr>
      <w:tr>
        <w:trPr/>
        <w:tc>
          <w:tcPr>
            <w:tcW w:w="76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Less: Cumulative earnings to participating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217</w:t>
            </w:r>
          </w:p>
        </w:tc>
      </w:tr>
      <w:tr>
        <w:trPr/>
        <w:tc>
          <w:tcPr>
            <w:tcW w:w="76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Undistributed loss for participating securities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(61,971)</w:t>
            </w:r>
          </w:p>
        </w:tc>
      </w:tr>
      <w:tr>
        <w:trPr/>
        <w:tc>
          <w:tcPr>
            <w:tcW w:w="760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Less: Undistributed loss attributable to participating securities</w:t>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60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Net Loss attributable to common shareholders, basic and diluted</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$(61,971)</w:t>
            </w:r>
          </w:p>
        </w:tc>
      </w:tr>
      <w:tr>
        <w:trPr/>
        <w:tc>
          <w:tcPr>
            <w:tcW w:w="7606"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Denominator:</w:t>
            </w:r>
          </w:p>
        </w:tc>
        <w:tc>
          <w:tcPr>
            <w:tcW w:w="1381" w:type="dxa"/>
            <w:tcBorders/>
            <w:shd w:fill="FFFFFF" w:val="clear"/>
            <w:vAlign w:val="center"/>
          </w:tcPr>
          <w:p>
            <w:pPr>
              <w:pStyle w:val="TableContents"/>
              <w:bidi w:val="0"/>
              <w:spacing w:before="0" w:after="283"/>
              <w:jc w:val="left"/>
              <w:rPr>
                <w:sz w:val="4"/>
                <w:szCs w:val="4"/>
              </w:rPr>
            </w:pPr>
            <w:r>
              <w:rPr>
                <w:sz w:val="4"/>
                <w:szCs w:val="4"/>
              </w:rPr>
            </w:r>
          </w:p>
        </w:tc>
      </w:tr>
      <w:tr>
        <w:trPr/>
        <w:tc>
          <w:tcPr>
            <w:tcW w:w="76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Weighted average number of units outstanding, basic and diluted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43,951</w:t>
            </w:r>
          </w:p>
        </w:tc>
      </w:tr>
      <w:tr>
        <w:trPr/>
        <w:tc>
          <w:tcPr>
            <w:tcW w:w="760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 xml:space="preserve">Net loss per share attributable to common shareholders, basic and diluted  </w:t>
            </w:r>
            <w:r>
              <w:rPr>
                <w:rFonts w:ascii="Times New Roman;sans-serif" w:hAnsi="Times New Roman;sans-serif"/>
                <w:b/>
                <w:i w:val="false"/>
                <w:caps w:val="false"/>
                <w:smallCaps w:val="false"/>
                <w:strike w:val="false"/>
                <w:dstrike w:val="false"/>
                <w:color w:val="B4B4B4"/>
                <w:sz w:val="20"/>
                <w:u w:val="none"/>
                <w:effect w:val="none"/>
              </w:rPr>
              <w:t>...........................</w:t>
            </w:r>
          </w:p>
        </w:tc>
        <w:tc>
          <w:tcPr>
            <w:tcW w:w="13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$(1.41)</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Basic and diluted net loss per share was the same for each period presented as the inclusion of all potential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common stock outstanding would have been anti-dilutive.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F-47</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presents the potential common stock outstanding that was excluded from the computation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diluted net loss per share of common stock for the periods presented because including them would have been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antidilutive:</w:t>
      </w:r>
    </w:p>
    <w:tbl>
      <w:tblPr>
        <w:tblW w:w="8672" w:type="dxa"/>
        <w:jc w:val="left"/>
        <w:tblInd w:w="0" w:type="dxa"/>
        <w:tblLayout w:type="fixed"/>
        <w:tblCellMar>
          <w:top w:w="28" w:type="dxa"/>
          <w:left w:w="28" w:type="dxa"/>
          <w:bottom w:w="28" w:type="dxa"/>
          <w:right w:w="28" w:type="dxa"/>
        </w:tblCellMar>
      </w:tblPr>
      <w:tblGrid>
        <w:gridCol w:w="7531"/>
        <w:gridCol w:w="1141"/>
      </w:tblGrid>
      <w:tr>
        <w:trPr/>
        <w:tc>
          <w:tcPr>
            <w:tcW w:w="753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r>
      <w:tr>
        <w:trPr/>
        <w:tc>
          <w:tcPr>
            <w:tcW w:w="7531"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5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Public warrants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11,500,000</w:t>
            </w:r>
          </w:p>
        </w:tc>
      </w:tr>
      <w:tr>
        <w:trPr/>
        <w:tc>
          <w:tcPr>
            <w:tcW w:w="75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Private placement warrants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7,146,000</w:t>
            </w:r>
          </w:p>
        </w:tc>
      </w:tr>
      <w:tr>
        <w:trPr/>
        <w:tc>
          <w:tcPr>
            <w:tcW w:w="75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WTI warrants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1,000,000</w:t>
            </w:r>
          </w:p>
        </w:tc>
      </w:tr>
      <w:tr>
        <w:trPr/>
        <w:tc>
          <w:tcPr>
            <w:tcW w:w="75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Series B preferred shares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1,011,869</w:t>
            </w:r>
          </w:p>
        </w:tc>
      </w:tr>
      <w:tr>
        <w:trPr/>
        <w:tc>
          <w:tcPr>
            <w:tcW w:w="75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Share options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975,409</w:t>
            </w:r>
          </w:p>
        </w:tc>
      </w:tr>
      <w:tr>
        <w:trPr/>
        <w:tc>
          <w:tcPr>
            <w:tcW w:w="75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RSUs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2,036,476</w:t>
            </w:r>
          </w:p>
        </w:tc>
      </w:tr>
      <w:tr>
        <w:trPr/>
        <w:tc>
          <w:tcPr>
            <w:tcW w:w="75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SARs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18. Related Party Transactions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As more fully described in Note 5. Borrowings, the Company has various notes with affiliates, including short-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term notes with three separate related parties. In addition, the Company had a convertible note to the ESG Fund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 of the 2025 Notes which was converted during the Predecessor period from January 1, 2024 through October 1,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2024. 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Transactions with Directors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more fully described in Note 14. Stock-based Compensation, the Company issued various equity awards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related parties throughout 2024. On December 9, 2024, the Company issued 1,246,722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RSUs with a grant date fair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value of $15,210, and 590,163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stock options with a grant date fair value of $3,913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a cumulative of 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directors. 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the Company issued 200,000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SARs with a grant date fair value of $7,820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directors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former directors. On March 22, 2024, the Company issued 100,000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Class C Units with a grant date fair value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$441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director under the Accelsius Subsidiary Equity Plan.</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Transactions with Innventure1</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2022, Innventure1 assigned its ownership interest in a portion of the Company’s PCT common stock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investors who are considered related parties of Innventure1 and the Company. The related party liability established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connection with this assignment was revalued to $53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December 31, 2023. The change in value was included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Net gain on investments - due to related parties in the consolidated statements of operations and comprehensive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income (loss).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Transactions with the ESG Fund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normal course of business, the Company advances certain expenses on behalf of the ESG Fund. Certain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expenses paid by the Company, which meet certain criteria, are reimbursed to the Company by the ESG Fund.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Amounts paid by the Company and reimbursable by the ESG Fund were $105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October 2, 2024 through December 31, 2024, and $50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period from January 1, 2024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October 1, 2024, and $48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Predecessor year ended December 31, 2023. There was a receivable of $64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2023, respectively, related to those expenses included in Due from related parties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consolidated balance sheets.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more fully described in Note 2. Accounting Policies, the Company earns a 1-2%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management fee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administrative, finance and accounting, and other back-office functions from the ESG Fund. Management fees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earned from the ESG Fund were $196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December 31,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$588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period from January 1, 2024 through October 1, 2024. Management fees earned from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ESG Fund totaled $789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Predecessor year ended December 31, 2023, which is recorded as Revenue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statements of operations and comprehensive income (loss).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F-48</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March 2021, the Company entered into a purchase option agreement with the ESG Fund to sell 145,161</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shares of PCT common stock with an exercise price of $1. The option period would have expired on July 22, 2024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the Company measured the derivative liability at fair value, as further described in Note 4. Fair Value.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option was exercised in March 2022 and the shares are subject to the lock-up provisions. The liability due to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ESG Fund 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was $294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is included in Related party payables in the consolidated balance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sheets.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2023, the Company sold 23,712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Accelsius Class A Series 2 Units to the ESG Fund for aggregate proceeds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approximately $104. This amount is reflected in Non-controlling interests in the consolidated statements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changes in stockholders' equity (deficit).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Transactions with AeroFlexx</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related party transactions with AeroFlexx are described in  Note 3. Investments. Additionally,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normal course of business, the Company advances certain expenses on behalf of AeroFlexx. Amounts paid by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and reimbursable by AeroFlexx were $27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Successor period from October 2, 2024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 and $84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Predecessor period from January 1, 2024 through October 1, 2024, and $116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Predecessor year ended December 31, 2023. There was a receivable of $97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2023, respectively, related to those expenses included in Due from related parties in the consolidated balance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19. Commitments and Contingencies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PCT Guaranty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April 22, 2020, the Company entered into a guaranty with a counterparty to unconditionally guarantee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PCT’s obligation to reimburse a $5,000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pre-payment upon PCT’s failure to meet certain performance thresholds.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Performance thresholds include the commission and construction of a plant. The guaranty has no expiration.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total amount paid by the Company under the guaranty is $0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total interest paid is $0. As of December 31, 2024</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2023, there was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principal outstanding under the guaranty.</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Patent Agreement Contingent Fees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2022, the Company entered into two agreements with an MNC to purchase in-process research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development consisting of patents, technology, and knowledge transfer related to cooling technology for critical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electronic equipment in a transaction that was determined to be an asset acquisition.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Under the terms of the agreements, the Company is required to make minimum installment payments,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disclosed below, for each year of the agreement through February 1, 2040. Each installment payment shall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credited towards and set off against any royalty payments (described below) which may become due. As such, these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installment payments serve as minimum amounts due to the MNC each calendar year.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Minimum royalties included in Patent installment payables on the consolidated balance sheets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are due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follows:</w:t>
      </w:r>
    </w:p>
    <w:tbl>
      <w:tblPr>
        <w:tblW w:w="8286" w:type="dxa"/>
        <w:jc w:val="left"/>
        <w:tblInd w:w="0" w:type="dxa"/>
        <w:tblLayout w:type="fixed"/>
        <w:tblCellMar>
          <w:top w:w="28" w:type="dxa"/>
          <w:left w:w="28" w:type="dxa"/>
          <w:bottom w:w="28" w:type="dxa"/>
          <w:right w:w="28" w:type="dxa"/>
        </w:tblCellMar>
      </w:tblPr>
      <w:tblGrid>
        <w:gridCol w:w="7351"/>
        <w:gridCol w:w="109"/>
        <w:gridCol w:w="826"/>
      </w:tblGrid>
      <w:tr>
        <w:trPr/>
        <w:tc>
          <w:tcPr>
            <w:tcW w:w="7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3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Years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Amount</w:t>
            </w:r>
          </w:p>
        </w:tc>
      </w:tr>
      <w:tr>
        <w:trPr/>
        <w:tc>
          <w:tcPr>
            <w:tcW w:w="7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$1,225</w:t>
            </w:r>
          </w:p>
        </w:tc>
      </w:tr>
      <w:tr>
        <w:trPr/>
        <w:tc>
          <w:tcPr>
            <w:tcW w:w="73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2026</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825</w:t>
            </w:r>
          </w:p>
        </w:tc>
      </w:tr>
      <w:tr>
        <w:trPr/>
        <w:tc>
          <w:tcPr>
            <w:tcW w:w="73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2027</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825</w:t>
            </w:r>
          </w:p>
        </w:tc>
      </w:tr>
      <w:tr>
        <w:trPr/>
        <w:tc>
          <w:tcPr>
            <w:tcW w:w="73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2028</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825</w:t>
            </w:r>
          </w:p>
        </w:tc>
      </w:tr>
      <w:tr>
        <w:trPr/>
        <w:tc>
          <w:tcPr>
            <w:tcW w:w="73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2029</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825</w:t>
            </w:r>
          </w:p>
        </w:tc>
      </w:tr>
      <w:tr>
        <w:trPr/>
        <w:tc>
          <w:tcPr>
            <w:tcW w:w="73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Thereafter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9,075</w:t>
            </w:r>
          </w:p>
        </w:tc>
      </w:tr>
      <w:tr>
        <w:trPr/>
        <w:tc>
          <w:tcPr>
            <w:tcW w:w="735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$13,600</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F-49</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is committed to make royalty payments on direct revenue generated from the subject technology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indirect revenue generated including additional incentives based on the volume of units sold at percentage rates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single digits to mid-teens as defined within the respective agreement. Each year the Company will pay such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royalties at the higher of: (i) the minimum amount due (noted in the table above) and (ii) the royalty calculated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amount based on revenue and units sold.</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License and Royalty Commitments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December 12, 2024, the Company entered into a license agreement (the “Technology License”) with a third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party to obtain exclusive rights to use certain know-how, patents, and data relating to processes for the gasification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plastic waste (the “Technology”). Ownership of the Technology will transfer to the Company for a fee of  $500</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contingent upon achievement of a commercial milestone, which is not yet probable.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incurred a nonrefundable upfront fee of $500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under the Technology License, which is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immediately expensed as incurred on December 12,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presented as an expense in the consolidated statements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operations and comprehensive income (loss)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period ended December 31, 2024. Additionally, the Company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committed to pay a semi-annual fee of $65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until ownership transfers or the Technology is no longer licensed, which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is accrued on a monthly basis. During the Successor period from October 2, 2024 through December 31, 2024, $11</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was recognized within General and administrative expense in the  consolidated statements of operations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comprehensive income (loss).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Under the Technology License, the Company is committed to pay annual royalties based on Refinity related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gross sales and licensing revenue starting in 2025. As of December 31, 2024, no royalty payments were made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third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20. Business Segment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Chief Executive Officer is the Chief Operating Decision Maker (“CODM”) of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CODM makes operating decisions, allocates resources and assesses performance based on review of historical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potential future product sales, operating expenses, and net income (loss).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Based on the information utilized by the CODM to operate the Company, there is one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operating segment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reportable segment, Technology. The Technology segment includes the business activities of Accelsius,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subsidiary focused on development and manufacture of data center cooling products.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components of the Company’s consolidated information primarily include operations relating to the original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platform business, service activities, Refinity, and equity method investment activities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presents information about the Company’s Technology segment for the Successor period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from October 2, 2024 through December 31, 2024, the Predecessor period from January 1, 2024 through October 1,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2024, and for the Predecessor year ended December 31, 2023. The information includes the significant expense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categories and amounts regularly provided to the CODM for the reportable segment, which may reflect a different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presentation than amounts presented elsewhere in the consolidated financial statements. Inter-segment transactions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F-50</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are not eliminated from segment results when management considers those transactions in assessing the results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Technology segment.</w:t>
      </w:r>
      <w:r>
        <w:rPr>
          <w:caps w:val="false"/>
          <w:smallCaps w:val="false"/>
          <w:strike w:val="false"/>
          <w:dstrike w:val="false"/>
          <w:sz w:val="24"/>
          <w:u w:val="none"/>
          <w:effect w:val="none"/>
        </w:rPr>
        <w:t xml:space="preserve"> </w:t>
      </w:r>
    </w:p>
    <w:tbl>
      <w:tblPr>
        <w:tblW w:w="9301" w:type="dxa"/>
        <w:jc w:val="left"/>
        <w:tblInd w:w="0" w:type="dxa"/>
        <w:tblLayout w:type="fixed"/>
        <w:tblCellMar>
          <w:top w:w="28" w:type="dxa"/>
          <w:left w:w="28" w:type="dxa"/>
          <w:bottom w:w="28" w:type="dxa"/>
          <w:right w:w="28" w:type="dxa"/>
        </w:tblCellMar>
      </w:tblPr>
      <w:tblGrid>
        <w:gridCol w:w="5071"/>
        <w:gridCol w:w="1336"/>
        <w:gridCol w:w="109"/>
        <w:gridCol w:w="109"/>
        <w:gridCol w:w="1381"/>
        <w:gridCol w:w="109"/>
        <w:gridCol w:w="1186"/>
      </w:tblGrid>
      <w:tr>
        <w:trPr/>
        <w:tc>
          <w:tcPr>
            <w:tcW w:w="507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071"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Revenue from external customers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$233</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w:t>
            </w:r>
          </w:p>
        </w:tc>
      </w:tr>
      <w:tr>
        <w:trPr/>
        <w:tc>
          <w:tcPr>
            <w:tcW w:w="5071"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Cost of sales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$3,752</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Employee costs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3,933</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8,076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6,849</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Facilities, equipment &amp; supplies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499</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General and administrative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751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296</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Outside services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844</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Research and development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3,224</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1,443</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Sales and marketing</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288</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Depreciation expense *</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1,039</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Income tax expense (benefit)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(3,637)</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(635)</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Total Expenses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$8,991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$16,754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$10,631</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Net Loss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$(8,758)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$(16,652)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$(10,617)</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*Represents depreciation not already included in Cost of sales.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Other  - change in fair value of financial liabilities, loss on conversion of promissory notes, travel and other miscellaneous expenses.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F-51</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reconciles the reportable segment to amounts reflected in our consolidated financial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statements.</w:t>
      </w:r>
      <w:r>
        <w:rPr>
          <w:caps w:val="false"/>
          <w:smallCaps w:val="false"/>
          <w:strike w:val="false"/>
          <w:dstrike w:val="false"/>
          <w:sz w:val="24"/>
          <w:u w:val="none"/>
          <w:effect w:val="none"/>
        </w:rPr>
        <w:t xml:space="preserve"> </w:t>
      </w:r>
    </w:p>
    <w:tbl>
      <w:tblPr>
        <w:tblW w:w="9616" w:type="dxa"/>
        <w:jc w:val="left"/>
        <w:tblInd w:w="0" w:type="dxa"/>
        <w:tblLayout w:type="fixed"/>
        <w:tblCellMar>
          <w:top w:w="28" w:type="dxa"/>
          <w:left w:w="28" w:type="dxa"/>
          <w:bottom w:w="28" w:type="dxa"/>
          <w:right w:w="28" w:type="dxa"/>
        </w:tblCellMar>
      </w:tblPr>
      <w:tblGrid>
        <w:gridCol w:w="5386"/>
        <w:gridCol w:w="1336"/>
        <w:gridCol w:w="109"/>
        <w:gridCol w:w="109"/>
        <w:gridCol w:w="1381"/>
        <w:gridCol w:w="109"/>
        <w:gridCol w:w="1186"/>
      </w:tblGrid>
      <w:tr>
        <w:trPr/>
        <w:tc>
          <w:tcPr>
            <w:tcW w:w="538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Predecessor</w:t>
            </w:r>
          </w:p>
        </w:tc>
      </w:tr>
      <w:tr>
        <w:trPr/>
        <w:tc>
          <w:tcPr>
            <w:tcW w:w="5386"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October 2,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January 1, 2024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through October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Year 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r>
      <w:tr>
        <w:trPr/>
        <w:tc>
          <w:tcPr>
            <w:tcW w:w="538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Revenues:</w:t>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Technology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1,198</w:t>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Elimination of management services provided to Technology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(81)</w:t>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Consolidated Revenues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$456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$1,117</w:t>
            </w:r>
          </w:p>
        </w:tc>
      </w:tr>
      <w:tr>
        <w:trPr/>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Interest Expense:</w:t>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Technology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$1,039</w:t>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1,240</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328</w:t>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Consolidated Interest Expense</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$1,330</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$1,633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$1,367</w:t>
            </w:r>
          </w:p>
        </w:tc>
      </w:tr>
      <w:tr>
        <w:trPr/>
        <w:tc>
          <w:tcPr>
            <w:tcW w:w="5386"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Interest Income:</w:t>
            </w:r>
          </w:p>
        </w:tc>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Technology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w:t>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198</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129</w:t>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Consolidated Interest Income</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$198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$143</w:t>
            </w:r>
          </w:p>
        </w:tc>
      </w:tr>
      <w:tr>
        <w:trPr/>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Depreciation and Amortization Expense:</w:t>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Technology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$5,455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w:t>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Consolidated Depreciation and Amortization Expense</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$5,455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$8</w:t>
            </w:r>
          </w:p>
        </w:tc>
      </w:tr>
      <w:tr>
        <w:trPr/>
        <w:tc>
          <w:tcPr>
            <w:tcW w:w="5386"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Net Loss:</w:t>
            </w:r>
          </w:p>
        </w:tc>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Technology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$(8,758)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$(16,652)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$(10,617)</w:t>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(61,335)</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(11,546)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(20,367)</w:t>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Consolidated Net Loss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$(70,093)</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$(28,198)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$(30,984)</w:t>
            </w:r>
          </w:p>
        </w:tc>
      </w:tr>
      <w:tr>
        <w:trPr/>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Capital Expenditures:</w:t>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Technology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$645</w:t>
            </w:r>
          </w:p>
        </w:tc>
      </w:tr>
      <w:tr>
        <w:trPr/>
        <w:tc>
          <w:tcPr>
            <w:tcW w:w="53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13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386"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trike w:val="false"/>
                <w:dstrike w:val="false"/>
                <w:color w:val="000000"/>
                <w:sz w:val="20"/>
                <w:u w:val="none"/>
                <w:effect w:val="none"/>
              </w:rPr>
              <w:t>Consolidated Capital Expenditures</w:t>
            </w:r>
            <w:r>
              <w:rPr>
                <w:caps w:val="false"/>
                <w:smallCaps w:val="false"/>
              </w:rPr>
              <w:t xml:space="preserve"> </w:t>
            </w:r>
            <w:r>
              <w:rPr>
                <w:rFonts w:ascii="Times New Roman;sans-serif" w:hAnsi="Times New Roman;sans-serif"/>
                <w:b/>
                <w:i w:val="false"/>
                <w:caps w:val="false"/>
                <w:smallCaps w:val="false"/>
                <w:strike w:val="false"/>
                <w:dstrike w:val="false"/>
                <w:color w:val="B4B4B4"/>
                <w:sz w:val="20"/>
                <w:u w:val="none"/>
                <w:effect w:val="none"/>
              </w:rPr>
              <w:t>...........................................</w:t>
            </w:r>
          </w:p>
        </w:tc>
        <w:tc>
          <w:tcPr>
            <w:tcW w:w="13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$266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$736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$645</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All long-lived assets are located entirely in the United States of America (USA). Segment assets are not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reviewed by the CODM and therefore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 21. Subsequent Events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connection with the preparation of the consolidated 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related disclosures for the period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ended December 31, 2024, management has evaluated events through April 14, 2025, which is the date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consolidated financial statements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were available to be issued. Events occurring after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F-52</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sold 422,999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Accelsius Series A Units for aggregate proceeds of approximately $5,150. This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amount will be reflected in non-controlling interests in the consolidated statements of changes in stockholders'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equity (deficit)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future periods.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part of the term loan agreement with AeroFlexx, AeroFlexx did not raise equity financing up to the target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amount by January 1, 2025 as discussed in Note 3. Investments. Therefore, on January 2, 2025, $7,250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outstanding principal and accrued interest was subject to mandatory conversion. Using the price per unit of $6.83,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obtained 1,060,747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Class D preferred units through the mandatory conversion. Based on the increase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of Class D preferred units, the Company’s updated ownership percentage in AeroFlexx is 38%.</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January 7, 2025, the VWAP Completion Event, as discussed in Note 10. Earnout Shares, occurred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344,828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Sponsor Earnout Shares vested and were no longer subject to contingencies.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part of the Company’s SEPA with Yorkville, on January 7, 2025, the Company sold 50,000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to Yorkville for aggregate proceeds of approximately $633. On January 22, 2025, the Company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issued and sold 4,617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Common Shares for aggregate proceeds of approximately $57. On January 30, 2025,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 issued and sold 19,376</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Common Shares for aggregate proceeds of approximately $235. The remaining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shares that could be sold to Yorkville are 4,209,314.</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Board determined that as of January 8, 2025, the creation of Refinity, a consolidated subsidiary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satisfied the vesting condition applicable to Milestone 2 of the Company Earnout Shares. As such,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common stock were issued on February 4, 2025 as a result of the satisfaction of the Milestone.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January 22, 2025, Refinity entered into a framework agreement with a third party for research services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focusing on the further development and optimization of licensed technology, as well as the enhancement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improvement of plastic recycling through pyrolysis. As part of this agreement, Refinity has agreed to pay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minimum fee of </w:t>
      </w:r>
      <w:r>
        <w:rPr>
          <w:caps w:val="false"/>
          <w:smallCaps w:val="false"/>
          <w:strike w:val="false"/>
          <w:dstrike w:val="false"/>
          <w:sz w:val="24"/>
          <w:u w:val="none"/>
          <w:effect w:val="none"/>
        </w:rPr>
        <w:t>€</w:t>
      </w:r>
      <w:r>
        <w:rPr>
          <w:rFonts w:ascii="Times New Roman;sans-serif" w:hAnsi="Times New Roman;sans-serif"/>
          <w:b w:val="false"/>
          <w:i w:val="false"/>
          <w:caps w:val="false"/>
          <w:smallCaps w:val="false"/>
          <w:strike w:val="false"/>
          <w:dstrike w:val="false"/>
          <w:sz w:val="20"/>
          <w:u w:val="none"/>
          <w:effect w:val="none"/>
        </w:rPr>
        <w:t>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during the period beginning May 1, 2025, and ending April 30, 2027, with the stipulation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that </w:t>
      </w:r>
      <w:r>
        <w:rPr>
          <w:caps w:val="false"/>
          <w:smallCaps w:val="false"/>
          <w:strike w:val="false"/>
          <w:dstrike w:val="false"/>
          <w:sz w:val="24"/>
          <w:u w:val="none"/>
          <w:effect w:val="none"/>
        </w:rPr>
        <w:t>€</w:t>
      </w:r>
      <w:r>
        <w:rPr>
          <w:rFonts w:ascii="Times New Roman;sans-serif" w:hAnsi="Times New Roman;sans-serif"/>
          <w:b w:val="false"/>
          <w:i w:val="false"/>
          <w:caps w:val="false"/>
          <w:smallCaps w:val="false"/>
          <w:strike w:val="false"/>
          <w:dstrike w:val="false"/>
          <w:sz w:val="20"/>
          <w:u w:val="none"/>
          <w:effect w:val="none"/>
        </w:rPr>
        <w:t>2,000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be paid in the first 12-month period and </w:t>
      </w:r>
      <w:r>
        <w:rPr>
          <w:caps w:val="false"/>
          <w:smallCaps w:val="false"/>
          <w:strike w:val="false"/>
          <w:dstrike w:val="false"/>
          <w:sz w:val="24"/>
          <w:u w:val="none"/>
          <w:effect w:val="none"/>
        </w:rPr>
        <w:t>€</w:t>
      </w:r>
      <w:r>
        <w:rPr>
          <w:rFonts w:ascii="Times New Roman;sans-serif" w:hAnsi="Times New Roman;sans-serif"/>
          <w:b w:val="false"/>
          <w:i w:val="false"/>
          <w:caps w:val="false"/>
          <w:smallCaps w:val="false"/>
          <w:strike w:val="false"/>
          <w:dstrike w:val="false"/>
          <w:sz w:val="20"/>
          <w:u w:val="none"/>
          <w:effect w:val="none"/>
        </w:rPr>
        <w:t>3,000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the second 12-month period.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February 1, 2025, the Company entered into a consulting agreement with a third party for services in respect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public relations and investor communications. The agreement includes monthly compensation of 2,500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common stock issued each month services are provided. The initial term of the agreement is for one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year</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may be terminated by either party upon seven days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notice.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February 3, 2025, and February 27, 2025, two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Company’s Series 1 Promissory Notes, discussed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Note 5. Borrowings, matured in an aggregate amount of $300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were paid as they became due.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February 3, 2025, the Company issued 85,471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Common Stock for financial advisory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banking services rendered.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February 26, 2025, the Company entered into two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Nonqualified Stock Option Agreements, which granted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140,000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nonqualified option rights (the “Option”) to two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individuals, pursuant to the terms of the Plan. According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Nonqualified Stock Option Agreements, and subject to the terms and conditions of the Nonqualified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Option Agreements and the Plan, upon vesting of the Options, the holders will have the option to purchase Common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Stock of the Company, at an exercise price of $8.84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(which is equal to the Fair Market Value of the stock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the grant date). The Options have a term of ten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will vest and become exercisable with respect to 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shares of Common Stock underlying the Option on February 26, 2026 and 75%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shares of Common Stock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underlying the Option in eight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substantially equal installments on each three-month</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anniversary thereafter.</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March 19, 2025, the Company distributed 21,808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Series B Preferred Stock to represent $218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cumulative dividends for Series B Preferred Stock, covering the period from the initial issue date, as defined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Certificate of Designation, to December 31, 2024, as a payment in kind at the specified rate. This action follows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terms outlined in the Certificate of Designation dated October 2, 2024, with a record date for the dividend set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March 5, 2025. Approved by the Board of Directors, this dividend payment is in accordance with the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Agreement dated September 27, 2024.</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F-53</w:t>
      </w:r>
    </w:p>
    <w:p>
      <w:pPr>
        <w:pStyle w:val="TextBody"/>
        <w:bidi w:val="0"/>
        <w:spacing w:lineRule="atLeast" w:line="200" w:before="0" w:after="0"/>
        <w:jc w:val="left"/>
        <w:rPr/>
      </w:pPr>
      <w:hyperlink w:anchor="icb9447fcda9c419b80559940834d4a66_775">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Innventure, Inc. and Subsidiaries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Notes to Consolidated Financial Statements</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(in thousands, except share or per share data)</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March 20, 2025, the Company converted and repaid the $14,000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aggregate principal of Related party notes,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discussed in Note 5. Borrowings. The Company issued 1,732,554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Series C Preferred Stock and paid $375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respective parties to settle the Related party notes. Additionally, the Company issued 578,294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Series C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Preferred Stock to settle outstanding debt for AeroFlexx.</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March 24, 2025, the Company entered into the Series C Purchase Agreements with certain purchasers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Purchasers”), pursuant to which the Company agreed to issue and sell to the Purchasers an aggregate of up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275,000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Series C Preferred Stock in a private placement, at a price of $10.00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of Series C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Preferred Stock, resulting in an aggregate purchase price of approximately $2,750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before deducting fees and other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estimated offering expenses. These shares are issued with an 8.0%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annual cumulative dividend, a mandatory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conversion to Common Stock five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after issuance, and an optional conversion, at the election of the holder, 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any time prior to the Maturity Date upon the effectiveness of a registration statement by the Company registering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underlying shares of Common Stock issuable upon conversion. In connection with the Series C Purchase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Agreements, the Company received an aggregate amount of $1,500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advanced funds. In consideration of these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funds, the Company issued 150,000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Series C Preferred Stock to the respective parties.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On March 24, 2025, the Company issued an aggregate of 300,000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Series C Preferred Stock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financial advisory and merchant banking services rendered.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March 25, 2025, the Company entered into a securities purchase agreement related to the issuance and sale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convertible debentures (“Convertible Debentures”) with an aggregate principal amount of up to $30,000. These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Convertible Debentures will be convertible into shares of the Company’s Common Stock (as converted,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Conversion Shares”). On the first business day after certain closing conditions are met, including the timely filing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the Company’s Annual Report on Form 10-K for the year ended December 31, 2024, the Company will issue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aggregate principal amount of Convertible Debentures (the “First Closing Date”). Additionally,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Company will issue an additional $10,000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aggregate principal amount of Convertible Debentures after both (i)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registration statement filed with the SEC registering the resale of the Conversion Shares is declared effective by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SEC, and (ii) the Company receives stockholder approval. The Convertible Debentures will not bear interest unless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 event of default occurs, in which case they will bear interest at an annual rate of 18%. They will mature 15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months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after the First Closing Date and can be converted into shares of the Company’s Common Stock at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conversion price to be determined. These Convertible Debentures were issued at an original issue discount of 10%.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connection with this agreement, the Company agreed to issue warrants to purchase up to 300,000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to the WTI Lenders. These warrants serve as consideration for the WTI Lenders’ consent to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transaction. The warrants have an exercise price of $0.01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and are exercisable until March 31, 2035, with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additional customary rights and protections.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PART II – 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Item 13. Other Expenses of Issuance and Distribution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sets forth the expenses in connection with this registration statement. All of such expenses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are estimates, other than the filing fees payable to the SEC.</w:t>
      </w:r>
    </w:p>
    <w:tbl>
      <w:tblPr>
        <w:tblW w:w="8913" w:type="dxa"/>
        <w:jc w:val="left"/>
        <w:tblInd w:w="0" w:type="dxa"/>
        <w:tblLayout w:type="fixed"/>
        <w:tblCellMar>
          <w:top w:w="28" w:type="dxa"/>
          <w:left w:w="28" w:type="dxa"/>
          <w:bottom w:w="28" w:type="dxa"/>
          <w:right w:w="28" w:type="dxa"/>
        </w:tblCellMar>
      </w:tblPr>
      <w:tblGrid>
        <w:gridCol w:w="7666"/>
        <w:gridCol w:w="931"/>
        <w:gridCol w:w="316"/>
      </w:tblGrid>
      <w:tr>
        <w:trPr/>
        <w:tc>
          <w:tcPr>
            <w:tcW w:w="76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666"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 xml:space="preserve">Amount to be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paid</w:t>
            </w:r>
          </w:p>
        </w:tc>
      </w:tr>
      <w:tr>
        <w:trPr/>
        <w:tc>
          <w:tcPr>
            <w:tcW w:w="76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SEC registration fee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$8,275.16</w:t>
            </w:r>
          </w:p>
        </w:tc>
        <w:tc>
          <w:tcPr>
            <w:tcW w:w="3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Accounting fees and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w:t>
            </w:r>
          </w:p>
        </w:tc>
        <w:tc>
          <w:tcPr>
            <w:tcW w:w="3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13"/>
                <w:u w:val="none"/>
                <w:effect w:val="none"/>
              </w:rPr>
            </w:pPr>
            <w:r>
              <w:rPr>
                <w:rFonts w:ascii="Times New Roman;sans-serif" w:hAnsi="Times New Roman;sans-serif"/>
                <w:b w:val="false"/>
                <w:i w:val="false"/>
                <w:caps w:val="false"/>
                <w:smallCaps w:val="false"/>
                <w:strike w:val="false"/>
                <w:dstrike w:val="false"/>
                <w:sz w:val="13"/>
                <w:u w:val="none"/>
                <w:effect w:val="none"/>
              </w:rPr>
              <w:t>(1)</w:t>
            </w:r>
          </w:p>
        </w:tc>
      </w:tr>
      <w:tr>
        <w:trPr/>
        <w:tc>
          <w:tcPr>
            <w:tcW w:w="76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Legal fees and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w:t>
            </w:r>
          </w:p>
        </w:tc>
        <w:tc>
          <w:tcPr>
            <w:tcW w:w="3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13"/>
                <w:u w:val="none"/>
                <w:effect w:val="none"/>
              </w:rPr>
            </w:pPr>
            <w:r>
              <w:rPr>
                <w:rFonts w:ascii="Times New Roman;sans-serif" w:hAnsi="Times New Roman;sans-serif"/>
                <w:b w:val="false"/>
                <w:i w:val="false"/>
                <w:caps w:val="false"/>
                <w:smallCaps w:val="false"/>
                <w:strike w:val="false"/>
                <w:dstrike w:val="false"/>
                <w:sz w:val="13"/>
                <w:u w:val="none"/>
                <w:effect w:val="none"/>
              </w:rPr>
              <w:t>(1)</w:t>
            </w:r>
          </w:p>
        </w:tc>
      </w:tr>
      <w:tr>
        <w:trPr/>
        <w:tc>
          <w:tcPr>
            <w:tcW w:w="76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Printing and miscellaneous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w:t>
            </w:r>
          </w:p>
        </w:tc>
        <w:tc>
          <w:tcPr>
            <w:tcW w:w="3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13"/>
                <w:u w:val="none"/>
                <w:effect w:val="none"/>
              </w:rPr>
            </w:pPr>
            <w:r>
              <w:rPr>
                <w:rFonts w:ascii="Times New Roman;sans-serif" w:hAnsi="Times New Roman;sans-serif"/>
                <w:b w:val="false"/>
                <w:i w:val="false"/>
                <w:caps w:val="false"/>
                <w:smallCaps w:val="false"/>
                <w:strike w:val="false"/>
                <w:dstrike w:val="false"/>
                <w:sz w:val="13"/>
                <w:u w:val="none"/>
                <w:effect w:val="none"/>
              </w:rPr>
              <w:t>(1)</w:t>
            </w:r>
          </w:p>
        </w:tc>
      </w:tr>
      <w:tr>
        <w:trPr/>
        <w:tc>
          <w:tcPr>
            <w:tcW w:w="76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w:t>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w:t>
            </w:r>
          </w:p>
        </w:tc>
        <w:tc>
          <w:tcPr>
            <w:tcW w:w="3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13"/>
                <w:u w:val="none"/>
                <w:effect w:val="none"/>
              </w:rPr>
            </w:pPr>
            <w:r>
              <w:rPr>
                <w:rFonts w:ascii="Times New Roman;sans-serif" w:hAnsi="Times New Roman;sans-serif"/>
                <w:b w:val="false"/>
                <w:i w:val="false"/>
                <w:caps w:val="false"/>
                <w:smallCaps w:val="false"/>
                <w:strike w:val="false"/>
                <w:dstrike w:val="false"/>
                <w:sz w:val="13"/>
                <w:u w:val="none"/>
                <w:effect w:val="none"/>
              </w:rPr>
              <w:t>(1)</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(1)Fees and expenses (other than the SEC registration fee to be paid upon the filing of this registration statement) will depend on the number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and nature of any offerings of securities made pursuant to this registration statement, and cannot be estimated at this time. An estimate of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 xml:space="preserve">the aggregate expenses in connection with the distribution of securities being offered will be included in any applicable prospectus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Item 14. Indemnification of Directors and Officers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Section 145(a) of the DGCL provides, in general, that a corporation may indemnify any person who was or is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party or is threatened to be made a party to any threatened, pending or completed action, suit or proceeding, whether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civil, criminal, administrative or investigative (other than an action by or in the right of the corporation), because 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she is or was a director, officer, employee or agent of the corporation, or is or was serving at the request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corporation as a director, officer, employee or agent of another corporation, partnership, joint venture, trust or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enterprise, against expenses (including attorneys’ fees), judgments, fines and amounts paid in settlement actually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reasonably incurred by the person in connection with such action, suit or proceeding, if he or she acted in good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faith and in a manner he or she reasonably believed to be in or not opposed to the best interests of the corporation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with respect to any criminal action or proceeding, had no reasonable cause to believe his or her conduct was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unlawful.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Section 145(b) of the DGCL provides, in general, that a corporation may indemnify any person who was or is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party or is threatened to be made a party to any threatened, pending or completed action or suit by or in the right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corporation to procure a judgment in its favor because the person is or was a director, officer, employee or agent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 corporation, or is or was serving at the request of the corporation as a director, officer, employee or agent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another corporation, partnership, joint venture, trust or other enterprise, against expenses (including attorneys’ fees)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actually and reasonably incurred by the person in connection with the defense or settlement of such action or suit if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he or she acted in good faith and in a manner he or she reasonably believed to be in or not opposed to the best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interests of the corporation, except that no indemnification shall be made with respect to any claim, issue or matter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to which he or she shall have been adjudged to be liable to the corporation unless and only to the extent that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Court of Chancery or other adjudicating court determines that, despite the adjudication of liability but in view of 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 circumstances of the case, he or she is fairly and reasonably entitled to indemnity for such expenses that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Court of Chancery or other adjudicating court shall deem proper.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Section 145(g) of the DGCL provides, in general, that a corporation may purchase and maintain insurance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behalf of any person who is or was a director, officer, employee or agent of the corporation, or is or was serving 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request of the corporation as a director, officer, employee or agent of another corporation, partnership, joint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venture, trust or other enterprise against any liability asserted against such person and incurred by such person in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capacity, or arising out of his or her status as such, whether or not the corporation would have the power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indemnify the person against such liability under Section 145 of the DGCL.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the DGCL is amended to authorize corporate action further eliminating or limiting the personal liability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directors, then the liability of the directors will be eliminated or limited to the fullest extent permitted by the DGCL,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as so amended.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II-2</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Delaware law and the A&amp;R Certificate of Incorporation provide that we will, in certain situations, indemnify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directors and officers and may indemnify other employees and other agents, to the fullest extent permitted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law. Any indemnified person is also entitled, subject to certain limitations, to advancement, direct payment,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reimbursement of reasonable expenses (including attorneys’ fees and disbursements) in advance of the final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disposition of the proceeding.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we have entered into separate indemnification agreements with our directors and officers. 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agreements, among other things, require us to indemnify our directors and officers for certain expenses, including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attorneys’ fees, judgments, fines, and settlement amounts incurred by a director or officer in any action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proceeding arising out of their services as one of our directors or officers or any other company or enterprise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which the person provides services at its request.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also maintain a directors’ and officers’ insurance policy pursuant to which our directors and officers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insured against liability for actions taken in their capacities as directors and officers. We believe these provisions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A&amp;R Certificate of Incorporation and these indemnification agreements are necessary to attract and retain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qualified persons as directors and officers.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Insofar as indemnification for liabilities arising under the Securities Act may be permitted to directors, officers,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control persons, in the opinion of the SEC, such indemnification is against public policy as expressed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Item 15. Recent Sales of Unregistered Securities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Series B Preferred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September 24, 2024, the Company entered into an investment agreement with Commonwealth Asset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LP (together with its assignee, “CWAM LP”), pursuant to which the Company sold CWAM LP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aggregate of 750,000 shares of Innventure’s Series B Preferred Stock, in a private placement, at a price of $10.00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 share of Series B Preferred Stock, resulting in an aggregate purchase price of approximately $7.5 million before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deducting fees and other estimated offering expenses, which sale closed on October 2, 2024. CWAM LP is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affiliate of the Sponsor.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September 27, 2024, the Company entered into an investment agreement, substantially in the same form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investment agreement entered into with CWAM LP (collectively, the “Series B Investment Agreements”),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purchasers (together with CWAM LP, the “Series B Investors”), pursuant to which the Company agreed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issue and sell to such purchasers an aggregate of 352,000 shares of Series B Preferred Stock in a private placement,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a price of $10.00 per share of Series B Preferred Stock (together with the financing with CWAM LP, the ”Series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 Preferred Stock Financing”). The Series B Preferred Stock Financing closed concurrently with the consummation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 Business Combination and Innventure sold, in total, 1,102,000 shares of Series B Preferred Stock providing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with approximately $11.0 million of gross proceeds before deducting fees and other estimated offering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expenses.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Issuance to Roth</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31, 2024, pursuant to a letter agreement between Innventure LLC and Roth Capital Partners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(“Roth”), dated July 8, 2024, the Company issued to Roth 25,000 shares of Common Stock in settlement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$250,000 of transaction costs incurred by the Company and its affiliates for certain capital markets advisory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services.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Issuance to Pursuant to the SEPA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December 24, 2024, the Company issued Yorkville 60,000 shares of Common Stock at an effective price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$12.83 per share; on December 30, 2024, the Company issued Yorkville 75,000 shares of Common Stock at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 price of $12.86 per share; on January 8, 2025, the Company issued Yorkville 50,000 shares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at an effective price of $12.85 per share; on January 23, 2025, the Company issued Yorkville 4,617 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II-3</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at an effective price of $12.37 per share; and on January 31, 2025, the Company issued Yorkville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19,376 shares of Common Stock at an effective price of $11.93 per share, each pursuant to the terms of the SEPA.</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Issuance to Ducera</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February 3, 2025, the Company issued to Ducera 85,471 shares of Common Stock pursuant to the terms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 engagement letter under which Ducera performed certain financial advisory and investment banking services to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Innventure LLC.</w:t>
      </w:r>
      <w:r>
        <w:rPr>
          <w:caps w:val="false"/>
          <w:smallCaps w:val="false"/>
          <w:strike w:val="false"/>
          <w:dstrike w:val="false"/>
          <w:u w:val="none"/>
          <w:effect w:val="none"/>
          <w:shd w:fill="FFFFFF" w:val="clear"/>
        </w:rPr>
        <w:t xml:space="preserve"> </w:t>
      </w:r>
      <w:r>
        <w:rPr>
          <w:rFonts w:ascii="Times New Roman;sans-serif" w:hAnsi="Times New Roman;sans-serif"/>
          <w:b w:val="false"/>
          <w:i w:val="false"/>
          <w:caps w:val="false"/>
          <w:smallCaps w:val="false"/>
          <w:strike w:val="false"/>
          <w:dstrike w:val="false"/>
          <w:sz w:val="20"/>
          <w:u w:val="none"/>
          <w:effect w:val="none"/>
          <w:shd w:fill="FFFFFF" w:val="clear"/>
        </w:rPr>
        <w:t xml:space="preserve">Such engagement letter was amended to include the Company on December 23, 2024.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Series C Preferred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the Series C Closing Date, the Company entered into the Series C Purchase Agreements with  the Series 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Purchasers, pursuant to which the Company agreed to issue and sell to the Series C Purchasers an aggregate of up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275,000 shares of the Series C Preferred Stock, in a private placement, at a price of $10.00 per share of Series 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Preferred Stock, resulting in an aggregate purchase price of approximately $2,750,000 before deducting fees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other estimated offering expenses. The Series C Preferred Stock Financing closed on the Series C Closing Date.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May 2, 2024, Innventure LLC and Mike Otworth entered into the Otworth Promissory Note pursuant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Innventure LLC agreed to pay Mr. Otworth the principal and interest in accordance the terms and conditions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set forth therein.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1, 2024, Innventure LLC and Dr. John Scott entered into the Scott Bridge Note pursuant to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Innventure LLC agreed to pay Dr. Scott the principal and interest in accordance the terms and conditions set forth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therein.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February 9, 2023, AeroFlexx and Auto Now, of which James Donnally, a director of the Company, serves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director, entered into the Loan Agreement pursuant to which AeroFlexx agreed to pay Auto Now the principal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interest in accordance the terms and conditions set forth therein (the “Auto Now Loan”).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1, 2024, Innventure LLC and the Glockner Lender (collectively with Mr. Otworth, Dr. Scott, Auto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Now and each of their respective affiliates, the “Lenders”) entered into the Glockner Bridge Note and, together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Otworth Promissory Note, the Scott Bridge Note, and the Auto Now Loan, the “Related Party Loans”) pursuant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which Innventure LLC agreed to pay the Glockner Lender the principal and interest in accordance with the terms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conditions set forth therein.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the Series C Closing Date, each of the Lenders terminated their respective Related Party Loans in exchange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(i) in the case of the Otworth Promissory Note, 114,161 shares of Series C Preferred Stock and a cash payment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$180,042, (ii) in the case of the Scott Bridge Note, 226,334 shares of Series C Preferred Stock and a cash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payment of $194,507, (iii) in the case of the Auto Now Loan, 578,294 shares of Series C Preferred Stock, and (iv)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case of the Glockner Bridge Note, 1,392,059 shares of Series C Preferred Stock.</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Issuance to Grail Partners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24, 2025, the Company issued to affiliates of Grail Partners LLC an aggregate of 300,000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Series C Preferred Stock in settlement of amounts owed pursuant to the terms of a letter agreement under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Grail Partners LLC would provide certain financial advisory and merchant banking services.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Issuance of Convertible Debentures and the Conversion Shares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March 25, 2025, the Company entered into the Securities Purchase Agreement with Yorkville in connection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the issuance and sale by the Company of the Convertible Debentures issuable in an aggregate principal amount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of up to $30,000,000, which Convertible Debentures will be convertible into Conversion Shares.</w:t>
      </w:r>
      <w:r>
        <w:rPr>
          <w:caps w:val="false"/>
          <w:smallCaps w:val="false"/>
          <w:strike w:val="false"/>
          <w:dstrike w:val="false"/>
          <w:u w:val="none"/>
          <w:effect w:val="none"/>
          <w:shd w:fill="FFFFFF" w:val="clear"/>
        </w:rPr>
        <w:t xml:space="preserve"> </w:t>
      </w:r>
      <w:r>
        <w:rPr>
          <w:rFonts w:ascii="Times New Roman;sans-serif" w:hAnsi="Times New Roman;sans-serif"/>
          <w:b w:val="false"/>
          <w:i w:val="false"/>
          <w:caps w:val="false"/>
          <w:smallCaps w:val="false"/>
          <w:strike w:val="false"/>
          <w:dstrike w:val="false"/>
          <w:sz w:val="20"/>
          <w:u w:val="none"/>
          <w:effect w:val="none"/>
          <w:shd w:fill="FFFFFF" w:val="clear"/>
        </w:rPr>
        <w:t xml:space="preserve">Pursuant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Securities Purchase Agreement, Yorkville purchased, and the Company issued, $20,000,000 in aggregate principal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shd w:fill="FFFFFF" w:val="clear"/>
        </w:rPr>
      </w:pPr>
      <w:r>
        <w:rPr>
          <w:rFonts w:ascii="Times New Roman;sans-serif" w:hAnsi="Times New Roman;sans-serif"/>
          <w:b w:val="false"/>
          <w:i w:val="false"/>
          <w:caps w:val="false"/>
          <w:smallCaps w:val="false"/>
          <w:strike w:val="false"/>
          <w:dstrike w:val="false"/>
          <w:sz w:val="20"/>
          <w:u w:val="none"/>
          <w:effect w:val="none"/>
          <w:shd w:fill="FFFFFF" w:val="clear"/>
        </w:rPr>
        <w:t>amount of Convertible Debentures on April 14, 2025.</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II-4</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Other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October 22, 2024, the Company issued the WTI Warrants as unregistered securities to WTI Fund X,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WTI Fund XI, LLC, which warrants may be exercised for up to an aggregate of 1,000,000 shares of Common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  Each warrant is exercisable into one share of Common Stock at price of $0.01 per share (subject to certain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limitations, adjustment and certain other rights to possible future financings in accordance with terms of the WTI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Warrants) through March 31, 2035.</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April 14, 2025, the Company issued the 2025 WTI Warrants to WTI Fund X, LLC and WTI Fund XI, LLC,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respectively.  Each 2025 WTI Warrant is exercisable into one share of Common Stock at a price of $0.01 per share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certain limitations, adjustment and certain other rights to possible future financings in accordance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terms of the 2025 WTI Warrants) through March 31, 2035.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issued the foregoing securities in transactions not involving an underwriter and not requiring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registration under Section 5 of the Securities Act in reliance on the exemption afforded by Section 4(a)(2) thereof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Regulation D promulgated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Item 16. Exhibits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is a list of exhibits filed as a part of this registration statement: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(a)Exhibits</w:t>
      </w:r>
    </w:p>
    <w:tbl>
      <w:tblPr>
        <w:tblW w:w="9171" w:type="dxa"/>
        <w:jc w:val="left"/>
        <w:tblInd w:w="0" w:type="dxa"/>
        <w:tblLayout w:type="fixed"/>
        <w:tblCellMar>
          <w:top w:w="28" w:type="dxa"/>
          <w:left w:w="28" w:type="dxa"/>
          <w:bottom w:w="28" w:type="dxa"/>
          <w:right w:w="28" w:type="dxa"/>
        </w:tblCellMar>
      </w:tblPr>
      <w:tblGrid>
        <w:gridCol w:w="706"/>
        <w:gridCol w:w="109"/>
        <w:gridCol w:w="8356"/>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Exhibit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Number</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Description of Exhibits</w:t>
            </w:r>
          </w:p>
        </w:tc>
      </w:tr>
      <w:tr>
        <w:trPr/>
        <w:tc>
          <w:tcPr>
            <w:tcW w:w="7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"tANNEXA"</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Business Combination Agreement, dated as of October 24, 2023, by and among Learn SPAC Holdco,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"tANNEXA"</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Inc., Learn CW Investment Corporation, LCW Merger Sub, Inc., Innventure LLC and Innventure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"tANNEXA"</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Merger Sub, LLC (incorporated by reference to Annex A to Innventure, Inc.’s Registration Statement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"tANNEXA"</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on Form S-4 filed with the SEC on September 6, 2024). </w:t>
            </w:r>
            <w:r>
              <w:rPr>
                <w:rStyle w:val="InternetLink"/>
                <w:smallCaps w:val="false"/>
                <w:caps w:val="false"/>
                <w:sz w:val="20"/>
                <w:i w:val="false"/>
                <w:u w:val="single"/>
                <w:b w:val="false"/>
                <w:rFonts w:ascii="Times New Roman;sans-serif" w:hAnsi="Times New Roman;sans-serif"/>
                <w:color w:val="0000FF"/>
              </w:rPr>
              <w:fldChar w:fldCharType="end"/>
            </w:r>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14">
              <w:r>
                <w:rPr>
                  <w:rStyle w:val="InternetLink"/>
                  <w:rFonts w:ascii="Times New Roman;sans-serif" w:hAnsi="Times New Roman;sans-serif"/>
                  <w:b w:val="false"/>
                  <w:i w:val="false"/>
                  <w:caps w:val="false"/>
                  <w:smallCaps w:val="false"/>
                  <w:color w:val="0000FF"/>
                  <w:sz w:val="20"/>
                  <w:u w:val="single"/>
                </w:rPr>
                <w:t xml:space="preserve">Amended and Restated Certificate of Incorporation of Innventure, Inc., filed with the Secretary of </w:t>
              </w:r>
            </w:hyperlink>
          </w:p>
          <w:p>
            <w:pPr>
              <w:pStyle w:val="TableContents"/>
              <w:bidi w:val="0"/>
              <w:spacing w:lineRule="atLeast" w:line="200" w:before="0" w:after="0"/>
              <w:jc w:val="left"/>
              <w:rPr/>
            </w:pPr>
            <w:hyperlink r:id="rId15">
              <w:r>
                <w:rPr>
                  <w:rStyle w:val="InternetLink"/>
                  <w:rFonts w:ascii="Times New Roman;sans-serif" w:hAnsi="Times New Roman;sans-serif"/>
                  <w:b w:val="false"/>
                  <w:i w:val="false"/>
                  <w:caps w:val="false"/>
                  <w:smallCaps w:val="false"/>
                  <w:color w:val="0000FF"/>
                  <w:sz w:val="20"/>
                  <w:u w:val="single"/>
                </w:rPr>
                <w:t xml:space="preserve">State of Delaware on October 2, 2024 (incorporated by reference to Exhibit 3.1 to Innventure Inc.’s </w:t>
              </w:r>
            </w:hyperlink>
          </w:p>
          <w:p>
            <w:pPr>
              <w:pStyle w:val="TableContents"/>
              <w:bidi w:val="0"/>
              <w:spacing w:lineRule="atLeast" w:line="200" w:before="0" w:after="0"/>
              <w:jc w:val="left"/>
              <w:rPr/>
            </w:pPr>
            <w:hyperlink r:id="rId16">
              <w:r>
                <w:rPr>
                  <w:rStyle w:val="InternetLink"/>
                  <w:rFonts w:ascii="Times New Roman;sans-serif" w:hAnsi="Times New Roman;sans-serif"/>
                  <w:b w:val="false"/>
                  <w:i w:val="false"/>
                  <w:caps w:val="false"/>
                  <w:smallCaps w:val="false"/>
                  <w:color w:val="0000FF"/>
                  <w:sz w:val="20"/>
                  <w:u w:val="single"/>
                </w:rPr>
                <w:t xml:space="preserve">Current Report on Form 8-K filed with the SEC on October 9, 2024). </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17">
              <w:r>
                <w:rPr>
                  <w:rStyle w:val="InternetLink"/>
                  <w:rFonts w:ascii="Times New Roman;sans-serif" w:hAnsi="Times New Roman;sans-serif"/>
                  <w:b w:val="false"/>
                  <w:i w:val="false"/>
                  <w:caps w:val="false"/>
                  <w:smallCaps w:val="false"/>
                  <w:color w:val="0000FF"/>
                  <w:sz w:val="20"/>
                  <w:u w:val="single"/>
                </w:rPr>
                <w:t xml:space="preserve">By-laws of Innventure, Inc. (incorporated by reference to Exhibit 3.2 to Innventure Inc.’s Current </w:t>
              </w:r>
            </w:hyperlink>
          </w:p>
          <w:p>
            <w:pPr>
              <w:pStyle w:val="TableContents"/>
              <w:bidi w:val="0"/>
              <w:spacing w:lineRule="atLeast" w:line="200" w:before="0" w:after="0"/>
              <w:jc w:val="left"/>
              <w:rPr/>
            </w:pPr>
            <w:hyperlink r:id="rId18">
              <w:r>
                <w:rPr>
                  <w:rStyle w:val="InternetLink"/>
                  <w:rFonts w:ascii="Times New Roman;sans-serif" w:hAnsi="Times New Roman;sans-serif"/>
                  <w:b w:val="false"/>
                  <w:i w:val="false"/>
                  <w:caps w:val="false"/>
                  <w:smallCaps w:val="false"/>
                  <w:color w:val="0000FF"/>
                  <w:sz w:val="20"/>
                  <w:u w:val="single"/>
                </w:rPr>
                <w:t xml:space="preserve">Report on Form 8-K filed with the SEC on October 9, 2024). </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19">
              <w:r>
                <w:rPr>
                  <w:rStyle w:val="InternetLink"/>
                  <w:rFonts w:ascii="Times New Roman;sans-serif" w:hAnsi="Times New Roman;sans-serif"/>
                  <w:b w:val="false"/>
                  <w:i w:val="false"/>
                  <w:caps w:val="false"/>
                  <w:smallCaps w:val="false"/>
                  <w:color w:val="0000FF"/>
                  <w:sz w:val="20"/>
                  <w:u w:val="single"/>
                </w:rPr>
                <w:t xml:space="preserve">Certificate of Designation of Series B Preferred Stock, dated October 2, 2024, of Innventure, Inc. </w:t>
              </w:r>
            </w:hyperlink>
          </w:p>
          <w:p>
            <w:pPr>
              <w:pStyle w:val="TableContents"/>
              <w:bidi w:val="0"/>
              <w:spacing w:lineRule="atLeast" w:line="200" w:before="0" w:after="0"/>
              <w:jc w:val="left"/>
              <w:rPr/>
            </w:pPr>
            <w:hyperlink r:id="rId20">
              <w:r>
                <w:rPr>
                  <w:rStyle w:val="InternetLink"/>
                  <w:rFonts w:ascii="Times New Roman;sans-serif" w:hAnsi="Times New Roman;sans-serif"/>
                  <w:b w:val="false"/>
                  <w:i w:val="false"/>
                  <w:caps w:val="false"/>
                  <w:smallCaps w:val="false"/>
                  <w:color w:val="0000FF"/>
                  <w:sz w:val="20"/>
                  <w:u w:val="single"/>
                </w:rPr>
                <w:t xml:space="preserve">(incorporated by reference to Exhibit 3.3 to Innventure Inc.’s Current Report on Form 8-K filed with </w:t>
              </w:r>
            </w:hyperlink>
          </w:p>
          <w:p>
            <w:pPr>
              <w:pStyle w:val="TableContents"/>
              <w:bidi w:val="0"/>
              <w:spacing w:lineRule="atLeast" w:line="200" w:before="0" w:after="0"/>
              <w:jc w:val="left"/>
              <w:rPr/>
            </w:pPr>
            <w:hyperlink r:id="rId21">
              <w:r>
                <w:rPr>
                  <w:rStyle w:val="InternetLink"/>
                  <w:rFonts w:ascii="Times New Roman;sans-serif" w:hAnsi="Times New Roman;sans-serif"/>
                  <w:b w:val="false"/>
                  <w:i w:val="false"/>
                  <w:caps w:val="false"/>
                  <w:smallCaps w:val="false"/>
                  <w:color w:val="0000FF"/>
                  <w:sz w:val="20"/>
                  <w:u w:val="single"/>
                </w:rPr>
                <w:t xml:space="preserve">the SEC on October 9, 2024). </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22">
              <w:r>
                <w:rPr>
                  <w:rStyle w:val="InternetLink"/>
                  <w:rFonts w:ascii="Times New Roman;sans-serif" w:hAnsi="Times New Roman;sans-serif"/>
                  <w:b w:val="false"/>
                  <w:i w:val="false"/>
                  <w:caps w:val="false"/>
                  <w:smallCaps w:val="false"/>
                  <w:color w:val="0000FF"/>
                  <w:sz w:val="20"/>
                  <w:u w:val="single"/>
                </w:rPr>
                <w:t xml:space="preserve">Certificate of Designation of Series C Preferred Stock, dated March 24, 2025, of Innventure, Inc. </w:t>
              </w:r>
            </w:hyperlink>
          </w:p>
          <w:p>
            <w:pPr>
              <w:pStyle w:val="TableContents"/>
              <w:bidi w:val="0"/>
              <w:spacing w:lineRule="atLeast" w:line="200" w:before="0" w:after="0"/>
              <w:jc w:val="left"/>
              <w:rPr/>
            </w:pPr>
            <w:hyperlink r:id="rId23">
              <w:r>
                <w:rPr>
                  <w:rStyle w:val="InternetLink"/>
                  <w:rFonts w:ascii="Times New Roman;sans-serif" w:hAnsi="Times New Roman;sans-serif"/>
                  <w:b w:val="false"/>
                  <w:i w:val="false"/>
                  <w:caps w:val="false"/>
                  <w:smallCaps w:val="false"/>
                  <w:color w:val="0000FF"/>
                  <w:sz w:val="20"/>
                  <w:u w:val="single"/>
                </w:rPr>
                <w:t xml:space="preserve">(incorporated by reference to Exhibit 3.1 to Innventure Inc.’s Current Report on Form 8-K filed with </w:t>
              </w:r>
            </w:hyperlink>
          </w:p>
          <w:p>
            <w:pPr>
              <w:pStyle w:val="TableContents"/>
              <w:bidi w:val="0"/>
              <w:spacing w:lineRule="atLeast" w:line="200" w:before="0" w:after="0"/>
              <w:jc w:val="left"/>
              <w:rPr/>
            </w:pPr>
            <w:hyperlink r:id="rId24">
              <w:r>
                <w:rPr>
                  <w:rStyle w:val="InternetLink"/>
                  <w:rFonts w:ascii="Times New Roman;sans-serif" w:hAnsi="Times New Roman;sans-serif"/>
                  <w:b w:val="false"/>
                  <w:i w:val="false"/>
                  <w:caps w:val="false"/>
                  <w:smallCaps w:val="false"/>
                  <w:color w:val="0000FF"/>
                  <w:sz w:val="20"/>
                  <w:u w:val="single"/>
                </w:rPr>
                <w:t>the SEC on March 25, 2025).</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25">
              <w:r>
                <w:rPr>
                  <w:rStyle w:val="InternetLink"/>
                  <w:rFonts w:ascii="Times New Roman;sans-serif" w:hAnsi="Times New Roman;sans-serif"/>
                  <w:b w:val="false"/>
                  <w:i w:val="false"/>
                  <w:caps w:val="false"/>
                  <w:smallCaps w:val="false"/>
                  <w:color w:val="0000FF"/>
                  <w:sz w:val="20"/>
                  <w:u w:val="single"/>
                </w:rPr>
                <w:t xml:space="preserve">Form of Innventure LLC Series 1 Promissory Note (incorporated by reference to Exhibit 4.3 to </w:t>
              </w:r>
            </w:hyperlink>
          </w:p>
          <w:p>
            <w:pPr>
              <w:pStyle w:val="TableContents"/>
              <w:bidi w:val="0"/>
              <w:spacing w:lineRule="atLeast" w:line="200" w:before="0" w:after="0"/>
              <w:jc w:val="left"/>
              <w:rPr/>
            </w:pPr>
            <w:hyperlink r:id="rId26">
              <w:r>
                <w:rPr>
                  <w:rStyle w:val="InternetLink"/>
                  <w:rFonts w:ascii="Times New Roman;sans-serif" w:hAnsi="Times New Roman;sans-serif"/>
                  <w:b w:val="false"/>
                  <w:i w:val="false"/>
                  <w:caps w:val="false"/>
                  <w:smallCaps w:val="false"/>
                  <w:color w:val="0000FF"/>
                  <w:sz w:val="20"/>
                  <w:u w:val="single"/>
                </w:rPr>
                <w:t xml:space="preserve">Innventure, Inc.’s Registration Statement on Form S-4 filed with the SEC on September 6, 2024). </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27">
              <w:r>
                <w:rPr>
                  <w:rStyle w:val="InternetLink"/>
                  <w:rFonts w:ascii="Times New Roman;sans-serif" w:hAnsi="Times New Roman;sans-serif"/>
                  <w:b w:val="false"/>
                  <w:i w:val="false"/>
                  <w:caps w:val="false"/>
                  <w:smallCaps w:val="false"/>
                  <w:color w:val="0000FF"/>
                  <w:sz w:val="20"/>
                  <w:u w:val="single"/>
                </w:rPr>
                <w:t xml:space="preserve">Form of Accelsius Holdings LLC Convertible Promissory Note (incorporated by reference to Exhibit </w:t>
              </w:r>
            </w:hyperlink>
          </w:p>
          <w:p>
            <w:pPr>
              <w:pStyle w:val="TableContents"/>
              <w:bidi w:val="0"/>
              <w:spacing w:lineRule="atLeast" w:line="200" w:before="0" w:after="0"/>
              <w:jc w:val="left"/>
              <w:rPr/>
            </w:pPr>
            <w:hyperlink r:id="rId28">
              <w:r>
                <w:rPr>
                  <w:rStyle w:val="InternetLink"/>
                  <w:rFonts w:ascii="Times New Roman;sans-serif" w:hAnsi="Times New Roman;sans-serif"/>
                  <w:b w:val="false"/>
                  <w:i w:val="false"/>
                  <w:caps w:val="false"/>
                  <w:smallCaps w:val="false"/>
                  <w:color w:val="0000FF"/>
                  <w:sz w:val="20"/>
                  <w:u w:val="single"/>
                </w:rPr>
                <w:t xml:space="preserve">4.4 to Innventure, Inc.’s Registration Statement on Form S-4 filed with the SEC on September 6, </w:t>
              </w:r>
            </w:hyperlink>
          </w:p>
          <w:p>
            <w:pPr>
              <w:pStyle w:val="TableContents"/>
              <w:bidi w:val="0"/>
              <w:spacing w:lineRule="atLeast" w:line="200" w:before="0" w:after="0"/>
              <w:jc w:val="left"/>
              <w:rPr/>
            </w:pPr>
            <w:hyperlink r:id="rId29">
              <w:r>
                <w:rPr>
                  <w:rStyle w:val="InternetLink"/>
                  <w:rFonts w:ascii="Times New Roman;sans-serif" w:hAnsi="Times New Roman;sans-serif"/>
                  <w:b w:val="false"/>
                  <w:i w:val="false"/>
                  <w:caps w:val="false"/>
                  <w:smallCaps w:val="false"/>
                  <w:color w:val="0000FF"/>
                  <w:sz w:val="20"/>
                  <w:u w:val="single"/>
                </w:rPr>
                <w:t>2024).</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30">
              <w:r>
                <w:rPr>
                  <w:rStyle w:val="InternetLink"/>
                  <w:rFonts w:ascii="Times New Roman;sans-serif" w:hAnsi="Times New Roman;sans-serif"/>
                  <w:b w:val="false"/>
                  <w:i w:val="false"/>
                  <w:caps w:val="false"/>
                  <w:smallCaps w:val="false"/>
                  <w:color w:val="0000FF"/>
                  <w:sz w:val="20"/>
                  <w:u w:val="single"/>
                </w:rPr>
                <w:t xml:space="preserve">Secured Convertible Note and Warrant Purchase Agreement, dated as of June 3, 2021, by and among </w:t>
              </w:r>
            </w:hyperlink>
          </w:p>
          <w:p>
            <w:pPr>
              <w:pStyle w:val="TableContents"/>
              <w:bidi w:val="0"/>
              <w:spacing w:lineRule="atLeast" w:line="200" w:before="0" w:after="0"/>
              <w:jc w:val="left"/>
              <w:rPr/>
            </w:pPr>
            <w:hyperlink r:id="rId31">
              <w:r>
                <w:rPr>
                  <w:rStyle w:val="InternetLink"/>
                  <w:rFonts w:ascii="Times New Roman;sans-serif" w:hAnsi="Times New Roman;sans-serif"/>
                  <w:b w:val="false"/>
                  <w:i w:val="false"/>
                  <w:caps w:val="false"/>
                  <w:smallCaps w:val="false"/>
                  <w:color w:val="0000FF"/>
                  <w:sz w:val="20"/>
                  <w:u w:val="single"/>
                </w:rPr>
                <w:t xml:space="preserve">Innventus ESG Fund I, L.P., AeroFlexx, LLC, and the Investors party thereto (incorporated by </w:t>
              </w:r>
            </w:hyperlink>
          </w:p>
          <w:p>
            <w:pPr>
              <w:pStyle w:val="TableContents"/>
              <w:bidi w:val="0"/>
              <w:spacing w:lineRule="atLeast" w:line="200" w:before="0" w:after="0"/>
              <w:jc w:val="left"/>
              <w:rPr/>
            </w:pPr>
            <w:hyperlink r:id="rId32">
              <w:r>
                <w:rPr>
                  <w:rStyle w:val="InternetLink"/>
                  <w:rFonts w:ascii="Times New Roman;sans-serif" w:hAnsi="Times New Roman;sans-serif"/>
                  <w:b w:val="false"/>
                  <w:i w:val="false"/>
                  <w:caps w:val="false"/>
                  <w:smallCaps w:val="false"/>
                  <w:color w:val="0000FF"/>
                  <w:sz w:val="20"/>
                  <w:u w:val="single"/>
                </w:rPr>
                <w:t xml:space="preserve">reference to Exhibit 4.5 to Innventure, Inc.’s Registration Statement on Form S-4 filed with the SEC </w:t>
              </w:r>
            </w:hyperlink>
          </w:p>
          <w:p>
            <w:pPr>
              <w:pStyle w:val="TableContents"/>
              <w:bidi w:val="0"/>
              <w:spacing w:lineRule="atLeast" w:line="200" w:before="0" w:after="0"/>
              <w:jc w:val="left"/>
              <w:rPr/>
            </w:pPr>
            <w:hyperlink r:id="rId33">
              <w:r>
                <w:rPr>
                  <w:rStyle w:val="InternetLink"/>
                  <w:rFonts w:ascii="Times New Roman;sans-serif" w:hAnsi="Times New Roman;sans-serif"/>
                  <w:b w:val="false"/>
                  <w:i w:val="false"/>
                  <w:caps w:val="false"/>
                  <w:smallCaps w:val="false"/>
                  <w:color w:val="0000FF"/>
                  <w:sz w:val="20"/>
                  <w:u w:val="single"/>
                </w:rPr>
                <w:t xml:space="preserve">on September 6, 2024). </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34">
              <w:r>
                <w:rPr>
                  <w:rStyle w:val="InternetLink"/>
                  <w:rFonts w:ascii="Times New Roman;sans-serif" w:hAnsi="Times New Roman;sans-serif"/>
                  <w:b w:val="false"/>
                  <w:i w:val="false"/>
                  <w:caps w:val="false"/>
                  <w:smallCaps w:val="false"/>
                  <w:color w:val="0000FF"/>
                  <w:sz w:val="20"/>
                  <w:u w:val="single"/>
                </w:rPr>
                <w:t xml:space="preserve">Amended and Restated Secured Convertible Promissory Note and Warrant Purchase Agreement, </w:t>
              </w:r>
            </w:hyperlink>
          </w:p>
          <w:p>
            <w:pPr>
              <w:pStyle w:val="TableContents"/>
              <w:bidi w:val="0"/>
              <w:spacing w:lineRule="atLeast" w:line="200" w:before="0" w:after="0"/>
              <w:jc w:val="left"/>
              <w:rPr/>
            </w:pPr>
            <w:hyperlink r:id="rId35">
              <w:r>
                <w:rPr>
                  <w:rStyle w:val="InternetLink"/>
                  <w:rFonts w:ascii="Times New Roman;sans-serif" w:hAnsi="Times New Roman;sans-serif"/>
                  <w:b w:val="false"/>
                  <w:i w:val="false"/>
                  <w:caps w:val="false"/>
                  <w:smallCaps w:val="false"/>
                  <w:color w:val="0000FF"/>
                  <w:sz w:val="20"/>
                  <w:u w:val="single"/>
                </w:rPr>
                <w:t xml:space="preserve">dated as of July 31, 2021, by and among Innventus ESG Fund I, L.P., AeroFlexx, LLC, and the </w:t>
              </w:r>
            </w:hyperlink>
          </w:p>
          <w:p>
            <w:pPr>
              <w:pStyle w:val="TableContents"/>
              <w:bidi w:val="0"/>
              <w:spacing w:lineRule="atLeast" w:line="200" w:before="0" w:after="0"/>
              <w:jc w:val="left"/>
              <w:rPr/>
            </w:pPr>
            <w:hyperlink r:id="rId36">
              <w:r>
                <w:rPr>
                  <w:rStyle w:val="InternetLink"/>
                  <w:rFonts w:ascii="Times New Roman;sans-serif" w:hAnsi="Times New Roman;sans-serif"/>
                  <w:b w:val="false"/>
                  <w:i w:val="false"/>
                  <w:caps w:val="false"/>
                  <w:smallCaps w:val="false"/>
                  <w:color w:val="0000FF"/>
                  <w:sz w:val="20"/>
                  <w:u w:val="single"/>
                </w:rPr>
                <w:t xml:space="preserve">Investors party thereto (incorporated by reference to Exhibit 4.6 to Innventure, Inc.’s Registration </w:t>
              </w:r>
            </w:hyperlink>
          </w:p>
          <w:p>
            <w:pPr>
              <w:pStyle w:val="TableContents"/>
              <w:bidi w:val="0"/>
              <w:spacing w:lineRule="atLeast" w:line="200" w:before="0" w:after="0"/>
              <w:jc w:val="left"/>
              <w:rPr/>
            </w:pPr>
            <w:hyperlink r:id="rId37">
              <w:r>
                <w:rPr>
                  <w:rStyle w:val="InternetLink"/>
                  <w:rFonts w:ascii="Times New Roman;sans-serif" w:hAnsi="Times New Roman;sans-serif"/>
                  <w:b w:val="false"/>
                  <w:i w:val="false"/>
                  <w:caps w:val="false"/>
                  <w:smallCaps w:val="false"/>
                  <w:color w:val="0000FF"/>
                  <w:sz w:val="20"/>
                  <w:u w:val="single"/>
                </w:rPr>
                <w:t xml:space="preserve">Statement on Form S-4 filed with the SEC on September 6, 2024). </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w:t>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lineRule="atLeast" w:line="200" w:before="0" w:after="0"/>
              <w:jc w:val="left"/>
              <w:rPr/>
            </w:pPr>
            <w:hyperlink r:id="rId38">
              <w:r>
                <w:rPr>
                  <w:rStyle w:val="InternetLink"/>
                  <w:rFonts w:ascii="Times New Roman;sans-serif" w:hAnsi="Times New Roman;sans-serif"/>
                  <w:b w:val="false"/>
                  <w:i w:val="false"/>
                  <w:caps w:val="false"/>
                  <w:smallCaps w:val="false"/>
                  <w:color w:val="0000FF"/>
                  <w:sz w:val="20"/>
                  <w:u w:val="single"/>
                </w:rPr>
                <w:t xml:space="preserve">Form of Innventure Class B Warrant Cashless Exercise Description and Acknowledgment Letter </w:t>
              </w:r>
            </w:hyperlink>
          </w:p>
          <w:p>
            <w:pPr>
              <w:pStyle w:val="TableContents"/>
              <w:bidi w:val="0"/>
              <w:spacing w:lineRule="atLeast" w:line="200" w:before="0" w:after="0"/>
              <w:jc w:val="left"/>
              <w:rPr/>
            </w:pPr>
            <w:hyperlink r:id="rId39">
              <w:r>
                <w:rPr>
                  <w:rStyle w:val="InternetLink"/>
                  <w:rFonts w:ascii="Times New Roman;sans-serif" w:hAnsi="Times New Roman;sans-serif"/>
                  <w:b w:val="false"/>
                  <w:i w:val="false"/>
                  <w:caps w:val="false"/>
                  <w:smallCaps w:val="false"/>
                  <w:color w:val="0000FF"/>
                  <w:sz w:val="20"/>
                  <w:u w:val="single"/>
                </w:rPr>
                <w:t xml:space="preserve">(incorporated by reference to Exhibit 4.8 to Innventure, Inc.’s Registration Statement on Form S-4 </w:t>
              </w:r>
            </w:hyperlink>
          </w:p>
          <w:p>
            <w:pPr>
              <w:pStyle w:val="TableContents"/>
              <w:bidi w:val="0"/>
              <w:spacing w:lineRule="atLeast" w:line="200" w:before="0" w:after="0"/>
              <w:jc w:val="left"/>
              <w:rPr/>
            </w:pPr>
            <w:hyperlink r:id="rId40">
              <w:r>
                <w:rPr>
                  <w:rStyle w:val="InternetLink"/>
                  <w:rFonts w:ascii="Times New Roman;sans-serif" w:hAnsi="Times New Roman;sans-serif"/>
                  <w:b w:val="false"/>
                  <w:i w:val="false"/>
                  <w:caps w:val="false"/>
                  <w:smallCaps w:val="false"/>
                  <w:color w:val="0000FF"/>
                  <w:sz w:val="20"/>
                  <w:u w:val="single"/>
                </w:rPr>
                <w:t>filed with the SEC on September 6, 2024).</w:t>
              </w:r>
            </w:hyperlink>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II-5</w:t>
      </w:r>
    </w:p>
    <w:tbl>
      <w:tblPr>
        <w:tblW w:w="9216" w:type="dxa"/>
        <w:jc w:val="left"/>
        <w:tblInd w:w="0" w:type="dxa"/>
        <w:tblLayout w:type="fixed"/>
        <w:tblCellMar>
          <w:top w:w="28" w:type="dxa"/>
          <w:left w:w="28" w:type="dxa"/>
          <w:bottom w:w="28" w:type="dxa"/>
          <w:right w:w="28" w:type="dxa"/>
        </w:tblCellMar>
      </w:tblPr>
      <w:tblGrid>
        <w:gridCol w:w="706"/>
        <w:gridCol w:w="109"/>
        <w:gridCol w:w="84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Exhibit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Number</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Description of Exhibits</w:t>
            </w:r>
          </w:p>
        </w:tc>
      </w:tr>
      <w:tr>
        <w:trPr/>
        <w:tc>
          <w:tcPr>
            <w:tcW w:w="7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41">
              <w:r>
                <w:rPr>
                  <w:rStyle w:val="InternetLink"/>
                  <w:rFonts w:ascii="Times New Roman;sans-serif" w:hAnsi="Times New Roman;sans-serif"/>
                  <w:b w:val="false"/>
                  <w:i w:val="false"/>
                  <w:caps w:val="false"/>
                  <w:smallCaps w:val="false"/>
                  <w:color w:val="0000FF"/>
                  <w:sz w:val="20"/>
                  <w:u w:val="single"/>
                </w:rPr>
                <w:t xml:space="preserve">Warrant to Acquire Securities of Innventure, Inc., dated October 22, 2024, issued to WTI Fund X, </w:t>
              </w:r>
            </w:hyperlink>
          </w:p>
          <w:p>
            <w:pPr>
              <w:pStyle w:val="TableContents"/>
              <w:bidi w:val="0"/>
              <w:spacing w:lineRule="atLeast" w:line="200" w:before="0" w:after="0"/>
              <w:jc w:val="left"/>
              <w:rPr/>
            </w:pPr>
            <w:hyperlink r:id="rId42">
              <w:r>
                <w:rPr>
                  <w:rStyle w:val="InternetLink"/>
                  <w:rFonts w:ascii="Times New Roman;sans-serif" w:hAnsi="Times New Roman;sans-serif"/>
                  <w:b w:val="false"/>
                  <w:i w:val="false"/>
                  <w:caps w:val="false"/>
                  <w:smallCaps w:val="false"/>
                  <w:color w:val="0000FF"/>
                  <w:sz w:val="20"/>
                  <w:u w:val="single"/>
                </w:rPr>
                <w:t xml:space="preserve">LLC (incorporated by reference to Exhibit 4.1 to Innventure, Inc.’s Current Report on Form 8-K </w:t>
              </w:r>
            </w:hyperlink>
          </w:p>
          <w:p>
            <w:pPr>
              <w:pStyle w:val="TableContents"/>
              <w:bidi w:val="0"/>
              <w:spacing w:lineRule="atLeast" w:line="200" w:before="0" w:after="0"/>
              <w:jc w:val="left"/>
              <w:rPr/>
            </w:pPr>
            <w:hyperlink r:id="rId43">
              <w:r>
                <w:rPr>
                  <w:rStyle w:val="InternetLink"/>
                  <w:rFonts w:ascii="Times New Roman;sans-serif" w:hAnsi="Times New Roman;sans-serif"/>
                  <w:b w:val="false"/>
                  <w:i w:val="false"/>
                  <w:caps w:val="false"/>
                  <w:smallCaps w:val="false"/>
                  <w:color w:val="0000FF"/>
                  <w:sz w:val="20"/>
                  <w:u w:val="single"/>
                </w:rPr>
                <w:t>dated October 23, 2024).</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44">
              <w:r>
                <w:rPr>
                  <w:rStyle w:val="InternetLink"/>
                  <w:rFonts w:ascii="Times New Roman;sans-serif" w:hAnsi="Times New Roman;sans-serif"/>
                  <w:b w:val="false"/>
                  <w:i w:val="false"/>
                  <w:caps w:val="false"/>
                  <w:smallCaps w:val="false"/>
                  <w:color w:val="0000FF"/>
                  <w:sz w:val="20"/>
                  <w:u w:val="single"/>
                </w:rPr>
                <w:t xml:space="preserve">Warrant to Acquire Securities of Innventure, Inc., dated October 22, 2024, issued to WTI Fund XI, </w:t>
              </w:r>
            </w:hyperlink>
          </w:p>
          <w:p>
            <w:pPr>
              <w:pStyle w:val="TableContents"/>
              <w:bidi w:val="0"/>
              <w:spacing w:lineRule="atLeast" w:line="200" w:before="0" w:after="0"/>
              <w:jc w:val="left"/>
              <w:rPr/>
            </w:pPr>
            <w:hyperlink r:id="rId45">
              <w:r>
                <w:rPr>
                  <w:rStyle w:val="InternetLink"/>
                  <w:rFonts w:ascii="Times New Roman;sans-serif" w:hAnsi="Times New Roman;sans-serif"/>
                  <w:b w:val="false"/>
                  <w:i w:val="false"/>
                  <w:caps w:val="false"/>
                  <w:smallCaps w:val="false"/>
                  <w:color w:val="0000FF"/>
                  <w:sz w:val="20"/>
                  <w:u w:val="single"/>
                </w:rPr>
                <w:t xml:space="preserve">LLC (incorporated by reference to Exhibit 4.2 to Innventure, Inc.’s Current Report on Form 8-K </w:t>
              </w:r>
            </w:hyperlink>
          </w:p>
          <w:p>
            <w:pPr>
              <w:pStyle w:val="TableContents"/>
              <w:bidi w:val="0"/>
              <w:spacing w:lineRule="atLeast" w:line="200" w:before="0" w:after="0"/>
              <w:jc w:val="left"/>
              <w:rPr/>
            </w:pPr>
            <w:hyperlink r:id="rId46">
              <w:r>
                <w:rPr>
                  <w:rStyle w:val="InternetLink"/>
                  <w:rFonts w:ascii="Times New Roman;sans-serif" w:hAnsi="Times New Roman;sans-serif"/>
                  <w:b w:val="false"/>
                  <w:i w:val="false"/>
                  <w:caps w:val="false"/>
                  <w:smallCaps w:val="false"/>
                  <w:color w:val="0000FF"/>
                  <w:sz w:val="20"/>
                  <w:u w:val="single"/>
                </w:rPr>
                <w:t>dated October 23, 2024).</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47">
              <w:r>
                <w:rPr>
                  <w:rStyle w:val="InternetLink"/>
                  <w:rFonts w:ascii="Times New Roman;sans-serif" w:hAnsi="Times New Roman;sans-serif"/>
                  <w:b w:val="false"/>
                  <w:i w:val="false"/>
                  <w:caps w:val="false"/>
                  <w:smallCaps w:val="false"/>
                  <w:color w:val="0000FF"/>
                  <w:sz w:val="20"/>
                  <w:u w:val="single"/>
                </w:rPr>
                <w:t xml:space="preserve">First Convertible Debenture, issued to YA II PN, Ltd., dated April 14, 2025 (incorporated by </w:t>
              </w:r>
            </w:hyperlink>
          </w:p>
          <w:p>
            <w:pPr>
              <w:pStyle w:val="TableContents"/>
              <w:bidi w:val="0"/>
              <w:spacing w:lineRule="atLeast" w:line="200" w:before="0" w:after="0"/>
              <w:jc w:val="left"/>
              <w:rPr/>
            </w:pPr>
            <w:hyperlink r:id="rId48">
              <w:r>
                <w:rPr>
                  <w:rStyle w:val="InternetLink"/>
                  <w:rFonts w:ascii="Times New Roman;sans-serif" w:hAnsi="Times New Roman;sans-serif"/>
                  <w:b w:val="false"/>
                  <w:i w:val="false"/>
                  <w:caps w:val="false"/>
                  <w:smallCaps w:val="false"/>
                  <w:color w:val="0000FF"/>
                  <w:sz w:val="20"/>
                  <w:u w:val="single"/>
                </w:rPr>
                <w:t>reference to Exhibit 4.1 to Innventure, Inc.’s Current Report on Form 8-K dated April 14, 2025).</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49">
              <w:r>
                <w:rPr>
                  <w:rStyle w:val="InternetLink"/>
                  <w:rFonts w:ascii="Times New Roman;sans-serif" w:hAnsi="Times New Roman;sans-serif"/>
                  <w:b w:val="false"/>
                  <w:i w:val="false"/>
                  <w:caps w:val="false"/>
                  <w:smallCaps w:val="false"/>
                  <w:color w:val="0000FF"/>
                  <w:sz w:val="20"/>
                  <w:u w:val="single"/>
                </w:rPr>
                <w:t xml:space="preserve">Warrant to Acquire Securities of Innventure, Inc., issued to WTI Fund X, LLC on April 14, 2025 </w:t>
              </w:r>
            </w:hyperlink>
          </w:p>
          <w:p>
            <w:pPr>
              <w:pStyle w:val="TableContents"/>
              <w:bidi w:val="0"/>
              <w:spacing w:lineRule="atLeast" w:line="200" w:before="0" w:after="0"/>
              <w:jc w:val="left"/>
              <w:rPr/>
            </w:pPr>
            <w:hyperlink r:id="rId50">
              <w:r>
                <w:rPr>
                  <w:rStyle w:val="InternetLink"/>
                  <w:rFonts w:ascii="Times New Roman;sans-serif" w:hAnsi="Times New Roman;sans-serif"/>
                  <w:b w:val="false"/>
                  <w:i w:val="false"/>
                  <w:caps w:val="false"/>
                  <w:smallCaps w:val="false"/>
                  <w:color w:val="0000FF"/>
                  <w:sz w:val="20"/>
                  <w:u w:val="single"/>
                </w:rPr>
                <w:t xml:space="preserve">(incorporated by reference to Exhibit 4.2 to Innventure, Inc.’s Current Report on Form 8-K dated </w:t>
              </w:r>
            </w:hyperlink>
          </w:p>
          <w:p>
            <w:pPr>
              <w:pStyle w:val="TableContents"/>
              <w:bidi w:val="0"/>
              <w:spacing w:lineRule="atLeast" w:line="200" w:before="0" w:after="0"/>
              <w:jc w:val="left"/>
              <w:rPr/>
            </w:pPr>
            <w:hyperlink r:id="rId51">
              <w:r>
                <w:rPr>
                  <w:rStyle w:val="InternetLink"/>
                  <w:rFonts w:ascii="Times New Roman;sans-serif" w:hAnsi="Times New Roman;sans-serif"/>
                  <w:b w:val="false"/>
                  <w:i w:val="false"/>
                  <w:caps w:val="false"/>
                  <w:smallCaps w:val="false"/>
                  <w:color w:val="0000FF"/>
                  <w:sz w:val="20"/>
                  <w:u w:val="single"/>
                </w:rPr>
                <w:t>April 14, 2025).</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4.10^</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52">
              <w:r>
                <w:rPr>
                  <w:rStyle w:val="InternetLink"/>
                  <w:rFonts w:ascii="Times New Roman;sans-serif" w:hAnsi="Times New Roman;sans-serif"/>
                  <w:b w:val="false"/>
                  <w:i w:val="false"/>
                  <w:caps w:val="false"/>
                  <w:smallCaps w:val="false"/>
                  <w:color w:val="0000FF"/>
                  <w:sz w:val="20"/>
                  <w:u w:val="single"/>
                </w:rPr>
                <w:t xml:space="preserve">Warrant to Acquire Securities of Innventure, Inc., issued to WTI Fund XI, LLC on April 14, 2025 </w:t>
              </w:r>
            </w:hyperlink>
          </w:p>
          <w:p>
            <w:pPr>
              <w:pStyle w:val="TableContents"/>
              <w:bidi w:val="0"/>
              <w:spacing w:lineRule="atLeast" w:line="200" w:before="0" w:after="0"/>
              <w:jc w:val="left"/>
              <w:rPr/>
            </w:pPr>
            <w:hyperlink r:id="rId53">
              <w:r>
                <w:rPr>
                  <w:rStyle w:val="InternetLink"/>
                  <w:rFonts w:ascii="Times New Roman;sans-serif" w:hAnsi="Times New Roman;sans-serif"/>
                  <w:b w:val="false"/>
                  <w:i w:val="false"/>
                  <w:caps w:val="false"/>
                  <w:smallCaps w:val="false"/>
                  <w:color w:val="0000FF"/>
                  <w:sz w:val="20"/>
                  <w:u w:val="single"/>
                </w:rPr>
                <w:t xml:space="preserve">(incorporated by reference to Exhibit 4.3 to Innventure, Inc.’s Current Report on Form 8-K dated </w:t>
              </w:r>
            </w:hyperlink>
          </w:p>
          <w:p>
            <w:pPr>
              <w:pStyle w:val="TableContents"/>
              <w:bidi w:val="0"/>
              <w:spacing w:lineRule="atLeast" w:line="200" w:before="0" w:after="0"/>
              <w:jc w:val="left"/>
              <w:rPr/>
            </w:pPr>
            <w:hyperlink r:id="rId54">
              <w:r>
                <w:rPr>
                  <w:rStyle w:val="InternetLink"/>
                  <w:rFonts w:ascii="Times New Roman;sans-serif" w:hAnsi="Times New Roman;sans-serif"/>
                  <w:b w:val="false"/>
                  <w:i w:val="false"/>
                  <w:caps w:val="false"/>
                  <w:smallCaps w:val="false"/>
                  <w:color w:val="0000FF"/>
                  <w:sz w:val="20"/>
                  <w:u w:val="single"/>
                </w:rPr>
                <w:t>April 14, 2025).</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4.11</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55">
              <w:r>
                <w:rPr>
                  <w:rStyle w:val="InternetLink"/>
                  <w:rFonts w:ascii="Times New Roman;sans-serif" w:hAnsi="Times New Roman;sans-serif"/>
                  <w:b w:val="false"/>
                  <w:i w:val="false"/>
                  <w:caps w:val="false"/>
                  <w:smallCaps w:val="false"/>
                  <w:color w:val="0000FF"/>
                  <w:sz w:val="20"/>
                  <w:u w:val="single"/>
                </w:rPr>
                <w:t xml:space="preserve">Registration and Shareholder Rights Agreement, dated October 12, 2021, by and among Learn CW </w:t>
              </w:r>
            </w:hyperlink>
          </w:p>
          <w:p>
            <w:pPr>
              <w:pStyle w:val="TableContents"/>
              <w:bidi w:val="0"/>
              <w:spacing w:lineRule="atLeast" w:line="200" w:before="0" w:after="0"/>
              <w:jc w:val="left"/>
              <w:rPr/>
            </w:pPr>
            <w:hyperlink r:id="rId56">
              <w:r>
                <w:rPr>
                  <w:rStyle w:val="InternetLink"/>
                  <w:rFonts w:ascii="Times New Roman;sans-serif" w:hAnsi="Times New Roman;sans-serif"/>
                  <w:b w:val="false"/>
                  <w:i w:val="false"/>
                  <w:caps w:val="false"/>
                  <w:smallCaps w:val="false"/>
                  <w:color w:val="0000FF"/>
                  <w:sz w:val="20"/>
                  <w:u w:val="single"/>
                </w:rPr>
                <w:t xml:space="preserve">Investment Corporation, the Sponsor and certain other security holders named therein (incorporated </w:t>
              </w:r>
            </w:hyperlink>
          </w:p>
          <w:p>
            <w:pPr>
              <w:pStyle w:val="TableContents"/>
              <w:bidi w:val="0"/>
              <w:spacing w:lineRule="atLeast" w:line="200" w:before="0" w:after="0"/>
              <w:jc w:val="left"/>
              <w:rPr/>
            </w:pPr>
            <w:hyperlink r:id="rId57">
              <w:r>
                <w:rPr>
                  <w:rStyle w:val="InternetLink"/>
                  <w:rFonts w:ascii="Times New Roman;sans-serif" w:hAnsi="Times New Roman;sans-serif"/>
                  <w:b w:val="false"/>
                  <w:i w:val="false"/>
                  <w:caps w:val="false"/>
                  <w:smallCaps w:val="false"/>
                  <w:color w:val="0000FF"/>
                  <w:sz w:val="20"/>
                  <w:u w:val="single"/>
                </w:rPr>
                <w:t xml:space="preserve">by reference to Exhibit 10.4 to Learn CW Investment Corporation’s Current Report on Form 8-K </w:t>
              </w:r>
            </w:hyperlink>
          </w:p>
          <w:p>
            <w:pPr>
              <w:pStyle w:val="TableContents"/>
              <w:bidi w:val="0"/>
              <w:spacing w:lineRule="atLeast" w:line="200" w:before="0" w:after="0"/>
              <w:jc w:val="left"/>
              <w:rPr/>
            </w:pPr>
            <w:hyperlink r:id="rId58">
              <w:r>
                <w:rPr>
                  <w:rStyle w:val="InternetLink"/>
                  <w:rFonts w:ascii="Times New Roman;sans-serif" w:hAnsi="Times New Roman;sans-serif"/>
                  <w:b w:val="false"/>
                  <w:i w:val="false"/>
                  <w:caps w:val="false"/>
                  <w:smallCaps w:val="false"/>
                  <w:color w:val="0000FF"/>
                  <w:sz w:val="20"/>
                  <w:u w:val="single"/>
                </w:rPr>
                <w:t>filed with the SEC on October 14, 2021).</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w:anchor="exhibit51-sx1.htm">
              <w:r>
                <w:rPr>
                  <w:rStyle w:val="InternetLink"/>
                  <w:rFonts w:ascii="Times New Roman;sans-serif" w:hAnsi="Times New Roman;sans-serif"/>
                  <w:b w:val="false"/>
                  <w:i w:val="false"/>
                  <w:caps w:val="false"/>
                  <w:smallCaps w:val="false"/>
                  <w:color w:val="0000FF"/>
                  <w:sz w:val="20"/>
                  <w:u w:val="single"/>
                </w:rPr>
                <w:t>Opinion of Jones Day.</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59">
              <w:r>
                <w:rPr>
                  <w:rStyle w:val="InternetLink"/>
                  <w:rFonts w:ascii="Times New Roman;sans-serif" w:hAnsi="Times New Roman;sans-serif"/>
                  <w:b w:val="false"/>
                  <w:i w:val="false"/>
                  <w:caps w:val="false"/>
                  <w:smallCaps w:val="false"/>
                  <w:color w:val="0000FF"/>
                  <w:sz w:val="20"/>
                  <w:u w:val="single"/>
                </w:rPr>
                <w:t xml:space="preserve">Offer Letter, dated September 7, 2023, between David Yablunosky and Innventure LLC (incorporated </w:t>
              </w:r>
            </w:hyperlink>
          </w:p>
          <w:p>
            <w:pPr>
              <w:pStyle w:val="TableContents"/>
              <w:bidi w:val="0"/>
              <w:spacing w:lineRule="atLeast" w:line="200" w:before="0" w:after="0"/>
              <w:jc w:val="left"/>
              <w:rPr/>
            </w:pPr>
            <w:hyperlink r:id="rId60">
              <w:r>
                <w:rPr>
                  <w:rStyle w:val="InternetLink"/>
                  <w:rFonts w:ascii="Times New Roman;sans-serif" w:hAnsi="Times New Roman;sans-serif"/>
                  <w:b w:val="false"/>
                  <w:i w:val="false"/>
                  <w:caps w:val="false"/>
                  <w:smallCaps w:val="false"/>
                  <w:color w:val="0000FF"/>
                  <w:sz w:val="20"/>
                  <w:u w:val="single"/>
                </w:rPr>
                <w:t xml:space="preserve">by reference to Exhibit 10.8 to Innventure, Inc.’s Registration Statement on Form S-4 filed with the </w:t>
              </w:r>
            </w:hyperlink>
          </w:p>
          <w:p>
            <w:pPr>
              <w:pStyle w:val="TableContents"/>
              <w:bidi w:val="0"/>
              <w:spacing w:lineRule="atLeast" w:line="200" w:before="0" w:after="0"/>
              <w:jc w:val="left"/>
              <w:rPr/>
            </w:pPr>
            <w:hyperlink r:id="rId61">
              <w:r>
                <w:rPr>
                  <w:rStyle w:val="InternetLink"/>
                  <w:rFonts w:ascii="Times New Roman;sans-serif" w:hAnsi="Times New Roman;sans-serif"/>
                  <w:b w:val="false"/>
                  <w:i w:val="false"/>
                  <w:caps w:val="false"/>
                  <w:smallCaps w:val="false"/>
                  <w:color w:val="0000FF"/>
                  <w:sz w:val="20"/>
                  <w:u w:val="single"/>
                </w:rPr>
                <w:t>SEC on September 6, 2024).</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"tANNEXD"</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Member Support Agreement, dated October 24, 2023, by and among Learn CW Investment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"tANNEXD"</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Corporation, Learn SPAC Holdco, Inc., Innventure LLC and the Innventure Members party thereto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"tANNEXD"</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(incorporated by reference to Annex D to Innventure, Inc.’s Registration Statement on Form S-4 filed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"tANNEXD"</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with the SEC on September 6, 2024).</w:t>
            </w:r>
            <w:r>
              <w:rPr>
                <w:rStyle w:val="InternetLink"/>
                <w:smallCaps w:val="false"/>
                <w:caps w:val="false"/>
                <w:sz w:val="20"/>
                <w:i w:val="false"/>
                <w:u w:val="single"/>
                <w:b w:val="false"/>
                <w:rFonts w:ascii="Times New Roman;sans-serif" w:hAnsi="Times New Roman;sans-serif"/>
                <w:color w:val="0000FF"/>
              </w:rPr>
              <w:fldChar w:fldCharType="end"/>
            </w:r>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62">
              <w:r>
                <w:rPr>
                  <w:rStyle w:val="InternetLink"/>
                  <w:rFonts w:ascii="Times New Roman;sans-serif" w:hAnsi="Times New Roman;sans-serif"/>
                  <w:b w:val="false"/>
                  <w:i w:val="false"/>
                  <w:caps w:val="false"/>
                  <w:smallCaps w:val="false"/>
                  <w:color w:val="0000FF"/>
                  <w:sz w:val="20"/>
                  <w:u w:val="single"/>
                </w:rPr>
                <w:t xml:space="preserve">Class D Preferred Unit Purchase Agreement, by and between Innventus ESG, AeroFlexx, and the </w:t>
              </w:r>
            </w:hyperlink>
          </w:p>
          <w:p>
            <w:pPr>
              <w:pStyle w:val="TableContents"/>
              <w:bidi w:val="0"/>
              <w:spacing w:lineRule="atLeast" w:line="200" w:before="0" w:after="0"/>
              <w:jc w:val="left"/>
              <w:rPr/>
            </w:pPr>
            <w:hyperlink r:id="rId63">
              <w:r>
                <w:rPr>
                  <w:rStyle w:val="InternetLink"/>
                  <w:rFonts w:ascii="Times New Roman;sans-serif" w:hAnsi="Times New Roman;sans-serif"/>
                  <w:b w:val="false"/>
                  <w:i w:val="false"/>
                  <w:caps w:val="false"/>
                  <w:smallCaps w:val="false"/>
                  <w:color w:val="0000FF"/>
                  <w:sz w:val="20"/>
                  <w:u w:val="single"/>
                </w:rPr>
                <w:t xml:space="preserve">Investors party thereto, dated as of November 10, 2021 (incorporated by reference to Exhibit 10.12 to </w:t>
              </w:r>
            </w:hyperlink>
          </w:p>
          <w:p>
            <w:pPr>
              <w:pStyle w:val="TableContents"/>
              <w:bidi w:val="0"/>
              <w:spacing w:lineRule="atLeast" w:line="200" w:before="0" w:after="0"/>
              <w:jc w:val="left"/>
              <w:rPr/>
            </w:pPr>
            <w:hyperlink r:id="rId64">
              <w:r>
                <w:rPr>
                  <w:rStyle w:val="InternetLink"/>
                  <w:rFonts w:ascii="Times New Roman;sans-serif" w:hAnsi="Times New Roman;sans-serif"/>
                  <w:b w:val="false"/>
                  <w:i w:val="false"/>
                  <w:caps w:val="false"/>
                  <w:smallCaps w:val="false"/>
                  <w:color w:val="0000FF"/>
                  <w:sz w:val="20"/>
                  <w:u w:val="single"/>
                </w:rPr>
                <w:t xml:space="preserve">Innventure, Inc.’s Registration Statement on Form S-4 filed with the SEC on September 6, 2024). </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65">
              <w:r>
                <w:rPr>
                  <w:rStyle w:val="InternetLink"/>
                  <w:rFonts w:ascii="Times New Roman;sans-serif" w:hAnsi="Times New Roman;sans-serif"/>
                  <w:b w:val="false"/>
                  <w:i w:val="false"/>
                  <w:caps w:val="false"/>
                  <w:smallCaps w:val="false"/>
                  <w:color w:val="0000FF"/>
                  <w:sz w:val="20"/>
                  <w:u w:val="single"/>
                </w:rPr>
                <w:t xml:space="preserve">Series I Convertible Note Purchase Agreement, dated as of August 18, 2022, by and among </w:t>
              </w:r>
            </w:hyperlink>
          </w:p>
          <w:p>
            <w:pPr>
              <w:pStyle w:val="TableContents"/>
              <w:bidi w:val="0"/>
              <w:spacing w:lineRule="atLeast" w:line="200" w:before="0" w:after="0"/>
              <w:jc w:val="left"/>
              <w:rPr/>
            </w:pPr>
            <w:hyperlink r:id="rId66">
              <w:r>
                <w:rPr>
                  <w:rStyle w:val="InternetLink"/>
                  <w:rFonts w:ascii="Times New Roman;sans-serif" w:hAnsi="Times New Roman;sans-serif"/>
                  <w:b w:val="false"/>
                  <w:i w:val="false"/>
                  <w:caps w:val="false"/>
                  <w:smallCaps w:val="false"/>
                  <w:color w:val="0000FF"/>
                  <w:sz w:val="20"/>
                  <w:u w:val="single"/>
                </w:rPr>
                <w:t xml:space="preserve">Accelsius, Innventus ESG Fund I L.P. and the other parties thereto (incorporated by reference to </w:t>
              </w:r>
            </w:hyperlink>
          </w:p>
          <w:p>
            <w:pPr>
              <w:pStyle w:val="TableContents"/>
              <w:bidi w:val="0"/>
              <w:spacing w:lineRule="atLeast" w:line="200" w:before="0" w:after="0"/>
              <w:jc w:val="left"/>
              <w:rPr/>
            </w:pPr>
            <w:hyperlink r:id="rId67">
              <w:r>
                <w:rPr>
                  <w:rStyle w:val="InternetLink"/>
                  <w:rFonts w:ascii="Times New Roman;sans-serif" w:hAnsi="Times New Roman;sans-serif"/>
                  <w:b w:val="false"/>
                  <w:i w:val="false"/>
                  <w:caps w:val="false"/>
                  <w:smallCaps w:val="false"/>
                  <w:color w:val="0000FF"/>
                  <w:sz w:val="20"/>
                  <w:u w:val="single"/>
                </w:rPr>
                <w:t xml:space="preserve">Exhibit 10.13 to Innventure, Inc.’s Registration Statement on Form S-4 filed with the SEC on </w:t>
              </w:r>
            </w:hyperlink>
          </w:p>
          <w:p>
            <w:pPr>
              <w:pStyle w:val="TableContents"/>
              <w:bidi w:val="0"/>
              <w:spacing w:lineRule="atLeast" w:line="200" w:before="0" w:after="0"/>
              <w:jc w:val="left"/>
              <w:rPr/>
            </w:pPr>
            <w:hyperlink r:id="rId68">
              <w:r>
                <w:rPr>
                  <w:rStyle w:val="InternetLink"/>
                  <w:rFonts w:ascii="Times New Roman;sans-serif" w:hAnsi="Times New Roman;sans-serif"/>
                  <w:b w:val="false"/>
                  <w:i w:val="false"/>
                  <w:caps w:val="false"/>
                  <w:smallCaps w:val="false"/>
                  <w:color w:val="0000FF"/>
                  <w:sz w:val="20"/>
                  <w:u w:val="single"/>
                </w:rPr>
                <w:t>September 6, 2024).</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69">
              <w:r>
                <w:rPr>
                  <w:rStyle w:val="InternetLink"/>
                  <w:rFonts w:ascii="Times New Roman;sans-serif" w:hAnsi="Times New Roman;sans-serif"/>
                  <w:b w:val="false"/>
                  <w:i w:val="false"/>
                  <w:caps w:val="false"/>
                  <w:smallCaps w:val="false"/>
                  <w:color w:val="0000FF"/>
                  <w:sz w:val="20"/>
                  <w:u w:val="single"/>
                </w:rPr>
                <w:t xml:space="preserve">Amended and Restated Series I Convertible Note Purchase Agreement, dated as of June 2, 2023, by </w:t>
              </w:r>
            </w:hyperlink>
          </w:p>
          <w:p>
            <w:pPr>
              <w:pStyle w:val="TableContents"/>
              <w:bidi w:val="0"/>
              <w:spacing w:lineRule="atLeast" w:line="200" w:before="0" w:after="0"/>
              <w:jc w:val="left"/>
              <w:rPr/>
            </w:pPr>
            <w:hyperlink r:id="rId70">
              <w:r>
                <w:rPr>
                  <w:rStyle w:val="InternetLink"/>
                  <w:rFonts w:ascii="Times New Roman;sans-serif" w:hAnsi="Times New Roman;sans-serif"/>
                  <w:b w:val="false"/>
                  <w:i w:val="false"/>
                  <w:caps w:val="false"/>
                  <w:smallCaps w:val="false"/>
                  <w:color w:val="0000FF"/>
                  <w:sz w:val="20"/>
                  <w:u w:val="single"/>
                </w:rPr>
                <w:t xml:space="preserve">and among Accelsius, Innventus ESG Fund I L.P. and the other parties thereto (incorporated by </w:t>
              </w:r>
            </w:hyperlink>
          </w:p>
          <w:p>
            <w:pPr>
              <w:pStyle w:val="TableContents"/>
              <w:bidi w:val="0"/>
              <w:spacing w:lineRule="atLeast" w:line="200" w:before="0" w:after="0"/>
              <w:jc w:val="left"/>
              <w:rPr/>
            </w:pPr>
            <w:hyperlink r:id="rId71">
              <w:r>
                <w:rPr>
                  <w:rStyle w:val="InternetLink"/>
                  <w:rFonts w:ascii="Times New Roman;sans-serif" w:hAnsi="Times New Roman;sans-serif"/>
                  <w:b w:val="false"/>
                  <w:i w:val="false"/>
                  <w:caps w:val="false"/>
                  <w:smallCaps w:val="false"/>
                  <w:color w:val="0000FF"/>
                  <w:sz w:val="20"/>
                  <w:u w:val="single"/>
                </w:rPr>
                <w:t xml:space="preserve">reference to Exhibit 10.14 to Innventure, Inc.’s Registration Statement on Form S-4 filed with the </w:t>
              </w:r>
            </w:hyperlink>
          </w:p>
          <w:p>
            <w:pPr>
              <w:pStyle w:val="TableContents"/>
              <w:bidi w:val="0"/>
              <w:spacing w:lineRule="atLeast" w:line="200" w:before="0" w:after="0"/>
              <w:jc w:val="left"/>
              <w:rPr/>
            </w:pPr>
            <w:hyperlink r:id="rId72">
              <w:r>
                <w:rPr>
                  <w:rStyle w:val="InternetLink"/>
                  <w:rFonts w:ascii="Times New Roman;sans-serif" w:hAnsi="Times New Roman;sans-serif"/>
                  <w:b w:val="false"/>
                  <w:i w:val="false"/>
                  <w:caps w:val="false"/>
                  <w:smallCaps w:val="false"/>
                  <w:color w:val="0000FF"/>
                  <w:sz w:val="20"/>
                  <w:u w:val="single"/>
                </w:rPr>
                <w:t>SEC on September 6, 2024).</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73">
              <w:r>
                <w:rPr>
                  <w:rStyle w:val="InternetLink"/>
                  <w:rFonts w:ascii="Times New Roman;sans-serif" w:hAnsi="Times New Roman;sans-serif"/>
                  <w:b w:val="false"/>
                  <w:i w:val="false"/>
                  <w:caps w:val="false"/>
                  <w:smallCaps w:val="false"/>
                  <w:color w:val="0000FF"/>
                  <w:sz w:val="20"/>
                  <w:u w:val="single"/>
                </w:rPr>
                <w:t xml:space="preserve">Class A Series 2 Unit Purchase Agreement, dated as of July 19, 2022, by and among Innventus ESG </w:t>
              </w:r>
            </w:hyperlink>
          </w:p>
          <w:p>
            <w:pPr>
              <w:pStyle w:val="TableContents"/>
              <w:bidi w:val="0"/>
              <w:spacing w:lineRule="atLeast" w:line="200" w:before="0" w:after="0"/>
              <w:jc w:val="left"/>
              <w:rPr/>
            </w:pPr>
            <w:hyperlink r:id="rId74">
              <w:r>
                <w:rPr>
                  <w:rStyle w:val="InternetLink"/>
                  <w:rFonts w:ascii="Times New Roman;sans-serif" w:hAnsi="Times New Roman;sans-serif"/>
                  <w:b w:val="false"/>
                  <w:i w:val="false"/>
                  <w:caps w:val="false"/>
                  <w:smallCaps w:val="false"/>
                  <w:color w:val="0000FF"/>
                  <w:sz w:val="20"/>
                  <w:u w:val="single"/>
                </w:rPr>
                <w:t xml:space="preserve">Fund I, L.P., Accelsius Holdings LLC, and the Investors party thereto (incorporated by reference to </w:t>
              </w:r>
            </w:hyperlink>
          </w:p>
          <w:p>
            <w:pPr>
              <w:pStyle w:val="TableContents"/>
              <w:bidi w:val="0"/>
              <w:spacing w:lineRule="atLeast" w:line="200" w:before="0" w:after="0"/>
              <w:jc w:val="left"/>
              <w:rPr/>
            </w:pPr>
            <w:hyperlink r:id="rId75">
              <w:r>
                <w:rPr>
                  <w:rStyle w:val="InternetLink"/>
                  <w:rFonts w:ascii="Times New Roman;sans-serif" w:hAnsi="Times New Roman;sans-serif"/>
                  <w:b w:val="false"/>
                  <w:i w:val="false"/>
                  <w:caps w:val="false"/>
                  <w:smallCaps w:val="false"/>
                  <w:color w:val="0000FF"/>
                  <w:sz w:val="20"/>
                  <w:u w:val="single"/>
                </w:rPr>
                <w:t xml:space="preserve">Exhibit 10.15 to Innventure, Inc.’s Registration Statement on Form S-4 filed with the SEC on </w:t>
              </w:r>
            </w:hyperlink>
          </w:p>
          <w:p>
            <w:pPr>
              <w:pStyle w:val="TableContents"/>
              <w:bidi w:val="0"/>
              <w:spacing w:lineRule="atLeast" w:line="200" w:before="0" w:after="0"/>
              <w:jc w:val="left"/>
              <w:rPr/>
            </w:pPr>
            <w:hyperlink r:id="rId76">
              <w:r>
                <w:rPr>
                  <w:rStyle w:val="InternetLink"/>
                  <w:rFonts w:ascii="Times New Roman;sans-serif" w:hAnsi="Times New Roman;sans-serif"/>
                  <w:b w:val="false"/>
                  <w:i w:val="false"/>
                  <w:caps w:val="false"/>
                  <w:smallCaps w:val="false"/>
                  <w:color w:val="0000FF"/>
                  <w:sz w:val="20"/>
                  <w:u w:val="single"/>
                </w:rPr>
                <w:t>September 6, 2024).</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77">
              <w:r>
                <w:rPr>
                  <w:rStyle w:val="InternetLink"/>
                  <w:rFonts w:ascii="Times New Roman;sans-serif" w:hAnsi="Times New Roman;sans-serif"/>
                  <w:b w:val="false"/>
                  <w:i w:val="false"/>
                  <w:caps w:val="false"/>
                  <w:smallCaps w:val="false"/>
                  <w:color w:val="0000FF"/>
                  <w:sz w:val="20"/>
                  <w:u w:val="single"/>
                </w:rPr>
                <w:t xml:space="preserve">Letter Agreement, dated October 7, 2021, among Learn CW Investment Corporation and its officers, </w:t>
              </w:r>
            </w:hyperlink>
          </w:p>
          <w:p>
            <w:pPr>
              <w:pStyle w:val="TableContents"/>
              <w:bidi w:val="0"/>
              <w:spacing w:lineRule="atLeast" w:line="200" w:before="0" w:after="0"/>
              <w:jc w:val="left"/>
              <w:rPr/>
            </w:pPr>
            <w:hyperlink r:id="rId78">
              <w:r>
                <w:rPr>
                  <w:rStyle w:val="InternetLink"/>
                  <w:rFonts w:ascii="Times New Roman;sans-serif" w:hAnsi="Times New Roman;sans-serif"/>
                  <w:b w:val="false"/>
                  <w:i w:val="false"/>
                  <w:caps w:val="false"/>
                  <w:smallCaps w:val="false"/>
                  <w:color w:val="0000FF"/>
                  <w:sz w:val="20"/>
                  <w:u w:val="single"/>
                </w:rPr>
                <w:t xml:space="preserve">directors, director nominees and the Sponsor (incorporated by reference to Exhibit 10.1 to Learn CW </w:t>
              </w:r>
            </w:hyperlink>
          </w:p>
          <w:p>
            <w:pPr>
              <w:pStyle w:val="TableContents"/>
              <w:bidi w:val="0"/>
              <w:spacing w:lineRule="atLeast" w:line="200" w:before="0" w:after="0"/>
              <w:jc w:val="left"/>
              <w:rPr/>
            </w:pPr>
            <w:hyperlink r:id="rId79">
              <w:r>
                <w:rPr>
                  <w:rStyle w:val="InternetLink"/>
                  <w:rFonts w:ascii="Times New Roman;sans-serif" w:hAnsi="Times New Roman;sans-serif"/>
                  <w:b w:val="false"/>
                  <w:i w:val="false"/>
                  <w:caps w:val="false"/>
                  <w:smallCaps w:val="false"/>
                  <w:color w:val="0000FF"/>
                  <w:sz w:val="20"/>
                  <w:u w:val="single"/>
                </w:rPr>
                <w:t xml:space="preserve">Investment Corporation's Current Report on Form 8-K filed with the SEC on October 14, 2021). </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10.8#</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80">
              <w:r>
                <w:rPr>
                  <w:rStyle w:val="InternetLink"/>
                  <w:rFonts w:ascii="Times New Roman;sans-serif" w:hAnsi="Times New Roman;sans-serif"/>
                  <w:b w:val="false"/>
                  <w:i w:val="false"/>
                  <w:caps w:val="false"/>
                  <w:smallCaps w:val="false"/>
                  <w:color w:val="0000FF"/>
                  <w:sz w:val="20"/>
                  <w:u w:val="single"/>
                </w:rPr>
                <w:t xml:space="preserve">Contractor Agreement for Services, effective November 16, 2023, by and between Innventure LLC </w:t>
              </w:r>
            </w:hyperlink>
          </w:p>
          <w:p>
            <w:pPr>
              <w:pStyle w:val="TableContents"/>
              <w:bidi w:val="0"/>
              <w:spacing w:lineRule="atLeast" w:line="200" w:before="0" w:after="0"/>
              <w:jc w:val="left"/>
              <w:rPr/>
            </w:pPr>
            <w:hyperlink r:id="rId81">
              <w:r>
                <w:rPr>
                  <w:rStyle w:val="InternetLink"/>
                  <w:rFonts w:ascii="Times New Roman;sans-serif" w:hAnsi="Times New Roman;sans-serif"/>
                  <w:b w:val="false"/>
                  <w:i w:val="false"/>
                  <w:caps w:val="false"/>
                  <w:smallCaps w:val="false"/>
                  <w:color w:val="0000FF"/>
                  <w:sz w:val="20"/>
                  <w:u w:val="single"/>
                </w:rPr>
                <w:t xml:space="preserve">and Sugar Grove Ventures, LLC (incorporated by reference to Exhibit 10.8 to Innventure, Inc.’s </w:t>
              </w:r>
            </w:hyperlink>
          </w:p>
          <w:p>
            <w:pPr>
              <w:pStyle w:val="TableContents"/>
              <w:bidi w:val="0"/>
              <w:spacing w:lineRule="atLeast" w:line="200" w:before="0" w:after="0"/>
              <w:jc w:val="left"/>
              <w:rPr/>
            </w:pPr>
            <w:hyperlink r:id="rId82">
              <w:r>
                <w:rPr>
                  <w:rStyle w:val="InternetLink"/>
                  <w:rFonts w:ascii="Times New Roman;sans-serif" w:hAnsi="Times New Roman;sans-serif"/>
                  <w:b w:val="false"/>
                  <w:i w:val="false"/>
                  <w:caps w:val="false"/>
                  <w:smallCaps w:val="false"/>
                  <w:color w:val="0000FF"/>
                  <w:sz w:val="20"/>
                  <w:u w:val="single"/>
                </w:rPr>
                <w:t>Annual Report on Form 10-K filed with the SEC on April 14, 2025).</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83">
              <w:r>
                <w:rPr>
                  <w:rStyle w:val="InternetLink"/>
                  <w:rFonts w:ascii="Times New Roman;sans-serif" w:hAnsi="Times New Roman;sans-serif"/>
                  <w:b w:val="false"/>
                  <w:i w:val="false"/>
                  <w:caps w:val="false"/>
                  <w:smallCaps w:val="false"/>
                  <w:color w:val="0000FF"/>
                  <w:sz w:val="20"/>
                  <w:u w:val="single"/>
                </w:rPr>
                <w:t xml:space="preserve">Employment Agreement, dated as of March 5, 2024, by and between Innventure LLC and Suzanne </w:t>
              </w:r>
            </w:hyperlink>
          </w:p>
          <w:p>
            <w:pPr>
              <w:pStyle w:val="TableContents"/>
              <w:bidi w:val="0"/>
              <w:spacing w:lineRule="atLeast" w:line="200" w:before="0" w:after="0"/>
              <w:jc w:val="left"/>
              <w:rPr/>
            </w:pPr>
            <w:hyperlink r:id="rId84">
              <w:r>
                <w:rPr>
                  <w:rStyle w:val="InternetLink"/>
                  <w:rFonts w:ascii="Times New Roman;sans-serif" w:hAnsi="Times New Roman;sans-serif"/>
                  <w:b w:val="false"/>
                  <w:i w:val="false"/>
                  <w:caps w:val="false"/>
                  <w:smallCaps w:val="false"/>
                  <w:color w:val="0000FF"/>
                  <w:sz w:val="20"/>
                  <w:u w:val="single"/>
                </w:rPr>
                <w:t xml:space="preserve">Niemeyer (incorporated by reference to Exhibit 10.24 to Innventure, Inc.’s Registration Statement on </w:t>
              </w:r>
            </w:hyperlink>
          </w:p>
          <w:p>
            <w:pPr>
              <w:pStyle w:val="TableContents"/>
              <w:bidi w:val="0"/>
              <w:spacing w:lineRule="atLeast" w:line="200" w:before="0" w:after="0"/>
              <w:jc w:val="left"/>
              <w:rPr/>
            </w:pPr>
            <w:hyperlink r:id="rId85">
              <w:r>
                <w:rPr>
                  <w:rStyle w:val="InternetLink"/>
                  <w:rFonts w:ascii="Times New Roman;sans-serif" w:hAnsi="Times New Roman;sans-serif"/>
                  <w:b w:val="false"/>
                  <w:i w:val="false"/>
                  <w:caps w:val="false"/>
                  <w:smallCaps w:val="false"/>
                  <w:color w:val="0000FF"/>
                  <w:sz w:val="20"/>
                  <w:u w:val="single"/>
                </w:rPr>
                <w:t>Form S-4 filed with the SEC on September 6, 2024).</w:t>
              </w:r>
            </w:hyperlink>
          </w:p>
        </w:tc>
      </w:tr>
      <w:tr>
        <w:trPr/>
        <w:tc>
          <w:tcPr>
            <w:tcW w:w="7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10.10</w:t>
            </w:r>
          </w:p>
        </w:tc>
        <w:tc>
          <w:tcPr>
            <w:tcW w:w="109"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lineRule="atLeast" w:line="200" w:before="0" w:after="0"/>
              <w:jc w:val="left"/>
              <w:rPr/>
            </w:pPr>
            <w:hyperlink r:id="rId86">
              <w:r>
                <w:rPr>
                  <w:rStyle w:val="InternetLink"/>
                  <w:rFonts w:ascii="Times New Roman;sans-serif" w:hAnsi="Times New Roman;sans-serif"/>
                  <w:b w:val="false"/>
                  <w:i w:val="false"/>
                  <w:caps w:val="false"/>
                  <w:smallCaps w:val="false"/>
                  <w:color w:val="0000FF"/>
                  <w:sz w:val="20"/>
                  <w:u w:val="single"/>
                </w:rPr>
                <w:t xml:space="preserve">Management Services Agreement, dated January 22, 2021, by and between Innventure LLC and </w:t>
              </w:r>
            </w:hyperlink>
          </w:p>
          <w:p>
            <w:pPr>
              <w:pStyle w:val="TableContents"/>
              <w:bidi w:val="0"/>
              <w:spacing w:lineRule="atLeast" w:line="200" w:before="0" w:after="0"/>
              <w:jc w:val="left"/>
              <w:rPr/>
            </w:pPr>
            <w:hyperlink r:id="rId87">
              <w:r>
                <w:rPr>
                  <w:rStyle w:val="InternetLink"/>
                  <w:rFonts w:ascii="Times New Roman;sans-serif" w:hAnsi="Times New Roman;sans-serif"/>
                  <w:b w:val="false"/>
                  <w:i w:val="false"/>
                  <w:caps w:val="false"/>
                  <w:smallCaps w:val="false"/>
                  <w:color w:val="0000FF"/>
                  <w:sz w:val="20"/>
                  <w:u w:val="single"/>
                </w:rPr>
                <w:t xml:space="preserve">L1FE Management Limited (incorporated by reference to Exhibit 10.25 to Innventure, Inc.’s </w:t>
              </w:r>
            </w:hyperlink>
          </w:p>
          <w:p>
            <w:pPr>
              <w:pStyle w:val="TableContents"/>
              <w:bidi w:val="0"/>
              <w:spacing w:lineRule="atLeast" w:line="200" w:before="0" w:after="0"/>
              <w:jc w:val="left"/>
              <w:rPr/>
            </w:pPr>
            <w:hyperlink r:id="rId88">
              <w:r>
                <w:rPr>
                  <w:rStyle w:val="InternetLink"/>
                  <w:rFonts w:ascii="Times New Roman;sans-serif" w:hAnsi="Times New Roman;sans-serif"/>
                  <w:b w:val="false"/>
                  <w:i w:val="false"/>
                  <w:caps w:val="false"/>
                  <w:smallCaps w:val="false"/>
                  <w:color w:val="0000FF"/>
                  <w:sz w:val="20"/>
                  <w:u w:val="single"/>
                </w:rPr>
                <w:t xml:space="preserve">Registration Statement on Form S-4 filed with the SEC on September 6, 2024). </w:t>
              </w:r>
            </w:hyperlink>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II-6</w:t>
      </w:r>
    </w:p>
    <w:tbl>
      <w:tblPr>
        <w:tblW w:w="9531" w:type="dxa"/>
        <w:jc w:val="left"/>
        <w:tblInd w:w="0" w:type="dxa"/>
        <w:tblLayout w:type="fixed"/>
        <w:tblCellMar>
          <w:top w:w="28" w:type="dxa"/>
          <w:left w:w="28" w:type="dxa"/>
          <w:bottom w:w="28" w:type="dxa"/>
          <w:right w:w="28" w:type="dxa"/>
        </w:tblCellMar>
      </w:tblPr>
      <w:tblGrid>
        <w:gridCol w:w="991"/>
        <w:gridCol w:w="109"/>
        <w:gridCol w:w="8431"/>
      </w:tblGrid>
      <w:tr>
        <w:trPr/>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before="0" w:after="283"/>
              <w:jc w:val="left"/>
              <w:rPr>
                <w:sz w:val="4"/>
                <w:szCs w:val="4"/>
              </w:rPr>
            </w:pPr>
            <w:r>
              <w:rPr>
                <w:sz w:val="4"/>
                <w:szCs w:val="4"/>
              </w:rPr>
            </w:r>
          </w:p>
        </w:tc>
      </w:tr>
      <w:tr>
        <w:trPr/>
        <w:tc>
          <w:tcPr>
            <w:tcW w:w="9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Exhibit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Number</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Description of Exhibits</w:t>
            </w:r>
          </w:p>
        </w:tc>
      </w:tr>
      <w:tr>
        <w:trPr/>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10.11</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89">
              <w:r>
                <w:rPr>
                  <w:rStyle w:val="InternetLink"/>
                  <w:rFonts w:ascii="Times New Roman;sans-serif" w:hAnsi="Times New Roman;sans-serif"/>
                  <w:b w:val="false"/>
                  <w:i w:val="false"/>
                  <w:caps w:val="false"/>
                  <w:smallCaps w:val="false"/>
                  <w:color w:val="0000FF"/>
                  <w:sz w:val="20"/>
                  <w:u w:val="single"/>
                </w:rPr>
                <w:t xml:space="preserve">Amendment to Management Services Agreement, dated October 1, 2021, by and between Innventure </w:t>
              </w:r>
            </w:hyperlink>
          </w:p>
          <w:p>
            <w:pPr>
              <w:pStyle w:val="TableContents"/>
              <w:bidi w:val="0"/>
              <w:spacing w:lineRule="atLeast" w:line="200" w:before="0" w:after="0"/>
              <w:jc w:val="left"/>
              <w:rPr/>
            </w:pPr>
            <w:hyperlink r:id="rId90">
              <w:r>
                <w:rPr>
                  <w:rStyle w:val="InternetLink"/>
                  <w:rFonts w:ascii="Times New Roman;sans-serif" w:hAnsi="Times New Roman;sans-serif"/>
                  <w:b w:val="false"/>
                  <w:i w:val="false"/>
                  <w:caps w:val="false"/>
                  <w:smallCaps w:val="false"/>
                  <w:color w:val="0000FF"/>
                  <w:sz w:val="20"/>
                  <w:u w:val="single"/>
                </w:rPr>
                <w:t xml:space="preserve">LLC and L1FE Management Limited (incorporated by reference to Exhibit 10.26 to Innventure, Inc.’s </w:t>
              </w:r>
            </w:hyperlink>
          </w:p>
          <w:p>
            <w:pPr>
              <w:pStyle w:val="TableContents"/>
              <w:bidi w:val="0"/>
              <w:spacing w:lineRule="atLeast" w:line="200" w:before="0" w:after="0"/>
              <w:jc w:val="left"/>
              <w:rPr/>
            </w:pPr>
            <w:hyperlink r:id="rId91">
              <w:r>
                <w:rPr>
                  <w:rStyle w:val="InternetLink"/>
                  <w:rFonts w:ascii="Times New Roman;sans-serif" w:hAnsi="Times New Roman;sans-serif"/>
                  <w:b w:val="false"/>
                  <w:i w:val="false"/>
                  <w:caps w:val="false"/>
                  <w:smallCaps w:val="false"/>
                  <w:color w:val="0000FF"/>
                  <w:sz w:val="20"/>
                  <w:u w:val="single"/>
                </w:rPr>
                <w:t xml:space="preserve">Registration Statement on Form S-4 filed with the SEC on September 6, 2024). </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10.12</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92">
              <w:r>
                <w:rPr>
                  <w:rStyle w:val="InternetLink"/>
                  <w:rFonts w:ascii="Times New Roman;sans-serif" w:hAnsi="Times New Roman;sans-serif"/>
                  <w:b w:val="false"/>
                  <w:i w:val="false"/>
                  <w:caps w:val="false"/>
                  <w:smallCaps w:val="false"/>
                  <w:color w:val="0000FF"/>
                  <w:sz w:val="20"/>
                  <w:u w:val="single"/>
                </w:rPr>
                <w:t xml:space="preserve">Summary of the Statement of Work, effective as of April 1, 2018, between Innventure LLC and </w:t>
              </w:r>
            </w:hyperlink>
          </w:p>
          <w:p>
            <w:pPr>
              <w:pStyle w:val="TableContents"/>
              <w:bidi w:val="0"/>
              <w:spacing w:lineRule="atLeast" w:line="200" w:before="0" w:after="0"/>
              <w:jc w:val="left"/>
              <w:rPr/>
            </w:pPr>
            <w:hyperlink r:id="rId93">
              <w:r>
                <w:rPr>
                  <w:rStyle w:val="InternetLink"/>
                  <w:rFonts w:ascii="Times New Roman;sans-serif" w:hAnsi="Times New Roman;sans-serif"/>
                  <w:b w:val="false"/>
                  <w:i w:val="false"/>
                  <w:caps w:val="false"/>
                  <w:smallCaps w:val="false"/>
                  <w:color w:val="0000FF"/>
                  <w:sz w:val="20"/>
                  <w:u w:val="single"/>
                </w:rPr>
                <w:t xml:space="preserve">Corporate Development Group LLC (incorporated by reference to Exhibit 10.27 to Innventure, Inc.’s </w:t>
              </w:r>
            </w:hyperlink>
          </w:p>
          <w:p>
            <w:pPr>
              <w:pStyle w:val="TableContents"/>
              <w:bidi w:val="0"/>
              <w:spacing w:lineRule="atLeast" w:line="200" w:before="0" w:after="0"/>
              <w:jc w:val="left"/>
              <w:rPr/>
            </w:pPr>
            <w:hyperlink r:id="rId94">
              <w:r>
                <w:rPr>
                  <w:rStyle w:val="InternetLink"/>
                  <w:rFonts w:ascii="Times New Roman;sans-serif" w:hAnsi="Times New Roman;sans-serif"/>
                  <w:b w:val="false"/>
                  <w:i w:val="false"/>
                  <w:caps w:val="false"/>
                  <w:smallCaps w:val="false"/>
                  <w:color w:val="0000FF"/>
                  <w:sz w:val="20"/>
                  <w:u w:val="single"/>
                </w:rPr>
                <w:t>Registration Statement on Form S-4 filed with the SEC on September 6, 2024).</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10.13</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95">
              <w:r>
                <w:rPr>
                  <w:rStyle w:val="InternetLink"/>
                  <w:rFonts w:ascii="Times New Roman;sans-serif" w:hAnsi="Times New Roman;sans-serif"/>
                  <w:b w:val="false"/>
                  <w:i w:val="false"/>
                  <w:caps w:val="false"/>
                  <w:smallCaps w:val="false"/>
                  <w:color w:val="0000FF"/>
                  <w:sz w:val="20"/>
                  <w:u w:val="single"/>
                </w:rPr>
                <w:t xml:space="preserve">Amended &amp; Restated Promissory Note, dated December 29, 2023, issued by Learn CW Investment </w:t>
              </w:r>
            </w:hyperlink>
          </w:p>
          <w:p>
            <w:pPr>
              <w:pStyle w:val="TableContents"/>
              <w:bidi w:val="0"/>
              <w:spacing w:lineRule="atLeast" w:line="200" w:before="0" w:after="0"/>
              <w:jc w:val="left"/>
              <w:rPr/>
            </w:pPr>
            <w:hyperlink r:id="rId96">
              <w:r>
                <w:rPr>
                  <w:rStyle w:val="InternetLink"/>
                  <w:rFonts w:ascii="Times New Roman;sans-serif" w:hAnsi="Times New Roman;sans-serif"/>
                  <w:b w:val="false"/>
                  <w:i w:val="false"/>
                  <w:caps w:val="false"/>
                  <w:smallCaps w:val="false"/>
                  <w:color w:val="0000FF"/>
                  <w:sz w:val="20"/>
                  <w:u w:val="single"/>
                </w:rPr>
                <w:t xml:space="preserve">Corporation in favor of Sponsor (incorporated by reference to Exhibit 10.1 to Learn CW Investment </w:t>
              </w:r>
            </w:hyperlink>
          </w:p>
          <w:p>
            <w:pPr>
              <w:pStyle w:val="TableContents"/>
              <w:bidi w:val="0"/>
              <w:spacing w:lineRule="atLeast" w:line="200" w:before="0" w:after="0"/>
              <w:jc w:val="left"/>
              <w:rPr/>
            </w:pPr>
            <w:hyperlink r:id="rId97">
              <w:r>
                <w:rPr>
                  <w:rStyle w:val="InternetLink"/>
                  <w:rFonts w:ascii="Times New Roman;sans-serif" w:hAnsi="Times New Roman;sans-serif"/>
                  <w:b w:val="false"/>
                  <w:i w:val="false"/>
                  <w:caps w:val="false"/>
                  <w:smallCaps w:val="false"/>
                  <w:color w:val="0000FF"/>
                  <w:sz w:val="20"/>
                  <w:u w:val="single"/>
                </w:rPr>
                <w:t xml:space="preserve">Corporation's Current Report on Form 8-K filed with the SEC on January 3, 2024). </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10.14</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98">
              <w:r>
                <w:rPr>
                  <w:rStyle w:val="InternetLink"/>
                  <w:rFonts w:ascii="Times New Roman;sans-serif" w:hAnsi="Times New Roman;sans-serif"/>
                  <w:b w:val="false"/>
                  <w:i w:val="false"/>
                  <w:caps w:val="false"/>
                  <w:smallCaps w:val="false"/>
                  <w:color w:val="0000FF"/>
                  <w:sz w:val="20"/>
                  <w:u w:val="single"/>
                </w:rPr>
                <w:t xml:space="preserve">Second Amended &amp; Restated Promissory Note, dated March 19, 2024, issued by Learn CW </w:t>
              </w:r>
            </w:hyperlink>
          </w:p>
          <w:p>
            <w:pPr>
              <w:pStyle w:val="TableContents"/>
              <w:bidi w:val="0"/>
              <w:spacing w:lineRule="atLeast" w:line="200" w:before="0" w:after="0"/>
              <w:jc w:val="left"/>
              <w:rPr/>
            </w:pPr>
            <w:hyperlink r:id="rId99">
              <w:r>
                <w:rPr>
                  <w:rStyle w:val="InternetLink"/>
                  <w:rFonts w:ascii="Times New Roman;sans-serif" w:hAnsi="Times New Roman;sans-serif"/>
                  <w:b w:val="false"/>
                  <w:i w:val="false"/>
                  <w:caps w:val="false"/>
                  <w:smallCaps w:val="false"/>
                  <w:color w:val="0000FF"/>
                  <w:sz w:val="20"/>
                  <w:u w:val="single"/>
                </w:rPr>
                <w:t xml:space="preserve">Investment Corporation in favor of Sponsor (incorporated by reference to Exhibit 10.1 to Learn CW </w:t>
              </w:r>
            </w:hyperlink>
          </w:p>
          <w:p>
            <w:pPr>
              <w:pStyle w:val="TableContents"/>
              <w:bidi w:val="0"/>
              <w:spacing w:lineRule="atLeast" w:line="200" w:before="0" w:after="0"/>
              <w:jc w:val="left"/>
              <w:rPr/>
            </w:pPr>
            <w:hyperlink r:id="rId100">
              <w:r>
                <w:rPr>
                  <w:rStyle w:val="InternetLink"/>
                  <w:rFonts w:ascii="Times New Roman;sans-serif" w:hAnsi="Times New Roman;sans-serif"/>
                  <w:b w:val="false"/>
                  <w:i w:val="false"/>
                  <w:caps w:val="false"/>
                  <w:smallCaps w:val="false"/>
                  <w:color w:val="0000FF"/>
                  <w:sz w:val="20"/>
                  <w:u w:val="single"/>
                </w:rPr>
                <w:t xml:space="preserve">Investment Corporation’s Current Report on Form 8-K filed with the SEC on March 25, 2024). </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10.15**^</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01">
              <w:r>
                <w:rPr>
                  <w:rStyle w:val="InternetLink"/>
                  <w:rFonts w:ascii="Times New Roman;sans-serif" w:hAnsi="Times New Roman;sans-serif"/>
                  <w:b w:val="false"/>
                  <w:i w:val="false"/>
                  <w:caps w:val="false"/>
                  <w:smallCaps w:val="false"/>
                  <w:color w:val="0000FF"/>
                  <w:sz w:val="20"/>
                  <w:u w:val="single"/>
                </w:rPr>
                <w:t xml:space="preserve">Patent Purchase Agreement, dated May 27, 2022, between Nokia Technologies, OY, Nokia Solutions </w:t>
              </w:r>
            </w:hyperlink>
          </w:p>
          <w:p>
            <w:pPr>
              <w:pStyle w:val="TableContents"/>
              <w:bidi w:val="0"/>
              <w:spacing w:lineRule="atLeast" w:line="200" w:before="0" w:after="0"/>
              <w:jc w:val="left"/>
              <w:rPr/>
            </w:pPr>
            <w:hyperlink r:id="rId102">
              <w:r>
                <w:rPr>
                  <w:rStyle w:val="InternetLink"/>
                  <w:rFonts w:ascii="Times New Roman;sans-serif" w:hAnsi="Times New Roman;sans-serif"/>
                  <w:b w:val="false"/>
                  <w:i w:val="false"/>
                  <w:caps w:val="false"/>
                  <w:smallCaps w:val="false"/>
                  <w:color w:val="0000FF"/>
                  <w:sz w:val="20"/>
                  <w:u w:val="single"/>
                </w:rPr>
                <w:t xml:space="preserve">and Networks, OY, and Accelsius Holdings LLC (incorporated by reference to Exhibit 10.32 to </w:t>
              </w:r>
            </w:hyperlink>
          </w:p>
          <w:p>
            <w:pPr>
              <w:pStyle w:val="TableContents"/>
              <w:bidi w:val="0"/>
              <w:spacing w:lineRule="atLeast" w:line="200" w:before="0" w:after="0"/>
              <w:jc w:val="left"/>
              <w:rPr/>
            </w:pPr>
            <w:hyperlink r:id="rId103">
              <w:r>
                <w:rPr>
                  <w:rStyle w:val="InternetLink"/>
                  <w:rFonts w:ascii="Times New Roman;sans-serif" w:hAnsi="Times New Roman;sans-serif"/>
                  <w:b w:val="false"/>
                  <w:i w:val="false"/>
                  <w:caps w:val="false"/>
                  <w:smallCaps w:val="false"/>
                  <w:color w:val="0000FF"/>
                  <w:sz w:val="20"/>
                  <w:u w:val="single"/>
                </w:rPr>
                <w:t xml:space="preserve">Innventure, Inc.’s Registration Statement on Form S-4 filed with the SEC on September 6, 2024). </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10.16**^†</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04">
              <w:r>
                <w:rPr>
                  <w:rStyle w:val="InternetLink"/>
                  <w:rFonts w:ascii="Times New Roman;sans-serif" w:hAnsi="Times New Roman;sans-serif"/>
                  <w:b w:val="false"/>
                  <w:i w:val="false"/>
                  <w:caps w:val="false"/>
                  <w:smallCaps w:val="false"/>
                  <w:color w:val="0000FF"/>
                  <w:sz w:val="20"/>
                  <w:u w:val="single"/>
                </w:rPr>
                <w:t xml:space="preserve">Technology License and Know-How Agreement, dated May 27, 2022, between Accelsius Holdings </w:t>
              </w:r>
            </w:hyperlink>
          </w:p>
          <w:p>
            <w:pPr>
              <w:pStyle w:val="TableContents"/>
              <w:bidi w:val="0"/>
              <w:spacing w:lineRule="atLeast" w:line="200" w:before="0" w:after="0"/>
              <w:jc w:val="left"/>
              <w:rPr/>
            </w:pPr>
            <w:hyperlink r:id="rId105">
              <w:r>
                <w:rPr>
                  <w:rStyle w:val="InternetLink"/>
                  <w:rFonts w:ascii="Times New Roman;sans-serif" w:hAnsi="Times New Roman;sans-serif"/>
                  <w:b w:val="false"/>
                  <w:i w:val="false"/>
                  <w:caps w:val="false"/>
                  <w:smallCaps w:val="false"/>
                  <w:color w:val="0000FF"/>
                  <w:sz w:val="20"/>
                  <w:u w:val="single"/>
                </w:rPr>
                <w:t xml:space="preserve">LLC, Nokia Technologies Oy, Nokia Solutions and Networks Oy, and Nokia of America Corporation </w:t>
              </w:r>
            </w:hyperlink>
          </w:p>
          <w:p>
            <w:pPr>
              <w:pStyle w:val="TableContents"/>
              <w:bidi w:val="0"/>
              <w:spacing w:lineRule="atLeast" w:line="200" w:before="0" w:after="0"/>
              <w:jc w:val="left"/>
              <w:rPr/>
            </w:pPr>
            <w:hyperlink r:id="rId106">
              <w:r>
                <w:rPr>
                  <w:rStyle w:val="InternetLink"/>
                  <w:rFonts w:ascii="Times New Roman;sans-serif" w:hAnsi="Times New Roman;sans-serif"/>
                  <w:b w:val="false"/>
                  <w:i w:val="false"/>
                  <w:caps w:val="false"/>
                  <w:smallCaps w:val="false"/>
                  <w:color w:val="0000FF"/>
                  <w:sz w:val="20"/>
                  <w:u w:val="single"/>
                </w:rPr>
                <w:t xml:space="preserve">(incorporated by reference to Exhibit 10.33 to Innventure, Inc.’s Registration Statement on Form S-4 </w:t>
              </w:r>
            </w:hyperlink>
          </w:p>
          <w:p>
            <w:pPr>
              <w:pStyle w:val="TableContents"/>
              <w:bidi w:val="0"/>
              <w:spacing w:lineRule="atLeast" w:line="200" w:before="0" w:after="0"/>
              <w:jc w:val="left"/>
              <w:rPr/>
            </w:pPr>
            <w:hyperlink r:id="rId107">
              <w:r>
                <w:rPr>
                  <w:rStyle w:val="InternetLink"/>
                  <w:rFonts w:ascii="Times New Roman;sans-serif" w:hAnsi="Times New Roman;sans-serif"/>
                  <w:b w:val="false"/>
                  <w:i w:val="false"/>
                  <w:caps w:val="false"/>
                  <w:smallCaps w:val="false"/>
                  <w:color w:val="0000FF"/>
                  <w:sz w:val="20"/>
                  <w:u w:val="single"/>
                </w:rPr>
                <w:t xml:space="preserve">filed with the SEC on September 6, 2024). </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10.17</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08">
              <w:r>
                <w:rPr>
                  <w:rStyle w:val="InternetLink"/>
                  <w:rFonts w:ascii="Times New Roman;sans-serif" w:hAnsi="Times New Roman;sans-serif"/>
                  <w:b w:val="false"/>
                  <w:i w:val="false"/>
                  <w:caps w:val="false"/>
                  <w:smallCaps w:val="false"/>
                  <w:color w:val="0000FF"/>
                  <w:sz w:val="20"/>
                  <w:u w:val="single"/>
                </w:rPr>
                <w:t xml:space="preserve">Patent and Know How License Agreement, dated February 15, 2018, between Air Assist LLC and </w:t>
              </w:r>
            </w:hyperlink>
          </w:p>
          <w:p>
            <w:pPr>
              <w:pStyle w:val="TableContents"/>
              <w:bidi w:val="0"/>
              <w:spacing w:lineRule="atLeast" w:line="200" w:before="0" w:after="0"/>
              <w:jc w:val="left"/>
              <w:rPr/>
            </w:pPr>
            <w:hyperlink r:id="rId109">
              <w:r>
                <w:rPr>
                  <w:rStyle w:val="InternetLink"/>
                  <w:rFonts w:ascii="Times New Roman;sans-serif" w:hAnsi="Times New Roman;sans-serif"/>
                  <w:b w:val="false"/>
                  <w:i w:val="false"/>
                  <w:caps w:val="false"/>
                  <w:smallCaps w:val="false"/>
                  <w:color w:val="0000FF"/>
                  <w:sz w:val="20"/>
                  <w:u w:val="single"/>
                </w:rPr>
                <w:t xml:space="preserve">The Procter &amp; Gamble Company (incorporated by reference to Exhibit 10.34 to Innventure, Inc.’s </w:t>
              </w:r>
            </w:hyperlink>
          </w:p>
          <w:p>
            <w:pPr>
              <w:pStyle w:val="TableContents"/>
              <w:bidi w:val="0"/>
              <w:spacing w:lineRule="atLeast" w:line="200" w:before="0" w:after="0"/>
              <w:jc w:val="left"/>
              <w:rPr/>
            </w:pPr>
            <w:hyperlink r:id="rId110">
              <w:r>
                <w:rPr>
                  <w:rStyle w:val="InternetLink"/>
                  <w:rFonts w:ascii="Times New Roman;sans-serif" w:hAnsi="Times New Roman;sans-serif"/>
                  <w:b w:val="false"/>
                  <w:i w:val="false"/>
                  <w:caps w:val="false"/>
                  <w:smallCaps w:val="false"/>
                  <w:color w:val="0000FF"/>
                  <w:sz w:val="20"/>
                  <w:u w:val="single"/>
                </w:rPr>
                <w:t>Registration Statement on Form S-4 filed with the SEC on September 6, 2024).</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10.18</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11">
              <w:r>
                <w:rPr>
                  <w:rStyle w:val="InternetLink"/>
                  <w:rFonts w:ascii="Times New Roman;sans-serif" w:hAnsi="Times New Roman;sans-serif"/>
                  <w:b w:val="false"/>
                  <w:i w:val="false"/>
                  <w:caps w:val="false"/>
                  <w:smallCaps w:val="false"/>
                  <w:color w:val="0000FF"/>
                  <w:sz w:val="20"/>
                  <w:u w:val="single"/>
                </w:rPr>
                <w:t xml:space="preserve">Amended and Restated Patent and Know-How License Agreement, dated as of October 25, 2021, by </w:t>
              </w:r>
            </w:hyperlink>
          </w:p>
          <w:p>
            <w:pPr>
              <w:pStyle w:val="TableContents"/>
              <w:bidi w:val="0"/>
              <w:spacing w:lineRule="atLeast" w:line="200" w:before="0" w:after="0"/>
              <w:jc w:val="left"/>
              <w:rPr/>
            </w:pPr>
            <w:hyperlink r:id="rId112">
              <w:r>
                <w:rPr>
                  <w:rStyle w:val="InternetLink"/>
                  <w:rFonts w:ascii="Times New Roman;sans-serif" w:hAnsi="Times New Roman;sans-serif"/>
                  <w:b w:val="false"/>
                  <w:i w:val="false"/>
                  <w:caps w:val="false"/>
                  <w:smallCaps w:val="false"/>
                  <w:color w:val="0000FF"/>
                  <w:sz w:val="20"/>
                  <w:u w:val="single"/>
                </w:rPr>
                <w:t xml:space="preserve">and between the Procter &amp; Gamble Company and AeroFlexx, LLC (incorporated by reference to </w:t>
              </w:r>
            </w:hyperlink>
          </w:p>
          <w:p>
            <w:pPr>
              <w:pStyle w:val="TableContents"/>
              <w:bidi w:val="0"/>
              <w:spacing w:lineRule="atLeast" w:line="200" w:before="0" w:after="0"/>
              <w:jc w:val="left"/>
              <w:rPr/>
            </w:pPr>
            <w:hyperlink r:id="rId113">
              <w:r>
                <w:rPr>
                  <w:rStyle w:val="InternetLink"/>
                  <w:rFonts w:ascii="Times New Roman;sans-serif" w:hAnsi="Times New Roman;sans-serif"/>
                  <w:b w:val="false"/>
                  <w:i w:val="false"/>
                  <w:caps w:val="false"/>
                  <w:smallCaps w:val="false"/>
                  <w:color w:val="0000FF"/>
                  <w:sz w:val="20"/>
                  <w:u w:val="single"/>
                </w:rPr>
                <w:t xml:space="preserve">Exhibit 10.28 to Innventure, Inc.’s Registration Statement on Form S-4 filed with the SEC on January </w:t>
              </w:r>
            </w:hyperlink>
          </w:p>
          <w:p>
            <w:pPr>
              <w:pStyle w:val="TableContents"/>
              <w:bidi w:val="0"/>
              <w:spacing w:lineRule="atLeast" w:line="200" w:before="0" w:after="0"/>
              <w:jc w:val="left"/>
              <w:rPr/>
            </w:pPr>
            <w:hyperlink r:id="rId114">
              <w:r>
                <w:rPr>
                  <w:rStyle w:val="InternetLink"/>
                  <w:rFonts w:ascii="Times New Roman;sans-serif" w:hAnsi="Times New Roman;sans-serif"/>
                  <w:b w:val="false"/>
                  <w:i w:val="false"/>
                  <w:caps w:val="false"/>
                  <w:smallCaps w:val="false"/>
                  <w:color w:val="0000FF"/>
                  <w:sz w:val="20"/>
                  <w:u w:val="single"/>
                </w:rPr>
                <w:t>6, 2024).</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10.19</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15">
              <w:r>
                <w:rPr>
                  <w:rStyle w:val="InternetLink"/>
                  <w:rFonts w:ascii="Times New Roman;sans-serif" w:hAnsi="Times New Roman;sans-serif"/>
                  <w:b w:val="false"/>
                  <w:i w:val="false"/>
                  <w:caps w:val="false"/>
                  <w:smallCaps w:val="false"/>
                  <w:color w:val="0000FF"/>
                  <w:sz w:val="20"/>
                  <w:u w:val="single"/>
                </w:rPr>
                <w:t xml:space="preserve">Aircraft Time-Sharing Agreement, dated May 6, 2024, by and between Innventure LLC and Sugar </w:t>
              </w:r>
            </w:hyperlink>
          </w:p>
          <w:p>
            <w:pPr>
              <w:pStyle w:val="TableContents"/>
              <w:bidi w:val="0"/>
              <w:spacing w:lineRule="atLeast" w:line="200" w:before="0" w:after="0"/>
              <w:jc w:val="left"/>
              <w:rPr/>
            </w:pPr>
            <w:hyperlink r:id="rId116">
              <w:r>
                <w:rPr>
                  <w:rStyle w:val="InternetLink"/>
                  <w:rFonts w:ascii="Times New Roman;sans-serif" w:hAnsi="Times New Roman;sans-serif"/>
                  <w:b w:val="false"/>
                  <w:i w:val="false"/>
                  <w:caps w:val="false"/>
                  <w:smallCaps w:val="false"/>
                  <w:color w:val="0000FF"/>
                  <w:sz w:val="20"/>
                  <w:u w:val="single"/>
                </w:rPr>
                <w:t xml:space="preserve">Grove Ventures LLC (incorporated by reference to Exhibit 10.37 to Innventure, Inc.’s Registration </w:t>
              </w:r>
            </w:hyperlink>
          </w:p>
          <w:p>
            <w:pPr>
              <w:pStyle w:val="TableContents"/>
              <w:bidi w:val="0"/>
              <w:spacing w:lineRule="atLeast" w:line="200" w:before="0" w:after="0"/>
              <w:jc w:val="left"/>
              <w:rPr/>
            </w:pPr>
            <w:hyperlink r:id="rId117">
              <w:r>
                <w:rPr>
                  <w:rStyle w:val="InternetLink"/>
                  <w:rFonts w:ascii="Times New Roman;sans-serif" w:hAnsi="Times New Roman;sans-serif"/>
                  <w:b w:val="false"/>
                  <w:i w:val="false"/>
                  <w:caps w:val="false"/>
                  <w:smallCaps w:val="false"/>
                  <w:color w:val="0000FF"/>
                  <w:sz w:val="20"/>
                  <w:u w:val="single"/>
                </w:rPr>
                <w:t>Statement on Form S-4 filed with the SEC on September 6, 2024).</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10.20</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18">
              <w:r>
                <w:rPr>
                  <w:rStyle w:val="InternetLink"/>
                  <w:rFonts w:ascii="Times New Roman;sans-serif" w:hAnsi="Times New Roman;sans-serif"/>
                  <w:b w:val="false"/>
                  <w:i w:val="false"/>
                  <w:caps w:val="false"/>
                  <w:smallCaps w:val="false"/>
                  <w:color w:val="0000FF"/>
                  <w:sz w:val="20"/>
                  <w:u w:val="single"/>
                </w:rPr>
                <w:t xml:space="preserve">Aircraft Time-Sharing Agreement, dated May 6, 2024, by and between Innventure LLC and </w:t>
              </w:r>
            </w:hyperlink>
          </w:p>
          <w:p>
            <w:pPr>
              <w:pStyle w:val="TableContents"/>
              <w:bidi w:val="0"/>
              <w:spacing w:lineRule="atLeast" w:line="200" w:before="0" w:after="0"/>
              <w:jc w:val="left"/>
              <w:rPr/>
            </w:pPr>
            <w:hyperlink r:id="rId119">
              <w:r>
                <w:rPr>
                  <w:rStyle w:val="InternetLink"/>
                  <w:rFonts w:ascii="Times New Roman;sans-serif" w:hAnsi="Times New Roman;sans-serif"/>
                  <w:b w:val="false"/>
                  <w:i w:val="false"/>
                  <w:caps w:val="false"/>
                  <w:smallCaps w:val="false"/>
                  <w:color w:val="0000FF"/>
                  <w:sz w:val="20"/>
                  <w:u w:val="single"/>
                </w:rPr>
                <w:t xml:space="preserve">Corporate Development Group LLC (incorporated by reference to Exhibit 10.38 to Innventure, Inc.’s </w:t>
              </w:r>
            </w:hyperlink>
          </w:p>
          <w:p>
            <w:pPr>
              <w:pStyle w:val="TableContents"/>
              <w:bidi w:val="0"/>
              <w:spacing w:lineRule="atLeast" w:line="200" w:before="0" w:after="0"/>
              <w:jc w:val="left"/>
              <w:rPr/>
            </w:pPr>
            <w:hyperlink r:id="rId120">
              <w:r>
                <w:rPr>
                  <w:rStyle w:val="InternetLink"/>
                  <w:rFonts w:ascii="Times New Roman;sans-serif" w:hAnsi="Times New Roman;sans-serif"/>
                  <w:b w:val="false"/>
                  <w:i w:val="false"/>
                  <w:caps w:val="false"/>
                  <w:smallCaps w:val="false"/>
                  <w:color w:val="0000FF"/>
                  <w:sz w:val="20"/>
                  <w:u w:val="single"/>
                </w:rPr>
                <w:t xml:space="preserve">Registration Statement on Form S-4 filed with the SEC on September 6, 2024). </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10.21</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21">
              <w:r>
                <w:rPr>
                  <w:rStyle w:val="InternetLink"/>
                  <w:rFonts w:ascii="Times New Roman;sans-serif" w:hAnsi="Times New Roman;sans-serif"/>
                  <w:b w:val="false"/>
                  <w:i w:val="false"/>
                  <w:caps w:val="false"/>
                  <w:smallCaps w:val="false"/>
                  <w:color w:val="0000FF"/>
                  <w:sz w:val="20"/>
                  <w:u w:val="single"/>
                </w:rPr>
                <w:t xml:space="preserve">Amendment to the Statement of Work, effective October 1, 2021, between Innventure LLC and </w:t>
              </w:r>
            </w:hyperlink>
          </w:p>
          <w:p>
            <w:pPr>
              <w:pStyle w:val="TableContents"/>
              <w:bidi w:val="0"/>
              <w:spacing w:lineRule="atLeast" w:line="200" w:before="0" w:after="0"/>
              <w:jc w:val="left"/>
              <w:rPr/>
            </w:pPr>
            <w:hyperlink r:id="rId122">
              <w:r>
                <w:rPr>
                  <w:rStyle w:val="InternetLink"/>
                  <w:rFonts w:ascii="Times New Roman;sans-serif" w:hAnsi="Times New Roman;sans-serif"/>
                  <w:b w:val="false"/>
                  <w:i w:val="false"/>
                  <w:caps w:val="false"/>
                  <w:smallCaps w:val="false"/>
                  <w:color w:val="0000FF"/>
                  <w:sz w:val="20"/>
                  <w:u w:val="single"/>
                </w:rPr>
                <w:t xml:space="preserve">Corporate Development Group LLC (incorporated by reference to Exhibit 10.39 to Innventure, Inc.’s </w:t>
              </w:r>
            </w:hyperlink>
          </w:p>
          <w:p>
            <w:pPr>
              <w:pStyle w:val="TableContents"/>
              <w:bidi w:val="0"/>
              <w:spacing w:lineRule="atLeast" w:line="200" w:before="0" w:after="0"/>
              <w:jc w:val="left"/>
              <w:rPr/>
            </w:pPr>
            <w:hyperlink r:id="rId123">
              <w:r>
                <w:rPr>
                  <w:rStyle w:val="InternetLink"/>
                  <w:rFonts w:ascii="Times New Roman;sans-serif" w:hAnsi="Times New Roman;sans-serif"/>
                  <w:b w:val="false"/>
                  <w:i w:val="false"/>
                  <w:caps w:val="false"/>
                  <w:smallCaps w:val="false"/>
                  <w:color w:val="0000FF"/>
                  <w:sz w:val="20"/>
                  <w:u w:val="single"/>
                </w:rPr>
                <w:t xml:space="preserve">Registration Statement on Form S-4 filed with the SEC on September 6, 2024). </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10.22^</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24">
              <w:r>
                <w:rPr>
                  <w:rStyle w:val="InternetLink"/>
                  <w:rFonts w:ascii="Times New Roman;sans-serif" w:hAnsi="Times New Roman;sans-serif"/>
                  <w:b w:val="false"/>
                  <w:i w:val="false"/>
                  <w:caps w:val="false"/>
                  <w:smallCaps w:val="false"/>
                  <w:color w:val="0000FF"/>
                  <w:sz w:val="20"/>
                  <w:u w:val="single"/>
                </w:rPr>
                <w:t xml:space="preserve">Form of Investment Agreement by and among Innventure, Inc. and the investors party thereto </w:t>
              </w:r>
            </w:hyperlink>
          </w:p>
          <w:p>
            <w:pPr>
              <w:pStyle w:val="TableContents"/>
              <w:bidi w:val="0"/>
              <w:spacing w:lineRule="atLeast" w:line="200" w:before="0" w:after="0"/>
              <w:jc w:val="left"/>
              <w:rPr/>
            </w:pPr>
            <w:hyperlink r:id="rId125">
              <w:r>
                <w:rPr>
                  <w:rStyle w:val="InternetLink"/>
                  <w:rFonts w:ascii="Times New Roman;sans-serif" w:hAnsi="Times New Roman;sans-serif"/>
                  <w:b w:val="false"/>
                  <w:i w:val="false"/>
                  <w:caps w:val="false"/>
                  <w:smallCaps w:val="false"/>
                  <w:color w:val="0000FF"/>
                  <w:sz w:val="20"/>
                  <w:u w:val="single"/>
                </w:rPr>
                <w:t xml:space="preserve">(incorporated by reference to Exhibit 10.46 to Innventure, Inc.’s Registration Statement on Form S-4 </w:t>
              </w:r>
            </w:hyperlink>
          </w:p>
          <w:p>
            <w:pPr>
              <w:pStyle w:val="TableContents"/>
              <w:bidi w:val="0"/>
              <w:spacing w:lineRule="atLeast" w:line="200" w:before="0" w:after="0"/>
              <w:jc w:val="left"/>
              <w:rPr/>
            </w:pPr>
            <w:hyperlink r:id="rId126">
              <w:r>
                <w:rPr>
                  <w:rStyle w:val="InternetLink"/>
                  <w:rFonts w:ascii="Times New Roman;sans-serif" w:hAnsi="Times New Roman;sans-serif"/>
                  <w:b w:val="false"/>
                  <w:i w:val="false"/>
                  <w:caps w:val="false"/>
                  <w:smallCaps w:val="false"/>
                  <w:color w:val="0000FF"/>
                  <w:sz w:val="20"/>
                  <w:u w:val="single"/>
                </w:rPr>
                <w:t xml:space="preserve">filed with the SEC on September 6, 2024). </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10.23</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27">
              <w:r>
                <w:rPr>
                  <w:rStyle w:val="InternetLink"/>
                  <w:rFonts w:ascii="Times New Roman;sans-serif" w:hAnsi="Times New Roman;sans-serif"/>
                  <w:b w:val="false"/>
                  <w:i w:val="false"/>
                  <w:caps w:val="false"/>
                  <w:smallCaps w:val="false"/>
                  <w:color w:val="0000FF"/>
                  <w:sz w:val="20"/>
                  <w:u w:val="single"/>
                </w:rPr>
                <w:t xml:space="preserve">Warrant Agreement, dated October 12, 2021, between Learn CW Investment Corporation and </w:t>
              </w:r>
            </w:hyperlink>
          </w:p>
          <w:p>
            <w:pPr>
              <w:pStyle w:val="TableContents"/>
              <w:bidi w:val="0"/>
              <w:spacing w:lineRule="atLeast" w:line="200" w:before="0" w:after="0"/>
              <w:jc w:val="left"/>
              <w:rPr/>
            </w:pPr>
            <w:hyperlink r:id="rId128">
              <w:r>
                <w:rPr>
                  <w:rStyle w:val="InternetLink"/>
                  <w:rFonts w:ascii="Times New Roman;sans-serif" w:hAnsi="Times New Roman;sans-serif"/>
                  <w:b w:val="false"/>
                  <w:i w:val="false"/>
                  <w:caps w:val="false"/>
                  <w:smallCaps w:val="false"/>
                  <w:color w:val="0000FF"/>
                  <w:sz w:val="20"/>
                  <w:u w:val="single"/>
                </w:rPr>
                <w:t xml:space="preserve">American Stock Transfer &amp; Trust Company, LLC, as warrant agent (incorporated by reference to </w:t>
              </w:r>
            </w:hyperlink>
          </w:p>
          <w:p>
            <w:pPr>
              <w:pStyle w:val="TableContents"/>
              <w:bidi w:val="0"/>
              <w:spacing w:lineRule="atLeast" w:line="200" w:before="0" w:after="0"/>
              <w:jc w:val="left"/>
              <w:rPr/>
            </w:pPr>
            <w:hyperlink r:id="rId129">
              <w:r>
                <w:rPr>
                  <w:rStyle w:val="InternetLink"/>
                  <w:rFonts w:ascii="Times New Roman;sans-serif" w:hAnsi="Times New Roman;sans-serif"/>
                  <w:b w:val="false"/>
                  <w:i w:val="false"/>
                  <w:caps w:val="false"/>
                  <w:smallCaps w:val="false"/>
                  <w:color w:val="0000FF"/>
                  <w:sz w:val="20"/>
                  <w:u w:val="single"/>
                </w:rPr>
                <w:t xml:space="preserve">Exhibit 4.1 to Learn CW Investment Corporation’s Current Report on Form 8-K filed with the SEC </w:t>
              </w:r>
            </w:hyperlink>
          </w:p>
          <w:p>
            <w:pPr>
              <w:pStyle w:val="TableContents"/>
              <w:bidi w:val="0"/>
              <w:spacing w:lineRule="atLeast" w:line="200" w:before="0" w:after="0"/>
              <w:jc w:val="left"/>
              <w:rPr/>
            </w:pPr>
            <w:hyperlink r:id="rId130">
              <w:r>
                <w:rPr>
                  <w:rStyle w:val="InternetLink"/>
                  <w:rFonts w:ascii="Times New Roman;sans-serif" w:hAnsi="Times New Roman;sans-serif"/>
                  <w:b w:val="false"/>
                  <w:i w:val="false"/>
                  <w:caps w:val="false"/>
                  <w:smallCaps w:val="false"/>
                  <w:color w:val="0000FF"/>
                  <w:sz w:val="20"/>
                  <w:u w:val="single"/>
                </w:rPr>
                <w:t>on October 14, 2021).</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10.24</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31">
              <w:r>
                <w:rPr>
                  <w:rStyle w:val="InternetLink"/>
                  <w:rFonts w:ascii="Times New Roman;sans-serif" w:hAnsi="Times New Roman;sans-serif"/>
                  <w:b w:val="false"/>
                  <w:i w:val="false"/>
                  <w:caps w:val="false"/>
                  <w:smallCaps w:val="false"/>
                  <w:color w:val="0000FF"/>
                  <w:sz w:val="20"/>
                  <w:u w:val="single"/>
                </w:rPr>
                <w:t xml:space="preserve">Warrant Assumption Agreement, dated October 2, 2024, by and among Learn CW Investment </w:t>
              </w:r>
            </w:hyperlink>
          </w:p>
          <w:p>
            <w:pPr>
              <w:pStyle w:val="TableContents"/>
              <w:bidi w:val="0"/>
              <w:spacing w:lineRule="atLeast" w:line="200" w:before="0" w:after="0"/>
              <w:jc w:val="left"/>
              <w:rPr/>
            </w:pPr>
            <w:hyperlink r:id="rId132">
              <w:r>
                <w:rPr>
                  <w:rStyle w:val="InternetLink"/>
                  <w:rFonts w:ascii="Times New Roman;sans-serif" w:hAnsi="Times New Roman;sans-serif"/>
                  <w:b w:val="false"/>
                  <w:i w:val="false"/>
                  <w:caps w:val="false"/>
                  <w:smallCaps w:val="false"/>
                  <w:color w:val="0000FF"/>
                  <w:sz w:val="20"/>
                  <w:u w:val="single"/>
                </w:rPr>
                <w:t>Corporation, Innventure, Inc. (f/k/a Learn SPAC HoldCo, Inc.) and Equiniti Trust Company, LLC (f/</w:t>
              </w:r>
            </w:hyperlink>
          </w:p>
          <w:p>
            <w:pPr>
              <w:pStyle w:val="TableContents"/>
              <w:bidi w:val="0"/>
              <w:spacing w:lineRule="atLeast" w:line="200" w:before="0" w:after="0"/>
              <w:jc w:val="left"/>
              <w:rPr/>
            </w:pPr>
            <w:hyperlink r:id="rId133">
              <w:r>
                <w:rPr>
                  <w:rStyle w:val="InternetLink"/>
                  <w:rFonts w:ascii="Times New Roman;sans-serif" w:hAnsi="Times New Roman;sans-serif"/>
                  <w:b w:val="false"/>
                  <w:i w:val="false"/>
                  <w:caps w:val="false"/>
                  <w:smallCaps w:val="false"/>
                  <w:color w:val="0000FF"/>
                  <w:sz w:val="20"/>
                  <w:u w:val="single"/>
                </w:rPr>
                <w:t xml:space="preserve">k/a American Stock Transfer &amp; Stock Company, LLC), as warrant agent (incorporated by reference to </w:t>
              </w:r>
            </w:hyperlink>
          </w:p>
          <w:p>
            <w:pPr>
              <w:pStyle w:val="TableContents"/>
              <w:bidi w:val="0"/>
              <w:spacing w:lineRule="atLeast" w:line="200" w:before="0" w:after="0"/>
              <w:jc w:val="left"/>
              <w:rPr/>
            </w:pPr>
            <w:hyperlink r:id="rId134">
              <w:r>
                <w:rPr>
                  <w:rStyle w:val="InternetLink"/>
                  <w:rFonts w:ascii="Times New Roman;sans-serif" w:hAnsi="Times New Roman;sans-serif"/>
                  <w:b w:val="false"/>
                  <w:i w:val="false"/>
                  <w:caps w:val="false"/>
                  <w:smallCaps w:val="false"/>
                  <w:color w:val="0000FF"/>
                  <w:sz w:val="20"/>
                  <w:u w:val="single"/>
                </w:rPr>
                <w:t xml:space="preserve">Exhibit 10.2 to Innventure Inc.’s Current Report on Form 8-K filed with the SEC on October 9, </w:t>
              </w:r>
            </w:hyperlink>
          </w:p>
          <w:p>
            <w:pPr>
              <w:pStyle w:val="TableContents"/>
              <w:bidi w:val="0"/>
              <w:spacing w:lineRule="atLeast" w:line="200" w:before="0" w:after="0"/>
              <w:jc w:val="left"/>
              <w:rPr/>
            </w:pPr>
            <w:hyperlink r:id="rId135">
              <w:r>
                <w:rPr>
                  <w:rStyle w:val="InternetLink"/>
                  <w:rFonts w:ascii="Times New Roman;sans-serif" w:hAnsi="Times New Roman;sans-serif"/>
                  <w:b w:val="false"/>
                  <w:i w:val="false"/>
                  <w:caps w:val="false"/>
                  <w:smallCaps w:val="false"/>
                  <w:color w:val="0000FF"/>
                  <w:sz w:val="20"/>
                  <w:u w:val="single"/>
                </w:rPr>
                <w:t>2024).</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10.25</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36">
              <w:r>
                <w:rPr>
                  <w:rStyle w:val="InternetLink"/>
                  <w:rFonts w:ascii="Times New Roman;sans-serif" w:hAnsi="Times New Roman;sans-serif"/>
                  <w:b w:val="false"/>
                  <w:i w:val="false"/>
                  <w:caps w:val="false"/>
                  <w:smallCaps w:val="false"/>
                  <w:color w:val="0000FF"/>
                  <w:sz w:val="20"/>
                  <w:u w:val="single"/>
                </w:rPr>
                <w:t xml:space="preserve">Amended and Restated Registration Rights Agreement, dated October 2, 2024, by and among </w:t>
              </w:r>
            </w:hyperlink>
          </w:p>
          <w:p>
            <w:pPr>
              <w:pStyle w:val="TableContents"/>
              <w:bidi w:val="0"/>
              <w:spacing w:lineRule="atLeast" w:line="200" w:before="0" w:after="0"/>
              <w:jc w:val="left"/>
              <w:rPr/>
            </w:pPr>
            <w:hyperlink r:id="rId137">
              <w:r>
                <w:rPr>
                  <w:rStyle w:val="InternetLink"/>
                  <w:rFonts w:ascii="Times New Roman;sans-serif" w:hAnsi="Times New Roman;sans-serif"/>
                  <w:b w:val="false"/>
                  <w:i w:val="false"/>
                  <w:caps w:val="false"/>
                  <w:smallCaps w:val="false"/>
                  <w:color w:val="0000FF"/>
                  <w:sz w:val="20"/>
                  <w:u w:val="single"/>
                </w:rPr>
                <w:t xml:space="preserve">Innventure, Inc., Learn CW Investment Corporation, CWAM LC Sponsor LLC and the undersigned </w:t>
              </w:r>
            </w:hyperlink>
          </w:p>
          <w:p>
            <w:pPr>
              <w:pStyle w:val="TableContents"/>
              <w:bidi w:val="0"/>
              <w:spacing w:lineRule="atLeast" w:line="200" w:before="0" w:after="0"/>
              <w:jc w:val="left"/>
              <w:rPr/>
            </w:pPr>
            <w:hyperlink r:id="rId138">
              <w:r>
                <w:rPr>
                  <w:rStyle w:val="InternetLink"/>
                  <w:rFonts w:ascii="Times New Roman;sans-serif" w:hAnsi="Times New Roman;sans-serif"/>
                  <w:b w:val="false"/>
                  <w:i w:val="false"/>
                  <w:caps w:val="false"/>
                  <w:smallCaps w:val="false"/>
                  <w:color w:val="0000FF"/>
                  <w:sz w:val="20"/>
                  <w:u w:val="single"/>
                </w:rPr>
                <w:t xml:space="preserve">parties listed thereto (incorporated by reference to Exhibit 10.3 to Innventure Inc.’s Current Report on </w:t>
              </w:r>
            </w:hyperlink>
          </w:p>
          <w:p>
            <w:pPr>
              <w:pStyle w:val="TableContents"/>
              <w:bidi w:val="0"/>
              <w:spacing w:lineRule="atLeast" w:line="200" w:before="0" w:after="0"/>
              <w:jc w:val="left"/>
              <w:rPr/>
            </w:pPr>
            <w:hyperlink r:id="rId139">
              <w:r>
                <w:rPr>
                  <w:rStyle w:val="InternetLink"/>
                  <w:rFonts w:ascii="Times New Roman;sans-serif" w:hAnsi="Times New Roman;sans-serif"/>
                  <w:b w:val="false"/>
                  <w:i w:val="false"/>
                  <w:caps w:val="false"/>
                  <w:smallCaps w:val="false"/>
                  <w:color w:val="0000FF"/>
                  <w:sz w:val="20"/>
                  <w:u w:val="single"/>
                </w:rPr>
                <w:t>Form 8-K filed with the SEC on October 9, 2024).</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10.26</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40">
              <w:r>
                <w:rPr>
                  <w:rStyle w:val="InternetLink"/>
                  <w:rFonts w:ascii="Times New Roman;sans-serif" w:hAnsi="Times New Roman;sans-serif"/>
                  <w:b w:val="false"/>
                  <w:i w:val="false"/>
                  <w:caps w:val="false"/>
                  <w:smallCaps w:val="false"/>
                  <w:color w:val="0000FF"/>
                  <w:sz w:val="20"/>
                  <w:u w:val="single"/>
                </w:rPr>
                <w:t xml:space="preserve">Amended &amp; Restated Investor Rights Agreement, dated October 2, 2024, by and among Innventure, </w:t>
              </w:r>
            </w:hyperlink>
          </w:p>
          <w:p>
            <w:pPr>
              <w:pStyle w:val="TableContents"/>
              <w:bidi w:val="0"/>
              <w:spacing w:lineRule="atLeast" w:line="200" w:before="0" w:after="0"/>
              <w:jc w:val="left"/>
              <w:rPr/>
            </w:pPr>
            <w:hyperlink r:id="rId141">
              <w:r>
                <w:rPr>
                  <w:rStyle w:val="InternetLink"/>
                  <w:rFonts w:ascii="Times New Roman;sans-serif" w:hAnsi="Times New Roman;sans-serif"/>
                  <w:b w:val="false"/>
                  <w:i w:val="false"/>
                  <w:caps w:val="false"/>
                  <w:smallCaps w:val="false"/>
                  <w:color w:val="0000FF"/>
                  <w:sz w:val="20"/>
                  <w:u w:val="single"/>
                </w:rPr>
                <w:t xml:space="preserve">Inc., and the undersigned parties listed thereto (incorporated by reference to Exhibit 10.4 to </w:t>
              </w:r>
            </w:hyperlink>
          </w:p>
          <w:p>
            <w:pPr>
              <w:pStyle w:val="TableContents"/>
              <w:bidi w:val="0"/>
              <w:spacing w:lineRule="atLeast" w:line="200" w:before="0" w:after="0"/>
              <w:jc w:val="left"/>
              <w:rPr/>
            </w:pPr>
            <w:hyperlink r:id="rId142">
              <w:r>
                <w:rPr>
                  <w:rStyle w:val="InternetLink"/>
                  <w:rFonts w:ascii="Times New Roman;sans-serif" w:hAnsi="Times New Roman;sans-serif"/>
                  <w:b w:val="false"/>
                  <w:i w:val="false"/>
                  <w:caps w:val="false"/>
                  <w:smallCaps w:val="false"/>
                  <w:color w:val="0000FF"/>
                  <w:sz w:val="20"/>
                  <w:u w:val="single"/>
                </w:rPr>
                <w:t>Innventure Inc.’s Current Report on Form 8-K filed with the SEC on October 9, 2024).</w:t>
              </w:r>
            </w:hyperlink>
          </w:p>
        </w:tc>
      </w:tr>
      <w:tr>
        <w:trPr/>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10.27#</w:t>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lineRule="atLeast" w:line="200" w:before="0" w:after="0"/>
              <w:jc w:val="left"/>
              <w:rPr/>
            </w:pPr>
            <w:hyperlink r:id="rId143">
              <w:r>
                <w:rPr>
                  <w:rStyle w:val="InternetLink"/>
                  <w:rFonts w:ascii="Times New Roman;sans-serif" w:hAnsi="Times New Roman;sans-serif"/>
                  <w:b w:val="false"/>
                  <w:i w:val="false"/>
                  <w:caps w:val="false"/>
                  <w:smallCaps w:val="false"/>
                  <w:color w:val="0000FF"/>
                  <w:sz w:val="20"/>
                  <w:u w:val="single"/>
                </w:rPr>
                <w:t xml:space="preserve">Form of Indemnification Agreement (incorporated by reference to Exhibit 10.7 to Innventure Inc.’s </w:t>
              </w:r>
            </w:hyperlink>
          </w:p>
          <w:p>
            <w:pPr>
              <w:pStyle w:val="TableContents"/>
              <w:bidi w:val="0"/>
              <w:spacing w:lineRule="atLeast" w:line="200" w:before="0" w:after="0"/>
              <w:jc w:val="left"/>
              <w:rPr/>
            </w:pPr>
            <w:hyperlink r:id="rId144">
              <w:r>
                <w:rPr>
                  <w:rStyle w:val="InternetLink"/>
                  <w:rFonts w:ascii="Times New Roman;sans-serif" w:hAnsi="Times New Roman;sans-serif"/>
                  <w:b w:val="false"/>
                  <w:i w:val="false"/>
                  <w:caps w:val="false"/>
                  <w:smallCaps w:val="false"/>
                  <w:color w:val="0000FF"/>
                  <w:sz w:val="20"/>
                  <w:u w:val="single"/>
                </w:rPr>
                <w:t>Current Report on Form 8-K filed with the SEC on October 9, 2024).</w:t>
              </w:r>
            </w:hyperlink>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II-7</w:t>
      </w:r>
    </w:p>
    <w:tbl>
      <w:tblPr>
        <w:tblW w:w="9456" w:type="dxa"/>
        <w:jc w:val="left"/>
        <w:tblInd w:w="0" w:type="dxa"/>
        <w:tblLayout w:type="fixed"/>
        <w:tblCellMar>
          <w:top w:w="28" w:type="dxa"/>
          <w:left w:w="28" w:type="dxa"/>
          <w:bottom w:w="28" w:type="dxa"/>
          <w:right w:w="28" w:type="dxa"/>
        </w:tblCellMar>
      </w:tblPr>
      <w:tblGrid>
        <w:gridCol w:w="976"/>
        <w:gridCol w:w="109"/>
        <w:gridCol w:w="8371"/>
      </w:tblGrid>
      <w:tr>
        <w:trPr/>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Exhibit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Number</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Description of Exhibits</w:t>
            </w:r>
          </w:p>
        </w:tc>
      </w:tr>
      <w:tr>
        <w:trPr/>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10.28#</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"tANNEXK"</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Innventure, Inc. 2024 Equity and Incentive Compensation Plan (incorporated by reference to Annex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"tANNEXK"</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K to Innventure, Inc.’s Registration Statement on Form S-4 filed with the SEC on September 6,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"https://www.sec.gov/Archives/edgar/data/2001557/000114036124040480/ny20012992x29_s4a.htm" \l "tANNEXK"</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2024).</w:t>
            </w:r>
            <w:r>
              <w:rPr>
                <w:rStyle w:val="InternetLink"/>
                <w:smallCaps w:val="false"/>
                <w:caps w:val="false"/>
                <w:sz w:val="20"/>
                <w:i w:val="false"/>
                <w:u w:val="single"/>
                <w:b w:val="false"/>
                <w:rFonts w:ascii="Times New Roman;sans-serif" w:hAnsi="Times New Roman;sans-serif"/>
                <w:color w:val="0000FF"/>
              </w:rPr>
              <w:fldChar w:fldCharType="end"/>
            </w:r>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10.29^</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45">
              <w:r>
                <w:rPr>
                  <w:rStyle w:val="InternetLink"/>
                  <w:rFonts w:ascii="Times New Roman;sans-serif" w:hAnsi="Times New Roman;sans-serif"/>
                  <w:b w:val="false"/>
                  <w:i w:val="false"/>
                  <w:caps w:val="false"/>
                  <w:smallCaps w:val="false"/>
                  <w:color w:val="0000FF"/>
                  <w:sz w:val="20"/>
                  <w:u w:val="single"/>
                </w:rPr>
                <w:t xml:space="preserve">Form of Investment Agreement by and among Innventure, Inc. and the purchasers listed on Schedule </w:t>
              </w:r>
            </w:hyperlink>
          </w:p>
          <w:p>
            <w:pPr>
              <w:pStyle w:val="TableContents"/>
              <w:bidi w:val="0"/>
              <w:spacing w:lineRule="atLeast" w:line="200" w:before="0" w:after="0"/>
              <w:jc w:val="left"/>
              <w:rPr/>
            </w:pPr>
            <w:hyperlink r:id="rId146">
              <w:r>
                <w:rPr>
                  <w:rStyle w:val="InternetLink"/>
                  <w:rFonts w:ascii="Times New Roman;sans-serif" w:hAnsi="Times New Roman;sans-serif"/>
                  <w:b w:val="false"/>
                  <w:i w:val="false"/>
                  <w:caps w:val="false"/>
                  <w:smallCaps w:val="false"/>
                  <w:color w:val="0000FF"/>
                  <w:sz w:val="20"/>
                  <w:u w:val="single"/>
                </w:rPr>
                <w:t xml:space="preserve">I thereto (incorporated by reference to Exhibit 10.9 to Innventure Inc.’s Current Report on Form 8-K </w:t>
              </w:r>
            </w:hyperlink>
          </w:p>
          <w:p>
            <w:pPr>
              <w:pStyle w:val="TableContents"/>
              <w:bidi w:val="0"/>
              <w:spacing w:lineRule="atLeast" w:line="200" w:before="0" w:after="0"/>
              <w:jc w:val="left"/>
              <w:rPr/>
            </w:pPr>
            <w:hyperlink r:id="rId147">
              <w:r>
                <w:rPr>
                  <w:rStyle w:val="InternetLink"/>
                  <w:rFonts w:ascii="Times New Roman;sans-serif" w:hAnsi="Times New Roman;sans-serif"/>
                  <w:b w:val="false"/>
                  <w:i w:val="false"/>
                  <w:caps w:val="false"/>
                  <w:smallCaps w:val="false"/>
                  <w:color w:val="0000FF"/>
                  <w:sz w:val="20"/>
                  <w:u w:val="single"/>
                </w:rPr>
                <w:t>filed with the SEC on October 9, 2024).</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10.30</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48">
              <w:r>
                <w:rPr>
                  <w:rStyle w:val="InternetLink"/>
                  <w:rFonts w:ascii="Times New Roman;sans-serif" w:hAnsi="Times New Roman;sans-serif"/>
                  <w:b w:val="false"/>
                  <w:i w:val="false"/>
                  <w:caps w:val="false"/>
                  <w:smallCaps w:val="false"/>
                  <w:color w:val="0000FF"/>
                  <w:sz w:val="20"/>
                  <w:u w:val="single"/>
                </w:rPr>
                <w:t xml:space="preserve">Waiver and Consent entered into on October 2, 2024, by and among, Learn CW, Holdco and </w:t>
              </w:r>
            </w:hyperlink>
          </w:p>
          <w:p>
            <w:pPr>
              <w:pStyle w:val="TableContents"/>
              <w:bidi w:val="0"/>
              <w:spacing w:lineRule="atLeast" w:line="200" w:before="0" w:after="0"/>
              <w:jc w:val="left"/>
              <w:rPr/>
            </w:pPr>
            <w:hyperlink r:id="rId149">
              <w:r>
                <w:rPr>
                  <w:rStyle w:val="InternetLink"/>
                  <w:rFonts w:ascii="Times New Roman;sans-serif" w:hAnsi="Times New Roman;sans-serif"/>
                  <w:b w:val="false"/>
                  <w:i w:val="false"/>
                  <w:caps w:val="false"/>
                  <w:smallCaps w:val="false"/>
                  <w:color w:val="0000FF"/>
                  <w:sz w:val="20"/>
                  <w:u w:val="single"/>
                </w:rPr>
                <w:t xml:space="preserve">Innventure (incorporated by reference to Exhibit 10.10 to Innventure Inc.’s Current Report on Form </w:t>
              </w:r>
            </w:hyperlink>
          </w:p>
          <w:p>
            <w:pPr>
              <w:pStyle w:val="TableContents"/>
              <w:bidi w:val="0"/>
              <w:spacing w:lineRule="atLeast" w:line="200" w:before="0" w:after="0"/>
              <w:jc w:val="left"/>
              <w:rPr/>
            </w:pPr>
            <w:hyperlink r:id="rId150">
              <w:r>
                <w:rPr>
                  <w:rStyle w:val="InternetLink"/>
                  <w:rFonts w:ascii="Times New Roman;sans-serif" w:hAnsi="Times New Roman;sans-serif"/>
                  <w:b w:val="false"/>
                  <w:i w:val="false"/>
                  <w:caps w:val="false"/>
                  <w:smallCaps w:val="false"/>
                  <w:color w:val="0000FF"/>
                  <w:sz w:val="20"/>
                  <w:u w:val="single"/>
                </w:rPr>
                <w:t>8-K filed with the SEC on October 9, 2024).</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10.31</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51">
              <w:r>
                <w:rPr>
                  <w:rStyle w:val="InternetLink"/>
                  <w:rFonts w:ascii="Times New Roman;sans-serif" w:hAnsi="Times New Roman;sans-serif"/>
                  <w:b w:val="false"/>
                  <w:i w:val="false"/>
                  <w:caps w:val="false"/>
                  <w:smallCaps w:val="false"/>
                  <w:color w:val="0000FF"/>
                  <w:sz w:val="20"/>
                  <w:u w:val="single"/>
                </w:rPr>
                <w:t xml:space="preserve">Loan and Security Agreement, dated October 22, 2024, by and among Innventure LLC, WTI Fund X, </w:t>
              </w:r>
            </w:hyperlink>
          </w:p>
          <w:p>
            <w:pPr>
              <w:pStyle w:val="TableContents"/>
              <w:bidi w:val="0"/>
              <w:spacing w:lineRule="atLeast" w:line="200" w:before="0" w:after="0"/>
              <w:jc w:val="left"/>
              <w:rPr/>
            </w:pPr>
            <w:hyperlink r:id="rId152">
              <w:r>
                <w:rPr>
                  <w:rStyle w:val="InternetLink"/>
                  <w:rFonts w:ascii="Times New Roman;sans-serif" w:hAnsi="Times New Roman;sans-serif"/>
                  <w:b w:val="false"/>
                  <w:i w:val="false"/>
                  <w:caps w:val="false"/>
                  <w:smallCaps w:val="false"/>
                  <w:color w:val="0000FF"/>
                  <w:sz w:val="20"/>
                  <w:u w:val="single"/>
                </w:rPr>
                <w:t xml:space="preserve">Inc. and WTI Fund XI, Inc. (incorporated by reference to Exhibit 10.1 to Innventure, Inc.’s Current </w:t>
              </w:r>
            </w:hyperlink>
          </w:p>
          <w:p>
            <w:pPr>
              <w:pStyle w:val="TableContents"/>
              <w:bidi w:val="0"/>
              <w:spacing w:lineRule="atLeast" w:line="200" w:before="0" w:after="0"/>
              <w:jc w:val="left"/>
              <w:rPr/>
            </w:pPr>
            <w:hyperlink r:id="rId153">
              <w:r>
                <w:rPr>
                  <w:rStyle w:val="InternetLink"/>
                  <w:rFonts w:ascii="Times New Roman;sans-serif" w:hAnsi="Times New Roman;sans-serif"/>
                  <w:b w:val="false"/>
                  <w:i w:val="false"/>
                  <w:caps w:val="false"/>
                  <w:smallCaps w:val="false"/>
                  <w:color w:val="0000FF"/>
                  <w:sz w:val="20"/>
                  <w:u w:val="single"/>
                </w:rPr>
                <w:t>Report on Form 8-K dated October 23, 2024).</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10.32</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54">
              <w:r>
                <w:rPr>
                  <w:rStyle w:val="InternetLink"/>
                  <w:rFonts w:ascii="Times New Roman;sans-serif" w:hAnsi="Times New Roman;sans-serif"/>
                  <w:b w:val="false"/>
                  <w:i w:val="false"/>
                  <w:caps w:val="false"/>
                  <w:smallCaps w:val="false"/>
                  <w:color w:val="0000FF"/>
                  <w:sz w:val="20"/>
                  <w:u w:val="single"/>
                </w:rPr>
                <w:t xml:space="preserve">Supplement to the Loan and Security Agreement, dated October 22, 2024, by and among Innventure </w:t>
              </w:r>
            </w:hyperlink>
          </w:p>
          <w:p>
            <w:pPr>
              <w:pStyle w:val="TableContents"/>
              <w:bidi w:val="0"/>
              <w:spacing w:lineRule="atLeast" w:line="200" w:before="0" w:after="0"/>
              <w:jc w:val="left"/>
              <w:rPr/>
            </w:pPr>
            <w:hyperlink r:id="rId155">
              <w:r>
                <w:rPr>
                  <w:rStyle w:val="InternetLink"/>
                  <w:rFonts w:ascii="Times New Roman;sans-serif" w:hAnsi="Times New Roman;sans-serif"/>
                  <w:b w:val="false"/>
                  <w:i w:val="false"/>
                  <w:caps w:val="false"/>
                  <w:smallCaps w:val="false"/>
                  <w:color w:val="0000FF"/>
                  <w:sz w:val="20"/>
                  <w:u w:val="single"/>
                </w:rPr>
                <w:t xml:space="preserve">LLC, WTI Fund X, Inc. and WTI Fund XI, Inc. (incorporated by reference to Exhibit 10.2 to </w:t>
              </w:r>
            </w:hyperlink>
          </w:p>
          <w:p>
            <w:pPr>
              <w:pStyle w:val="TableContents"/>
              <w:bidi w:val="0"/>
              <w:spacing w:lineRule="atLeast" w:line="200" w:before="0" w:after="0"/>
              <w:jc w:val="left"/>
              <w:rPr/>
            </w:pPr>
            <w:hyperlink r:id="rId156">
              <w:r>
                <w:rPr>
                  <w:rStyle w:val="InternetLink"/>
                  <w:rFonts w:ascii="Times New Roman;sans-serif" w:hAnsi="Times New Roman;sans-serif"/>
                  <w:b w:val="false"/>
                  <w:i w:val="false"/>
                  <w:caps w:val="false"/>
                  <w:smallCaps w:val="false"/>
                  <w:color w:val="0000FF"/>
                  <w:sz w:val="20"/>
                  <w:u w:val="single"/>
                </w:rPr>
                <w:t>Innventure, Inc.’s Current Report on Form 8-K dated October 23, 2024)</w:t>
              </w:r>
            </w:hyperlink>
            <w:r>
              <w:rPr>
                <w:rFonts w:ascii="Times New Roman;sans-serif" w:hAnsi="Times New Roman;sans-serif"/>
                <w:b w:val="false"/>
                <w:i w:val="false"/>
                <w:caps w:val="false"/>
                <w:smallCaps w:val="false"/>
                <w:strike w:val="false"/>
                <w:dstrike w:val="false"/>
                <w:sz w:val="20"/>
                <w:u w:val="none"/>
                <w:effect w:val="none"/>
              </w:rPr>
              <w:t>.</w:t>
            </w:r>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10.33#</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57">
              <w:r>
                <w:rPr>
                  <w:rStyle w:val="InternetLink"/>
                  <w:rFonts w:ascii="Times New Roman;sans-serif" w:hAnsi="Times New Roman;sans-serif"/>
                  <w:b w:val="false"/>
                  <w:i w:val="false"/>
                  <w:caps w:val="false"/>
                  <w:smallCaps w:val="false"/>
                  <w:color w:val="0000FF"/>
                  <w:sz w:val="20"/>
                  <w:u w:val="single"/>
                </w:rPr>
                <w:t xml:space="preserve">Form of Notice of Grant of Restricted Stock Units and Restricted Stock Units Agreement for </w:t>
              </w:r>
            </w:hyperlink>
          </w:p>
          <w:p>
            <w:pPr>
              <w:pStyle w:val="TableContents"/>
              <w:bidi w:val="0"/>
              <w:spacing w:lineRule="atLeast" w:line="200" w:before="0" w:after="0"/>
              <w:jc w:val="left"/>
              <w:rPr/>
            </w:pPr>
            <w:hyperlink r:id="rId158">
              <w:r>
                <w:rPr>
                  <w:rStyle w:val="InternetLink"/>
                  <w:rFonts w:ascii="Times New Roman;sans-serif" w:hAnsi="Times New Roman;sans-serif"/>
                  <w:b w:val="false"/>
                  <w:i w:val="false"/>
                  <w:caps w:val="false"/>
                  <w:smallCaps w:val="false"/>
                  <w:color w:val="0000FF"/>
                  <w:sz w:val="20"/>
                  <w:u w:val="single"/>
                </w:rPr>
                <w:t xml:space="preserve">Executive Officers (incorporated by reference to Exhibit 10.1 to Innventure, Inc.’s Current Report on </w:t>
              </w:r>
            </w:hyperlink>
          </w:p>
          <w:p>
            <w:pPr>
              <w:pStyle w:val="TableContents"/>
              <w:bidi w:val="0"/>
              <w:spacing w:lineRule="atLeast" w:line="200" w:before="0" w:after="0"/>
              <w:jc w:val="left"/>
              <w:rPr/>
            </w:pPr>
            <w:hyperlink r:id="rId159">
              <w:r>
                <w:rPr>
                  <w:rStyle w:val="InternetLink"/>
                  <w:rFonts w:ascii="Times New Roman;sans-serif" w:hAnsi="Times New Roman;sans-serif"/>
                  <w:b w:val="false"/>
                  <w:i w:val="false"/>
                  <w:caps w:val="false"/>
                  <w:smallCaps w:val="false"/>
                  <w:color w:val="0000FF"/>
                  <w:sz w:val="20"/>
                  <w:u w:val="single"/>
                </w:rPr>
                <w:t>Form 8-K dated December 13, 2024)</w:t>
              </w:r>
            </w:hyperlink>
            <w:r>
              <w:rPr>
                <w:rFonts w:ascii="Times New Roman;sans-serif" w:hAnsi="Times New Roman;sans-serif"/>
                <w:b w:val="false"/>
                <w:i w:val="false"/>
                <w:caps w:val="false"/>
                <w:smallCaps w:val="false"/>
                <w:strike w:val="false"/>
                <w:dstrike w:val="false"/>
                <w:sz w:val="20"/>
                <w:u w:val="none"/>
                <w:effect w:val="none"/>
              </w:rPr>
              <w:t>.</w:t>
            </w:r>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10.34#</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60">
              <w:r>
                <w:rPr>
                  <w:rStyle w:val="InternetLink"/>
                  <w:rFonts w:ascii="Times New Roman;sans-serif" w:hAnsi="Times New Roman;sans-serif"/>
                  <w:b w:val="false"/>
                  <w:i w:val="false"/>
                  <w:caps w:val="false"/>
                  <w:smallCaps w:val="false"/>
                  <w:color w:val="0000FF"/>
                  <w:sz w:val="20"/>
                  <w:u w:val="single"/>
                </w:rPr>
                <w:t xml:space="preserve">Form of Notice of Grant of Nonqualified Stock Option and Nonqualified Stock Option Agreement for </w:t>
              </w:r>
            </w:hyperlink>
          </w:p>
          <w:p>
            <w:pPr>
              <w:pStyle w:val="TableContents"/>
              <w:bidi w:val="0"/>
              <w:spacing w:lineRule="atLeast" w:line="200" w:before="0" w:after="0"/>
              <w:jc w:val="left"/>
              <w:rPr/>
            </w:pPr>
            <w:hyperlink r:id="rId161">
              <w:r>
                <w:rPr>
                  <w:rStyle w:val="InternetLink"/>
                  <w:rFonts w:ascii="Times New Roman;sans-serif" w:hAnsi="Times New Roman;sans-serif"/>
                  <w:b w:val="false"/>
                  <w:i w:val="false"/>
                  <w:caps w:val="false"/>
                  <w:smallCaps w:val="false"/>
                  <w:color w:val="0000FF"/>
                  <w:sz w:val="20"/>
                  <w:u w:val="single"/>
                </w:rPr>
                <w:t xml:space="preserve">Executive Officers (incorporated by reference to Exhibit 10.2 to Innventure, Inc.’s Current Report on </w:t>
              </w:r>
            </w:hyperlink>
          </w:p>
          <w:p>
            <w:pPr>
              <w:pStyle w:val="TableContents"/>
              <w:bidi w:val="0"/>
              <w:spacing w:lineRule="atLeast" w:line="200" w:before="0" w:after="0"/>
              <w:jc w:val="left"/>
              <w:rPr/>
            </w:pPr>
            <w:hyperlink r:id="rId162">
              <w:r>
                <w:rPr>
                  <w:rStyle w:val="InternetLink"/>
                  <w:rFonts w:ascii="Times New Roman;sans-serif" w:hAnsi="Times New Roman;sans-serif"/>
                  <w:b w:val="false"/>
                  <w:i w:val="false"/>
                  <w:caps w:val="false"/>
                  <w:smallCaps w:val="false"/>
                  <w:color w:val="0000FF"/>
                  <w:sz w:val="20"/>
                  <w:u w:val="single"/>
                </w:rPr>
                <w:t>Form 8-K dated December 13, 2024)</w:t>
              </w:r>
            </w:hyperlink>
            <w:r>
              <w:rPr>
                <w:rFonts w:ascii="Times New Roman;sans-serif" w:hAnsi="Times New Roman;sans-serif"/>
                <w:b w:val="false"/>
                <w:i w:val="false"/>
                <w:caps w:val="false"/>
                <w:smallCaps w:val="false"/>
                <w:strike w:val="false"/>
                <w:dstrike w:val="false"/>
                <w:sz w:val="20"/>
                <w:u w:val="none"/>
                <w:effect w:val="none"/>
              </w:rPr>
              <w:t>.</w:t>
            </w:r>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10.35#</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63">
              <w:r>
                <w:rPr>
                  <w:rStyle w:val="InternetLink"/>
                  <w:rFonts w:ascii="Times New Roman;sans-serif" w:hAnsi="Times New Roman;sans-serif"/>
                  <w:b w:val="false"/>
                  <w:i w:val="false"/>
                  <w:caps w:val="false"/>
                  <w:smallCaps w:val="false"/>
                  <w:color w:val="0000FF"/>
                  <w:sz w:val="20"/>
                  <w:u w:val="single"/>
                </w:rPr>
                <w:t xml:space="preserve">Form of Notice of Grant of Appreciation Rights (incorporated by reference to Exhibit 10.35 to </w:t>
              </w:r>
            </w:hyperlink>
          </w:p>
          <w:p>
            <w:pPr>
              <w:pStyle w:val="TableContents"/>
              <w:bidi w:val="0"/>
              <w:spacing w:lineRule="atLeast" w:line="200" w:before="0" w:after="0"/>
              <w:jc w:val="left"/>
              <w:rPr/>
            </w:pPr>
            <w:hyperlink r:id="rId164">
              <w:r>
                <w:rPr>
                  <w:rStyle w:val="InternetLink"/>
                  <w:rFonts w:ascii="Times New Roman;sans-serif" w:hAnsi="Times New Roman;sans-serif"/>
                  <w:b w:val="false"/>
                  <w:i w:val="false"/>
                  <w:caps w:val="false"/>
                  <w:smallCaps w:val="false"/>
                  <w:color w:val="0000FF"/>
                  <w:sz w:val="20"/>
                  <w:u w:val="single"/>
                </w:rPr>
                <w:t>Innventure, Inc.’s Annual Report on Form 10-K dated April 14,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10.36#</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65">
              <w:r>
                <w:rPr>
                  <w:rStyle w:val="InternetLink"/>
                  <w:rFonts w:ascii="Times New Roman;sans-serif" w:hAnsi="Times New Roman;sans-serif"/>
                  <w:b w:val="false"/>
                  <w:i w:val="false"/>
                  <w:caps w:val="false"/>
                  <w:smallCaps w:val="false"/>
                  <w:color w:val="0000FF"/>
                  <w:sz w:val="20"/>
                  <w:u w:val="single"/>
                </w:rPr>
                <w:t xml:space="preserve">Form of Notice of Grant of Cash-Settled Appreciation Rights (incorporated by reference to Exhibit </w:t>
              </w:r>
            </w:hyperlink>
          </w:p>
          <w:p>
            <w:pPr>
              <w:pStyle w:val="TableContents"/>
              <w:bidi w:val="0"/>
              <w:spacing w:lineRule="atLeast" w:line="200" w:before="0" w:after="0"/>
              <w:jc w:val="left"/>
              <w:rPr/>
            </w:pPr>
            <w:hyperlink r:id="rId166">
              <w:r>
                <w:rPr>
                  <w:rStyle w:val="InternetLink"/>
                  <w:rFonts w:ascii="Times New Roman;sans-serif" w:hAnsi="Times New Roman;sans-serif"/>
                  <w:b w:val="false"/>
                  <w:i w:val="false"/>
                  <w:caps w:val="false"/>
                  <w:smallCaps w:val="false"/>
                  <w:color w:val="0000FF"/>
                  <w:sz w:val="20"/>
                  <w:u w:val="single"/>
                </w:rPr>
                <w:t>10.36 to Innventure, Inc.’s Annual Report on Form 10-K dated April 14,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10.37</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67">
              <w:r>
                <w:rPr>
                  <w:rStyle w:val="InternetLink"/>
                  <w:rFonts w:ascii="Times New Roman;sans-serif" w:hAnsi="Times New Roman;sans-serif"/>
                  <w:b w:val="false"/>
                  <w:i w:val="false"/>
                  <w:caps w:val="false"/>
                  <w:smallCaps w:val="false"/>
                  <w:color w:val="0000FF"/>
                  <w:sz w:val="20"/>
                  <w:u w:val="single"/>
                </w:rPr>
                <w:t xml:space="preserve">Standby Equity Purchase Agreement, by and between Innventure, Inc. and YA II PN, Ltd., dated </w:t>
              </w:r>
            </w:hyperlink>
          </w:p>
          <w:p>
            <w:pPr>
              <w:pStyle w:val="TableContents"/>
              <w:bidi w:val="0"/>
              <w:spacing w:lineRule="atLeast" w:line="200" w:before="0" w:after="0"/>
              <w:jc w:val="left"/>
              <w:rPr/>
            </w:pPr>
            <w:hyperlink r:id="rId168">
              <w:r>
                <w:rPr>
                  <w:rStyle w:val="InternetLink"/>
                  <w:rFonts w:ascii="Times New Roman;sans-serif" w:hAnsi="Times New Roman;sans-serif"/>
                  <w:b w:val="false"/>
                  <w:i w:val="false"/>
                  <w:caps w:val="false"/>
                  <w:smallCaps w:val="false"/>
                  <w:color w:val="0000FF"/>
                  <w:sz w:val="20"/>
                  <w:u w:val="single"/>
                </w:rPr>
                <w:t xml:space="preserve">October 24, 2023 (incorporated by reference to Exhibit 10.1 to Innventure, Inc.’s Current Report on </w:t>
              </w:r>
            </w:hyperlink>
          </w:p>
          <w:p>
            <w:pPr>
              <w:pStyle w:val="TableContents"/>
              <w:bidi w:val="0"/>
              <w:spacing w:lineRule="atLeast" w:line="200" w:before="0" w:after="0"/>
              <w:jc w:val="left"/>
              <w:rPr/>
            </w:pPr>
            <w:hyperlink r:id="rId169">
              <w:r>
                <w:rPr>
                  <w:rStyle w:val="InternetLink"/>
                  <w:rFonts w:ascii="Times New Roman;sans-serif" w:hAnsi="Times New Roman;sans-serif"/>
                  <w:b w:val="false"/>
                  <w:i w:val="false"/>
                  <w:caps w:val="false"/>
                  <w:smallCaps w:val="false"/>
                  <w:color w:val="0000FF"/>
                  <w:sz w:val="20"/>
                  <w:u w:val="single"/>
                </w:rPr>
                <w:t>Form 8-K dated March 25,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10.38^</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70">
              <w:r>
                <w:rPr>
                  <w:rStyle w:val="InternetLink"/>
                  <w:rFonts w:ascii="Times New Roman;sans-serif" w:hAnsi="Times New Roman;sans-serif"/>
                  <w:b w:val="false"/>
                  <w:i w:val="false"/>
                  <w:caps w:val="false"/>
                  <w:smallCaps w:val="false"/>
                  <w:color w:val="0000FF"/>
                  <w:sz w:val="20"/>
                  <w:u w:val="single"/>
                </w:rPr>
                <w:t xml:space="preserve">Form of Series C Purchase Agreement for U.S. Investors (incorporated by reference to Exhibit 10.2 to </w:t>
              </w:r>
            </w:hyperlink>
          </w:p>
          <w:p>
            <w:pPr>
              <w:pStyle w:val="TableContents"/>
              <w:bidi w:val="0"/>
              <w:spacing w:lineRule="atLeast" w:line="200" w:before="0" w:after="0"/>
              <w:jc w:val="left"/>
              <w:rPr/>
            </w:pPr>
            <w:hyperlink r:id="rId171">
              <w:r>
                <w:rPr>
                  <w:rStyle w:val="InternetLink"/>
                  <w:rFonts w:ascii="Times New Roman;sans-serif" w:hAnsi="Times New Roman;sans-serif"/>
                  <w:b w:val="false"/>
                  <w:i w:val="false"/>
                  <w:caps w:val="false"/>
                  <w:smallCaps w:val="false"/>
                  <w:color w:val="0000FF"/>
                  <w:sz w:val="20"/>
                  <w:u w:val="single"/>
                </w:rPr>
                <w:t>Innventure, Inc.’s Current Report on Form 8-K dated March 25,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10.39^</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72">
              <w:r>
                <w:rPr>
                  <w:rStyle w:val="InternetLink"/>
                  <w:rFonts w:ascii="Times New Roman;sans-serif" w:hAnsi="Times New Roman;sans-serif"/>
                  <w:b w:val="false"/>
                  <w:i w:val="false"/>
                  <w:caps w:val="false"/>
                  <w:smallCaps w:val="false"/>
                  <w:color w:val="0000FF"/>
                  <w:sz w:val="20"/>
                  <w:u w:val="single"/>
                </w:rPr>
                <w:t xml:space="preserve">Form of Series C Purchase Agreement for Ex-U.S. Investors (incorporated by reference to Exhibit </w:t>
              </w:r>
            </w:hyperlink>
          </w:p>
          <w:p>
            <w:pPr>
              <w:pStyle w:val="TableContents"/>
              <w:bidi w:val="0"/>
              <w:spacing w:lineRule="atLeast" w:line="200" w:before="0" w:after="0"/>
              <w:jc w:val="left"/>
              <w:rPr/>
            </w:pPr>
            <w:hyperlink r:id="rId173">
              <w:r>
                <w:rPr>
                  <w:rStyle w:val="InternetLink"/>
                  <w:rFonts w:ascii="Times New Roman;sans-serif" w:hAnsi="Times New Roman;sans-serif"/>
                  <w:b w:val="false"/>
                  <w:i w:val="false"/>
                  <w:caps w:val="false"/>
                  <w:smallCaps w:val="false"/>
                  <w:color w:val="0000FF"/>
                  <w:sz w:val="20"/>
                  <w:u w:val="single"/>
                </w:rPr>
                <w:t>10.3 to Innventure, Inc.’s Current Report on Form 8-K dated March 25,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10.40^</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74">
              <w:r>
                <w:rPr>
                  <w:rStyle w:val="InternetLink"/>
                  <w:rFonts w:ascii="Times New Roman;sans-serif" w:hAnsi="Times New Roman;sans-serif"/>
                  <w:b w:val="false"/>
                  <w:i w:val="false"/>
                  <w:caps w:val="false"/>
                  <w:smallCaps w:val="false"/>
                  <w:color w:val="0000FF"/>
                  <w:sz w:val="20"/>
                  <w:u w:val="single"/>
                </w:rPr>
                <w:t xml:space="preserve">Securities Purchase Agreement, by and between Innventure, Inc. and YA II PN, Ltd., dated March 26, </w:t>
              </w:r>
            </w:hyperlink>
          </w:p>
          <w:p>
            <w:pPr>
              <w:pStyle w:val="TableContents"/>
              <w:bidi w:val="0"/>
              <w:spacing w:lineRule="atLeast" w:line="200" w:before="0" w:after="0"/>
              <w:jc w:val="left"/>
              <w:rPr/>
            </w:pPr>
            <w:hyperlink r:id="rId175">
              <w:r>
                <w:rPr>
                  <w:rStyle w:val="InternetLink"/>
                  <w:rFonts w:ascii="Times New Roman;sans-serif" w:hAnsi="Times New Roman;sans-serif"/>
                  <w:b w:val="false"/>
                  <w:i w:val="false"/>
                  <w:caps w:val="false"/>
                  <w:smallCaps w:val="false"/>
                  <w:color w:val="0000FF"/>
                  <w:sz w:val="20"/>
                  <w:u w:val="single"/>
                </w:rPr>
                <w:t xml:space="preserve">2025 (incorporated by reference to Exhibit 10.1 to Innventure, Inc.’s Current Report on Form 8-K </w:t>
              </w:r>
            </w:hyperlink>
          </w:p>
          <w:p>
            <w:pPr>
              <w:pStyle w:val="TableContents"/>
              <w:bidi w:val="0"/>
              <w:spacing w:lineRule="atLeast" w:line="200" w:before="0" w:after="0"/>
              <w:jc w:val="left"/>
              <w:rPr/>
            </w:pPr>
            <w:hyperlink r:id="rId176">
              <w:r>
                <w:rPr>
                  <w:rStyle w:val="InternetLink"/>
                  <w:rFonts w:ascii="Times New Roman;sans-serif" w:hAnsi="Times New Roman;sans-serif"/>
                  <w:b w:val="false"/>
                  <w:i w:val="false"/>
                  <w:caps w:val="false"/>
                  <w:smallCaps w:val="false"/>
                  <w:color w:val="0000FF"/>
                  <w:sz w:val="20"/>
                  <w:u w:val="single"/>
                </w:rPr>
                <w:t>dated March 26,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10.41</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77">
              <w:r>
                <w:rPr>
                  <w:rStyle w:val="InternetLink"/>
                  <w:rFonts w:ascii="Times New Roman;sans-serif" w:hAnsi="Times New Roman;sans-serif"/>
                  <w:b w:val="false"/>
                  <w:i w:val="false"/>
                  <w:caps w:val="false"/>
                  <w:smallCaps w:val="false"/>
                  <w:color w:val="0000FF"/>
                  <w:sz w:val="20"/>
                  <w:u w:val="single"/>
                </w:rPr>
                <w:t xml:space="preserve">Global Guaranty Agreement by Innventure, LLC, dated April 14, 2025 (incorporated by reference to </w:t>
              </w:r>
            </w:hyperlink>
          </w:p>
          <w:p>
            <w:pPr>
              <w:pStyle w:val="TableContents"/>
              <w:bidi w:val="0"/>
              <w:spacing w:lineRule="atLeast" w:line="200" w:before="0" w:after="0"/>
              <w:jc w:val="left"/>
              <w:rPr/>
            </w:pPr>
            <w:hyperlink r:id="rId178">
              <w:r>
                <w:rPr>
                  <w:rStyle w:val="InternetLink"/>
                  <w:rFonts w:ascii="Times New Roman;sans-serif" w:hAnsi="Times New Roman;sans-serif"/>
                  <w:b w:val="false"/>
                  <w:i w:val="false"/>
                  <w:caps w:val="false"/>
                  <w:smallCaps w:val="false"/>
                  <w:color w:val="0000FF"/>
                  <w:sz w:val="20"/>
                  <w:u w:val="single"/>
                </w:rPr>
                <w:t>Exhibit 10.1 to Innventure, Inc.’s Current Report on Form 8-K dated April 14,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10.42</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79">
              <w:r>
                <w:rPr>
                  <w:rStyle w:val="InternetLink"/>
                  <w:rFonts w:ascii="Times New Roman;sans-serif" w:hAnsi="Times New Roman;sans-serif"/>
                  <w:b w:val="false"/>
                  <w:i w:val="false"/>
                  <w:caps w:val="false"/>
                  <w:smallCaps w:val="false"/>
                  <w:color w:val="0000FF"/>
                  <w:sz w:val="20"/>
                  <w:u w:val="single"/>
                </w:rPr>
                <w:t xml:space="preserve">Registration Rights Agreement, dated April 14, 2025, between Innventure, Inc. and YA II PN, Ltd. </w:t>
              </w:r>
            </w:hyperlink>
          </w:p>
          <w:p>
            <w:pPr>
              <w:pStyle w:val="TableContents"/>
              <w:bidi w:val="0"/>
              <w:spacing w:lineRule="atLeast" w:line="200" w:before="0" w:after="0"/>
              <w:jc w:val="left"/>
              <w:rPr/>
            </w:pPr>
            <w:hyperlink r:id="rId180">
              <w:r>
                <w:rPr>
                  <w:rStyle w:val="InternetLink"/>
                  <w:rFonts w:ascii="Times New Roman;sans-serif" w:hAnsi="Times New Roman;sans-serif"/>
                  <w:b w:val="false"/>
                  <w:i w:val="false"/>
                  <w:caps w:val="false"/>
                  <w:smallCaps w:val="false"/>
                  <w:color w:val="0000FF"/>
                  <w:sz w:val="20"/>
                  <w:u w:val="single"/>
                </w:rPr>
                <w:t xml:space="preserve">(incorporated by reference to Exhibit 10.2 to Innventure, Inc.’s Current Report on Form 8-K dated </w:t>
              </w:r>
            </w:hyperlink>
          </w:p>
          <w:p>
            <w:pPr>
              <w:pStyle w:val="TableContents"/>
              <w:bidi w:val="0"/>
              <w:spacing w:lineRule="atLeast" w:line="200" w:before="0" w:after="0"/>
              <w:jc w:val="left"/>
              <w:rPr/>
            </w:pPr>
            <w:hyperlink r:id="rId181">
              <w:r>
                <w:rPr>
                  <w:rStyle w:val="InternetLink"/>
                  <w:rFonts w:ascii="Times New Roman;sans-serif" w:hAnsi="Times New Roman;sans-serif"/>
                  <w:b w:val="false"/>
                  <w:i w:val="false"/>
                  <w:caps w:val="false"/>
                  <w:smallCaps w:val="false"/>
                  <w:color w:val="0000FF"/>
                  <w:sz w:val="20"/>
                  <w:u w:val="single"/>
                </w:rPr>
                <w:t>April 14,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10.43#</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82">
              <w:r>
                <w:rPr>
                  <w:rStyle w:val="InternetLink"/>
                  <w:rFonts w:ascii="Times New Roman;sans-serif" w:hAnsi="Times New Roman;sans-serif"/>
                  <w:b w:val="false"/>
                  <w:i w:val="false"/>
                  <w:caps w:val="false"/>
                  <w:smallCaps w:val="false"/>
                  <w:color w:val="0000FF"/>
                  <w:sz w:val="20"/>
                  <w:u w:val="single"/>
                </w:rPr>
                <w:t xml:space="preserve">Innventure, Inc. 2025 Short-Term Incentive Plan (incorporated by reference to Exhibit 10.43 to </w:t>
              </w:r>
            </w:hyperlink>
          </w:p>
          <w:p>
            <w:pPr>
              <w:pStyle w:val="TableContents"/>
              <w:bidi w:val="0"/>
              <w:spacing w:lineRule="atLeast" w:line="200" w:before="0" w:after="0"/>
              <w:jc w:val="left"/>
              <w:rPr/>
            </w:pPr>
            <w:hyperlink r:id="rId183">
              <w:r>
                <w:rPr>
                  <w:rStyle w:val="InternetLink"/>
                  <w:rFonts w:ascii="Times New Roman;sans-serif" w:hAnsi="Times New Roman;sans-serif"/>
                  <w:b w:val="false"/>
                  <w:i w:val="false"/>
                  <w:caps w:val="false"/>
                  <w:smallCaps w:val="false"/>
                  <w:color w:val="0000FF"/>
                  <w:sz w:val="20"/>
                  <w:u w:val="single"/>
                </w:rPr>
                <w:t>Innventure, Inc.’s Annual Report on Form 10-K dated April 14,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21.1</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r:id="rId184">
              <w:r>
                <w:rPr>
                  <w:rStyle w:val="InternetLink"/>
                  <w:rFonts w:ascii="Times New Roman;sans-serif" w:hAnsi="Times New Roman;sans-serif"/>
                  <w:b w:val="false"/>
                  <w:i w:val="false"/>
                  <w:caps w:val="false"/>
                  <w:smallCaps w:val="false"/>
                  <w:color w:val="0000FF"/>
                  <w:sz w:val="20"/>
                  <w:u w:val="single"/>
                </w:rPr>
                <w:t xml:space="preserve">Subsidiaries of the Registrant (incorporated by reference to Exhibit 21.1 to Innventure, Inc.’s Annual </w:t>
              </w:r>
            </w:hyperlink>
          </w:p>
          <w:p>
            <w:pPr>
              <w:pStyle w:val="TableContents"/>
              <w:bidi w:val="0"/>
              <w:spacing w:lineRule="atLeast" w:line="200" w:before="0" w:after="0"/>
              <w:jc w:val="left"/>
              <w:rPr/>
            </w:pPr>
            <w:hyperlink r:id="rId185">
              <w:r>
                <w:rPr>
                  <w:rStyle w:val="InternetLink"/>
                  <w:rFonts w:ascii="Times New Roman;sans-serif" w:hAnsi="Times New Roman;sans-serif"/>
                  <w:b w:val="false"/>
                  <w:i w:val="false"/>
                  <w:caps w:val="false"/>
                  <w:smallCaps w:val="false"/>
                  <w:color w:val="0000FF"/>
                  <w:sz w:val="20"/>
                  <w:u w:val="single"/>
                </w:rPr>
                <w:t>Report on Form 10-K filed with the SEC on April 14, 2025).</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23.1*</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w:anchor="exhibit51-sx1.htm">
              <w:r>
                <w:rPr>
                  <w:rStyle w:val="InternetLink"/>
                  <w:rFonts w:ascii="Times New Roman;sans-serif" w:hAnsi="Times New Roman;sans-serif"/>
                  <w:b w:val="false"/>
                  <w:i w:val="false"/>
                  <w:caps w:val="false"/>
                  <w:smallCaps w:val="false"/>
                  <w:color w:val="0000FF"/>
                  <w:sz w:val="20"/>
                  <w:u w:val="single"/>
                </w:rPr>
                <w:t>Consent of Jones Day (included in Exhibit 5.1).</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23.2*</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w:anchor="exhibit232-sx1.htm">
              <w:r>
                <w:rPr>
                  <w:rStyle w:val="InternetLink"/>
                  <w:rFonts w:ascii="Times New Roman;sans-serif" w:hAnsi="Times New Roman;sans-serif"/>
                  <w:b w:val="false"/>
                  <w:i w:val="false"/>
                  <w:caps w:val="false"/>
                  <w:smallCaps w:val="false"/>
                  <w:color w:val="0000FF"/>
                  <w:sz w:val="20"/>
                  <w:u w:val="single"/>
                </w:rPr>
                <w:t>Consent of BDO USA P.C.</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24.1*</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pPr>
            <w:hyperlink w:anchor="icb9447fcda9c419b80559940834d4a66_1338">
              <w:r>
                <w:rPr>
                  <w:rStyle w:val="InternetLink"/>
                  <w:rFonts w:ascii="Times New Roman;sans-serif" w:hAnsi="Times New Roman;sans-serif"/>
                  <w:b w:val="false"/>
                  <w:i w:val="false"/>
                  <w:caps w:val="false"/>
                  <w:smallCaps w:val="false"/>
                  <w:color w:val="0000FF"/>
                  <w:sz w:val="20"/>
                  <w:u w:val="single"/>
                </w:rPr>
                <w:t>Power of Attorney (included on the signature page hereto).</w:t>
              </w:r>
            </w:hyperlink>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101.SCH*</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Inline XBRL Taxonomy Extension Schema Document </w:t>
            </w:r>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101.CAL*</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Inline XBRL Taxonomy Extension Calculation Linkbase Document</w:t>
            </w:r>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101.DEF*</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Inline XBRL Taxonomy Extension Definition Linkbase Document</w:t>
            </w:r>
          </w:p>
        </w:tc>
      </w:tr>
      <w:tr>
        <w:trPr/>
        <w:tc>
          <w:tcPr>
            <w:tcW w:w="9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101.LAB*</w:t>
            </w:r>
          </w:p>
        </w:tc>
        <w:tc>
          <w:tcPr>
            <w:tcW w:w="109"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Inline XBRL Taxonomy Extension Lable Linkbase Document</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II-8</w:t>
      </w:r>
    </w:p>
    <w:tbl>
      <w:tblPr>
        <w:tblW w:w="6786" w:type="dxa"/>
        <w:jc w:val="left"/>
        <w:tblInd w:w="0" w:type="dxa"/>
        <w:tblLayout w:type="fixed"/>
        <w:tblCellMar>
          <w:top w:w="28" w:type="dxa"/>
          <w:left w:w="28" w:type="dxa"/>
          <w:bottom w:w="28" w:type="dxa"/>
          <w:right w:w="28" w:type="dxa"/>
        </w:tblCellMar>
      </w:tblPr>
      <w:tblGrid>
        <w:gridCol w:w="946"/>
        <w:gridCol w:w="109"/>
        <w:gridCol w:w="573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Exhibit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Number</w:t>
            </w:r>
          </w:p>
        </w:tc>
        <w:tc>
          <w:tcPr>
            <w:tcW w:w="109" w:type="dxa"/>
            <w:tcBorders/>
            <w:vAlign w:val="center"/>
          </w:tcPr>
          <w:p>
            <w:pPr>
              <w:pStyle w:val="TableContents"/>
              <w:bidi w:val="0"/>
              <w:spacing w:before="0" w:after="283"/>
              <w:jc w:val="left"/>
              <w:rPr>
                <w:sz w:val="4"/>
                <w:szCs w:val="4"/>
              </w:rPr>
            </w:pPr>
            <w:r>
              <w:rPr>
                <w:sz w:val="4"/>
                <w:szCs w:val="4"/>
              </w:rPr>
            </w:r>
          </w:p>
        </w:tc>
        <w:tc>
          <w:tcPr>
            <w:tcW w:w="57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Description of Exhibits</w:t>
            </w:r>
          </w:p>
        </w:tc>
      </w:tr>
      <w:tr>
        <w:trPr/>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101.PRE*</w:t>
            </w:r>
          </w:p>
        </w:tc>
        <w:tc>
          <w:tcPr>
            <w:tcW w:w="109"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Inline XBRL Taxonomy Extension Presentation Linkbase Document</w:t>
            </w:r>
          </w:p>
        </w:tc>
      </w:tr>
      <w:tr>
        <w:trPr/>
        <w:tc>
          <w:tcPr>
            <w:tcW w:w="94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w:t>
            </w:r>
          </w:p>
        </w:tc>
        <w:tc>
          <w:tcPr>
            <w:tcW w:w="109"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lineRule="atLeast" w:line="200" w:before="0" w:after="0"/>
              <w:jc w:val="left"/>
              <w:rPr/>
            </w:pPr>
            <w:hyperlink w:anchor="exhibit107-sx1.htm">
              <w:r>
                <w:rPr>
                  <w:rStyle w:val="InternetLink"/>
                  <w:rFonts w:ascii="Times New Roman;sans-serif" w:hAnsi="Times New Roman;sans-serif"/>
                  <w:b w:val="false"/>
                  <w:i w:val="false"/>
                  <w:caps w:val="false"/>
                  <w:smallCaps w:val="false"/>
                  <w:color w:val="0000FF"/>
                  <w:sz w:val="20"/>
                  <w:u w:val="single"/>
                </w:rPr>
                <w:t>Filing Fee Table</w:t>
              </w:r>
            </w:hyperlink>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w:t>
      </w:r>
    </w:p>
    <w:p>
      <w:pPr>
        <w:pStyle w:val="TextBody"/>
        <w:bidi w:val="0"/>
        <w:spacing w:lineRule="atLeast" w:line="160" w:before="0" w:after="0"/>
        <w:jc w:val="left"/>
        <w:rPr/>
      </w:pPr>
      <w:r>
        <w:rPr>
          <w:rFonts w:ascii="Times New Roman;sans-serif" w:hAnsi="Times New Roman;sans-serif"/>
          <w:b w:val="false"/>
          <w:i w:val="false"/>
          <w:caps w:val="false"/>
          <w:smallCaps w:val="false"/>
          <w:strike w:val="false"/>
          <w:dstrike w:val="false"/>
          <w:sz w:val="16"/>
          <w:u w:val="none"/>
          <w:effect w:val="none"/>
        </w:rPr>
        <w:t>*</w:t>
      </w:r>
      <w:r>
        <w:rPr>
          <w:rFonts w:ascii="Times New Roman;sans-serif" w:hAnsi="Times New Roman;sans-serif"/>
          <w:b w:val="false"/>
          <w:i w:val="false"/>
          <w:caps w:val="false"/>
          <w:smallCaps w:val="false"/>
          <w:strike w:val="false"/>
          <w:dstrike w:val="false"/>
          <w:sz w:val="16"/>
          <w:u w:val="none"/>
          <w:effect w:val="none"/>
          <w:shd w:fill="FFFFFF" w:val="clear"/>
        </w:rPr>
        <w:t>Filed herewith</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shd w:fill="FFFFFF" w:val="clear"/>
        </w:rPr>
      </w:pPr>
      <w:r>
        <w:rPr>
          <w:rFonts w:ascii="Times New Roman;sans-serif" w:hAnsi="Times New Roman;sans-serif"/>
          <w:b w:val="false"/>
          <w:i w:val="false"/>
          <w:caps w:val="false"/>
          <w:smallCaps w:val="false"/>
          <w:strike w:val="false"/>
          <w:dstrike w:val="false"/>
          <w:sz w:val="16"/>
          <w:u w:val="none"/>
          <w:effect w:val="none"/>
          <w:shd w:fill="FFFFFF" w:val="clear"/>
        </w:rPr>
        <w:t xml:space="preserve">**     Certain identified information has been excluded from this exhibit pursuant to Rule 601(b)(10) of Regulation S-K because it is both (i) not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shd w:fill="FFFFFF" w:val="clear"/>
        </w:rPr>
      </w:pPr>
      <w:r>
        <w:rPr>
          <w:rFonts w:ascii="Times New Roman;sans-serif" w:hAnsi="Times New Roman;sans-serif"/>
          <w:b w:val="false"/>
          <w:i w:val="false"/>
          <w:caps w:val="false"/>
          <w:smallCaps w:val="false"/>
          <w:strike w:val="false"/>
          <w:dstrike w:val="false"/>
          <w:sz w:val="16"/>
          <w:u w:val="none"/>
          <w:effect w:val="none"/>
          <w:shd w:fill="FFFFFF" w:val="clear"/>
        </w:rPr>
        <w:t>material and (ii) is the type of information that the registrant treats as private or confidential.</w:t>
      </w:r>
    </w:p>
    <w:p>
      <w:pPr>
        <w:pStyle w:val="TextBody"/>
        <w:bidi w:val="0"/>
        <w:spacing w:lineRule="atLeast" w:line="160" w:before="0" w:after="0"/>
        <w:jc w:val="left"/>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16"/>
          <w:u w:val="none"/>
          <w:effect w:val="none"/>
          <w:shd w:fill="FFFFFF" w:val="clear"/>
        </w:rPr>
        <w:t>The Registrant respectfully submits that it has filed a Confidential Treatment Request with the Commission with respect to this exhibit.</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shd w:fill="FFFFFF" w:val="clear"/>
        </w:rPr>
      </w:pPr>
      <w:r>
        <w:rPr>
          <w:rFonts w:ascii="Times New Roman;sans-serif" w:hAnsi="Times New Roman;sans-serif"/>
          <w:b w:val="false"/>
          <w:i w:val="false"/>
          <w:caps w:val="false"/>
          <w:smallCaps w:val="false"/>
          <w:strike w:val="false"/>
          <w:dstrike w:val="false"/>
          <w:sz w:val="16"/>
          <w:u w:val="none"/>
          <w:effect w:val="none"/>
          <w:shd w:fill="FFFFFF" w:val="clear"/>
        </w:rPr>
        <w:t xml:space="preserve">+       Schedules and exhibits have been omitted pursuant to Item 601(b)(2) of Regulation S-K. The registrant agrees to furnish supplementally a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shd w:fill="FFFFFF" w:val="clear"/>
        </w:rPr>
      </w:pPr>
      <w:r>
        <w:rPr>
          <w:rFonts w:ascii="Times New Roman;sans-serif" w:hAnsi="Times New Roman;sans-serif"/>
          <w:b w:val="false"/>
          <w:i w:val="false"/>
          <w:caps w:val="false"/>
          <w:smallCaps w:val="false"/>
          <w:strike w:val="false"/>
          <w:dstrike w:val="false"/>
          <w:sz w:val="16"/>
          <w:u w:val="none"/>
          <w:effect w:val="none"/>
          <w:shd w:fill="FFFFFF" w:val="clear"/>
        </w:rPr>
        <w:t>copy of any omitted schedule or exhibit to the SEC upon request.</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shd w:fill="FFFFFF" w:val="clear"/>
        </w:rPr>
      </w:pPr>
      <w:r>
        <w:rPr>
          <w:rFonts w:ascii="Times New Roman;sans-serif" w:hAnsi="Times New Roman;sans-serif"/>
          <w:b w:val="false"/>
          <w:i w:val="false"/>
          <w:caps w:val="false"/>
          <w:smallCaps w:val="false"/>
          <w:strike w:val="false"/>
          <w:dstrike w:val="false"/>
          <w:sz w:val="16"/>
          <w:u w:val="none"/>
          <w:effect w:val="none"/>
          <w:shd w:fill="FFFFFF" w:val="clear"/>
        </w:rPr>
        <w:t xml:space="preserve">^        Certain schedules have been omitted pursuant to Item 601(a)(5) of Regulation S-K. Innventure, Inc. agrees to furnish a copy of any omitted </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shd w:fill="FFFFFF" w:val="clear"/>
        </w:rPr>
      </w:pPr>
      <w:r>
        <w:rPr>
          <w:rFonts w:ascii="Times New Roman;sans-serif" w:hAnsi="Times New Roman;sans-serif"/>
          <w:b w:val="false"/>
          <w:i w:val="false"/>
          <w:caps w:val="false"/>
          <w:smallCaps w:val="false"/>
          <w:strike w:val="false"/>
          <w:dstrike w:val="false"/>
          <w:sz w:val="16"/>
          <w:u w:val="none"/>
          <w:effect w:val="none"/>
          <w:shd w:fill="FFFFFF" w:val="clear"/>
        </w:rPr>
        <w:t>schedule to the SEC upon request.</w:t>
      </w:r>
    </w:p>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shd w:fill="FFFFFF" w:val="clear"/>
        </w:rPr>
      </w:pPr>
      <w:r>
        <w:rPr>
          <w:rFonts w:ascii="Times New Roman;sans-serif" w:hAnsi="Times New Roman;sans-serif"/>
          <w:b w:val="false"/>
          <w:i w:val="false"/>
          <w:caps w:val="false"/>
          <w:smallCaps w:val="false"/>
          <w:strike w:val="false"/>
          <w:dstrike w:val="false"/>
          <w:sz w:val="16"/>
          <w:u w:val="none"/>
          <w:effect w:val="none"/>
          <w:shd w:fill="FFFFFF" w:val="clear"/>
        </w:rPr>
        <w:t>#       Indicates management contract or compensatory plan or arrangement.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(b)Financial Statement Schedules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Item 17. Undertakings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(a)The undersigned registrant hereby undertakes: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(1)To file, during any period in which offers or sales are being made, a post-effective amendment to this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registration statement: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(i)To include any prospectus required by Section 10(a)(3) of the Securities Act of 1933;</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(ii)To reflect in the prospectus any facts or events arising after the effective date of the registration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statement (or the most recent post- effective amendment thereof) which, individually or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aggregate, represent a fundamental change in the information set forth in the registration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statement. Notwithstanding the foregoing, any increase or decrease in volume of securities offered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(if the total dollar value of securities offered would not exceed that which was registered) and 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deviation from the low or high end of the estimated maximum offering range may be reflected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form of prospectus filed with the Commission pursuant to Rule 424(b) if, in the aggregate,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changes in volume and price represent no more than 20 percent change in the maximum aggregate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offering price set forth in the “Calculation of Filing Fee Tables” in the effective registration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statement.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(iii)To include any material information with respect to the plan of distribution not previously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disclosed in the registration statement or any material change to such information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registration statement.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(2)That, for the purpose of determining any liability under the Securities Act of 1933, each such post-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effective amendment shall be deemed to be a new registration statement relating to the securities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offered therein, and the offering of such securities at that time shall be deemed to be the initial bona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fide offering thereof.</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(3)To remove from registration by means of a post-effective amendment any of the securities being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registered which remain unsold at the termination of the offering.</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(4)That, for the purpose of determining liability under the Securities Act of 1933 to any purchaser, each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prospectus filed pursuant to Rule 424(b):</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(i)shall be deemed to be part of the registration statement as of the date the filed prospectus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deemed part of and included in the registration statement; and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II-9</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(ii)other than registration statements relying on Rule 430B or other than prospectuses filed in reliance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Rule 430A, shall be deemed to be part of and included in the registration statement as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date it is first used after effectiveness. Provided, however, that no statement made in a registration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statement or prospectus that is part of the registration statement or made in a document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incorporated or deemed incorporated by reference into the registration statement or prospectus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 part of the registration statement will, as to a purchaser with a time of contract of sale prior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such first use, supersede or modify any statement that was made in the registration statement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prospectus that was part of the registration statement or made in any such document immediately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prior to such date of first use.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(5)That, for the purpose of determining liability of the registrant under the Securities Act of 1933 to 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purchaser in the initial distribution of the securities: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undersigned registrant undertakes that in a primary offering of securities of the undersigned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registrant pursuant to this registration statement, regardless of the underwriting method used to sell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securities to the purchaser, if the securities are offered or sold to such purchaser by means of any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following communications, the undersigned registrant will be a seller to the purchaser and will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considered to offer or sell such securities to such purchaser: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(i)Any preliminary prospectus or prospectus of the undersigned registrant relating to the offering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required to be filed pursuant to Rule 424;</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(ii)Any free writing prospectus relating to the offering prepared by or on behalf of the undersigned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registrant or used or referred to by the undersigned registrant;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(iii)The portion of any other free writing prospectus relating to the offering containing material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information about the undersigned registrant or its securities provided by or on behalf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undersigned registrant; and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(iv)Any other communication that is an offer in the offering made by the undersigned registrant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purchaser.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(b)Insofar as indemnification for liabilities arising under the Securities Act of 1933 may be permitted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directors, officers and controlling persons of the registrant pursuant to the foregoing provisions,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otherwise, the registrant has been advised that in the opinion of the Securities and Exchange Commission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such indemnification is against public policy as expressed in the Securities Act of 1933 and is, therefore,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unenforceable. In the event that a claim for indemnification against such liabilities (other than the payment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by the registrant of expenses incurred or paid by a director, officer or controlling person of the registrant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successful defense of any action, suit or proceeding) is asserted by such director, officer or controlling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person in connection with the securities being registered, the registrant will, unless in the opinion of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counsel the matter has been settled by controlling precedent, submit to a court of appropriate jurisdiction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question whether such indemnification by it is against public policy as expressed in the Securities Act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of 1933 and will be governed by the final adjudication of such issue.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II-10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SIGNATURES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requirements of the Securities Act of 1933, the registrant has duly caused this registration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 to be signed on its behalf by the undersigned, thereunto duly authorized in the City of Orlando, State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Florida, on April 15, 2025.</w:t>
      </w:r>
    </w:p>
    <w:tbl>
      <w:tblPr>
        <w:tblW w:w="3876" w:type="dxa"/>
        <w:jc w:val="left"/>
        <w:tblInd w:w="0" w:type="dxa"/>
        <w:tblLayout w:type="fixed"/>
        <w:tblCellMar>
          <w:top w:w="28" w:type="dxa"/>
          <w:left w:w="28" w:type="dxa"/>
          <w:bottom w:w="28" w:type="dxa"/>
          <w:right w:w="28" w:type="dxa"/>
        </w:tblCellMar>
      </w:tblPr>
      <w:tblGrid>
        <w:gridCol w:w="124"/>
        <w:gridCol w:w="631"/>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INNVENTURE,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By:</w:t>
            </w:r>
          </w:p>
        </w:tc>
        <w:tc>
          <w:tcPr>
            <w:tcW w:w="31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Gregory W. Haskell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Name:</w:t>
            </w:r>
          </w:p>
        </w:tc>
        <w:tc>
          <w:tcPr>
            <w:tcW w:w="312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Gregory W. Haskell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Title:</w:t>
            </w:r>
          </w:p>
        </w:tc>
        <w:tc>
          <w:tcPr>
            <w:tcW w:w="312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Chief Executive Officer and Director</w:t>
            </w:r>
          </w:p>
        </w:tc>
      </w:tr>
    </w:tbl>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Power of Attorney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KNOW ALL PERSONS BY THESE PRESENTS, that each person whose signature appears below constitutes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appoints David Yablunosky and Suzanne Niemeyer, and each of them, his or her true and lawful attorneys-in-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fact and agents, each with full power of substitution and resubstitution, for him or her and in his or her name, place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stead, in any and all capacities, to sign any or all amendments (including post-effective amendments) to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registration statement and any and all related registration statements pursuant to Rule 462(b) of the Securities Act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1933, and to file the same, with all exhibits thereto, and other documents in connection therewith, with the Securities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Exchange Commission, hereby ratifying and confirming all that said attorneys-in-fact and agents, or any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them, or their substitute or substitutes, may lawfully do or cause to be done by virtue hereof.</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requirements of the Securities Act of 1933, this registration statement has been signed below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persons in the capacities and on the dates indicated.</w:t>
      </w:r>
    </w:p>
    <w:tbl>
      <w:tblPr>
        <w:tblW w:w="7031" w:type="dxa"/>
        <w:jc w:val="left"/>
        <w:tblInd w:w="0" w:type="dxa"/>
        <w:tblLayout w:type="fixed"/>
        <w:tblCellMar>
          <w:top w:w="28" w:type="dxa"/>
          <w:left w:w="28" w:type="dxa"/>
          <w:bottom w:w="28" w:type="dxa"/>
          <w:right w:w="28" w:type="dxa"/>
        </w:tblCellMar>
      </w:tblPr>
      <w:tblGrid>
        <w:gridCol w:w="1996"/>
        <w:gridCol w:w="109"/>
        <w:gridCol w:w="3481"/>
        <w:gridCol w:w="109"/>
        <w:gridCol w:w="1336"/>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sz w:val="16"/>
                <w:u w:val="none"/>
                <w:effect w:val="none"/>
              </w:rPr>
            </w:pPr>
            <w:r>
              <w:rPr>
                <w:rFonts w:ascii="Times New Roman;sans-serif" w:hAnsi="Times New Roman;sans-serif"/>
                <w:b/>
                <w:i w:val="false"/>
                <w:caps w:val="false"/>
                <w:smallCaps w:val="false"/>
                <w:strike w:val="false"/>
                <w:dstrike w:val="false"/>
                <w:sz w:val="16"/>
                <w:u w:val="none"/>
                <w:effect w:val="none"/>
              </w:rPr>
              <w:t>Signature</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Title</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Date</w:t>
            </w:r>
          </w:p>
        </w:tc>
      </w:tr>
      <w:tr>
        <w:trPr/>
        <w:tc>
          <w:tcPr>
            <w:tcW w:w="19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Gregory W. Haskell</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Chief Executive Officer and Director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(Principal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Gregory W. Haskell</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David Yablunosky</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Chief Financial Officer and Director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(Principal Financial Officer and Principal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David Yablunosky</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Michael Otworth</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Executive Chairman and 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Michael Otworth</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Suzanne Niemeyer</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General Counsel and 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Suzanne Niemeyer</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James O. Donnally</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James O. Donnally</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Bruce Brown</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Bruce Brown</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Elizabeth Williams</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Elizabeth Williams</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Daniel J. Hennessy</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Daniel J. Hennessy</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 Michael Amalfitano</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April 15, 2025</w:t>
            </w:r>
          </w:p>
        </w:tc>
      </w:tr>
      <w:tr>
        <w:trPr/>
        <w:tc>
          <w:tcPr>
            <w:tcW w:w="19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Michael Amalfitano</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vMerge w:val="continue"/>
            <w:tcBorders/>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S-1</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Innventure, Inc.</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2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1—Newly Registered and Carry Forward Securities</w:t>
      </w:r>
    </w:p>
    <w:tbl>
      <w:tblPr>
        <w:tblW w:w="11383" w:type="dxa"/>
        <w:jc w:val="left"/>
        <w:tblInd w:w="0" w:type="dxa"/>
        <w:tblLayout w:type="fixed"/>
        <w:tblCellMar>
          <w:top w:w="28" w:type="dxa"/>
          <w:left w:w="28" w:type="dxa"/>
          <w:bottom w:w="28" w:type="dxa"/>
          <w:right w:w="28" w:type="dxa"/>
        </w:tblCellMar>
      </w:tblPr>
      <w:tblGrid>
        <w:gridCol w:w="163"/>
        <w:gridCol w:w="143"/>
        <w:gridCol w:w="145"/>
        <w:gridCol w:w="245"/>
        <w:gridCol w:w="245"/>
        <w:gridCol w:w="246"/>
        <w:gridCol w:w="275"/>
        <w:gridCol w:w="245"/>
        <w:gridCol w:w="246"/>
        <w:gridCol w:w="330"/>
        <w:gridCol w:w="330"/>
        <w:gridCol w:w="331"/>
        <w:gridCol w:w="320"/>
        <w:gridCol w:w="320"/>
        <w:gridCol w:w="321"/>
        <w:gridCol w:w="300"/>
        <w:gridCol w:w="300"/>
        <w:gridCol w:w="301"/>
        <w:gridCol w:w="630"/>
        <w:gridCol w:w="300"/>
        <w:gridCol w:w="301"/>
        <w:gridCol w:w="304"/>
        <w:gridCol w:w="304"/>
        <w:gridCol w:w="308"/>
        <w:gridCol w:w="350"/>
        <w:gridCol w:w="350"/>
        <w:gridCol w:w="351"/>
        <w:gridCol w:w="260"/>
        <w:gridCol w:w="260"/>
        <w:gridCol w:w="261"/>
        <w:gridCol w:w="260"/>
        <w:gridCol w:w="260"/>
        <w:gridCol w:w="261"/>
        <w:gridCol w:w="260"/>
        <w:gridCol w:w="260"/>
        <w:gridCol w:w="261"/>
        <w:gridCol w:w="303"/>
        <w:gridCol w:w="303"/>
        <w:gridCol w:w="43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Security Type</w:t>
            </w:r>
          </w:p>
        </w:tc>
        <w:tc>
          <w:tcPr>
            <w:tcW w:w="76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Security Class Title</w:t>
            </w:r>
          </w:p>
        </w:tc>
        <w:tc>
          <w:tcPr>
            <w:tcW w:w="99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Fee Calculation or Carry Forward Rule</w:t>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Amount Registered</w:t>
            </w:r>
            <w:r>
              <w:rPr>
                <w:rFonts w:ascii="Times New Roman;sans-serif" w:hAnsi="Times New Roman;sans-serif"/>
                <w:b/>
                <w:color w:val="000000"/>
                <w:sz w:val="12"/>
              </w:rPr>
              <w:t>(1)</w:t>
            </w:r>
          </w:p>
        </w:tc>
        <w:tc>
          <w:tcPr>
            <w:tcW w:w="90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Proposed Maximum Offering Price Per Unit</w:t>
            </w:r>
          </w:p>
        </w:tc>
        <w:tc>
          <w:tcPr>
            <w:tcW w:w="123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Maximum Aggregate Offering Price</w:t>
            </w:r>
          </w:p>
        </w:tc>
        <w:tc>
          <w:tcPr>
            <w:tcW w:w="91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Fee Rate</w:t>
            </w:r>
          </w:p>
        </w:tc>
        <w:tc>
          <w:tcPr>
            <w:tcW w:w="105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Registration Fee</w:t>
            </w:r>
          </w:p>
        </w:tc>
        <w:tc>
          <w:tcPr>
            <w:tcW w:w="78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Carry Forward Form Type</w:t>
            </w:r>
          </w:p>
        </w:tc>
        <w:tc>
          <w:tcPr>
            <w:tcW w:w="78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Carry Forward File Number</w:t>
            </w:r>
          </w:p>
        </w:tc>
        <w:tc>
          <w:tcPr>
            <w:tcW w:w="78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Carry Forward Initial Effective Date</w:t>
            </w:r>
          </w:p>
        </w:tc>
        <w:tc>
          <w:tcPr>
            <w:tcW w:w="103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Filing Fee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Previously</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Paid In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Connection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with</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Unsold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be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Carried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Forward</w:t>
            </w:r>
          </w:p>
        </w:tc>
      </w:tr>
      <w:tr>
        <w:trPr/>
        <w:tc>
          <w:tcPr>
            <w:tcW w:w="11383" w:type="dxa"/>
            <w:gridSpan w:val="39"/>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Newly Registered Securities</w:t>
            </w:r>
          </w:p>
        </w:tc>
      </w:tr>
      <w:tr>
        <w:trPr/>
        <w:tc>
          <w:tcPr>
            <w:tcW w:w="45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Fees to Be Paid</w:t>
            </w:r>
          </w:p>
        </w:tc>
        <w:tc>
          <w:tcPr>
            <w:tcW w:w="73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7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(2)</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8,480,518</w:t>
            </w:r>
            <w:r>
              <w:rPr>
                <w:color w:val="000000"/>
              </w:rPr>
              <w:t xml:space="preserve"> </w:t>
            </w:r>
            <w:r>
              <w:rPr>
                <w:rFonts w:ascii="Times New Roman;sans-serif" w:hAnsi="Times New Roman;sans-serif"/>
                <w:b w:val="false"/>
                <w:color w:val="000000"/>
                <w:sz w:val="12"/>
              </w:rPr>
              <w:t>(3)</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$3.45</w:t>
            </w:r>
            <w:r>
              <w:rPr>
                <w:color w:val="000000"/>
              </w:rPr>
              <w:t xml:space="preserve"> </w:t>
            </w:r>
            <w:r>
              <w:rPr>
                <w:rFonts w:ascii="Times New Roman;sans-serif" w:hAnsi="Times New Roman;sans-serif"/>
                <w:b w:val="false"/>
                <w:color w:val="000000"/>
                <w:sz w:val="12"/>
              </w:rPr>
              <w:t>(2)</w:t>
            </w:r>
          </w:p>
        </w:tc>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$29,257,787.10</w:t>
            </w:r>
            <w:r>
              <w:rPr>
                <w:color w:val="000000"/>
              </w:rPr>
              <w:t xml:space="preserve"> </w:t>
            </w:r>
            <w:r>
              <w:rPr>
                <w:rFonts w:ascii="Times New Roman;sans-serif" w:hAnsi="Times New Roman;sans-serif"/>
                <w:b w:val="false"/>
                <w:color w:val="000000"/>
                <w:sz w:val="12"/>
              </w:rPr>
              <w:t>(2)</w:t>
            </w:r>
          </w:p>
        </w:tc>
        <w:tc>
          <w:tcPr>
            <w:tcW w:w="91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$153.10 per $1,000,000</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$4,479.37</w:t>
            </w:r>
            <w:r>
              <w:rPr>
                <w:color w:val="000000"/>
              </w:rPr>
              <w:t xml:space="preserve"> </w:t>
            </w:r>
            <w:r>
              <w:rPr>
                <w:rFonts w:ascii="Times New Roman;sans-serif" w:hAnsi="Times New Roman;sans-serif"/>
                <w:b w:val="false"/>
                <w:color w:val="000000"/>
                <w:sz w:val="12"/>
              </w:rPr>
              <w:t>(2)</w:t>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Fees to Be Paid</w:t>
            </w:r>
          </w:p>
        </w:tc>
        <w:tc>
          <w:tcPr>
            <w:tcW w:w="73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7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(2)</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 xml:space="preserve">4,100,000 </w:t>
            </w:r>
            <w:r>
              <w:rPr>
                <w:rFonts w:ascii="Times New Roman;sans-serif" w:hAnsi="Times New Roman;sans-serif"/>
                <w:b w:val="false"/>
                <w:color w:val="000000"/>
                <w:sz w:val="12"/>
              </w:rPr>
              <w:t>(4)</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 xml:space="preserve">$3.45 </w:t>
            </w:r>
            <w:r>
              <w:rPr>
                <w:rFonts w:ascii="Times New Roman;sans-serif" w:hAnsi="Times New Roman;sans-serif"/>
                <w:b w:val="false"/>
                <w:color w:val="000000"/>
                <w:sz w:val="12"/>
              </w:rPr>
              <w:t>(2)</w:t>
            </w:r>
          </w:p>
        </w:tc>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$14,145,000.00</w:t>
            </w:r>
            <w:r>
              <w:rPr>
                <w:color w:val="000000"/>
              </w:rPr>
              <w:t xml:space="preserve"> </w:t>
            </w:r>
            <w:r>
              <w:rPr>
                <w:rFonts w:ascii="Times New Roman;sans-serif" w:hAnsi="Times New Roman;sans-serif"/>
                <w:b w:val="false"/>
                <w:color w:val="000000"/>
                <w:sz w:val="12"/>
              </w:rPr>
              <w:t>(2)</w:t>
            </w:r>
          </w:p>
        </w:tc>
        <w:tc>
          <w:tcPr>
            <w:tcW w:w="91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$153.10 per $1,000,000</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$2,165.60</w:t>
            </w:r>
            <w:r>
              <w:rPr>
                <w:color w:val="000000"/>
              </w:rPr>
              <w:t xml:space="preserve"> </w:t>
            </w:r>
            <w:r>
              <w:rPr>
                <w:rFonts w:ascii="Times New Roman;sans-serif" w:hAnsi="Times New Roman;sans-serif"/>
                <w:b w:val="false"/>
                <w:color w:val="000000"/>
                <w:sz w:val="12"/>
              </w:rPr>
              <w:t>(2)</w:t>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Fees to Be Paid</w:t>
            </w:r>
          </w:p>
        </w:tc>
        <w:tc>
          <w:tcPr>
            <w:tcW w:w="73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7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(2)</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85,471</w:t>
            </w:r>
            <w:r>
              <w:rPr>
                <w:rFonts w:ascii="Times New Roman;sans-serif" w:hAnsi="Times New Roman;sans-serif"/>
                <w:b w:val="false"/>
                <w:color w:val="000000"/>
                <w:sz w:val="12"/>
              </w:rPr>
              <w:t>(5)</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$3.45</w:t>
            </w:r>
            <w:r>
              <w:rPr>
                <w:color w:val="000000"/>
              </w:rPr>
              <w:t xml:space="preserve"> </w:t>
            </w:r>
            <w:r>
              <w:rPr>
                <w:rFonts w:ascii="Times New Roman;sans-serif" w:hAnsi="Times New Roman;sans-serif"/>
                <w:b w:val="false"/>
                <w:color w:val="000000"/>
                <w:sz w:val="12"/>
              </w:rPr>
              <w:t>(2)</w:t>
            </w:r>
          </w:p>
        </w:tc>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$294,874.95</w:t>
            </w:r>
            <w:r>
              <w:rPr>
                <w:color w:val="000000"/>
              </w:rPr>
              <w:t xml:space="preserve"> </w:t>
            </w:r>
            <w:r>
              <w:rPr>
                <w:rFonts w:ascii="Times New Roman;sans-serif" w:hAnsi="Times New Roman;sans-serif"/>
                <w:b w:val="false"/>
                <w:color w:val="000000"/>
                <w:sz w:val="12"/>
              </w:rPr>
              <w:t>(2)</w:t>
            </w:r>
          </w:p>
        </w:tc>
        <w:tc>
          <w:tcPr>
            <w:tcW w:w="91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$153.10 per $1,000,000</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$45.15</w:t>
            </w:r>
            <w:r>
              <w:rPr>
                <w:color w:val="000000"/>
              </w:rPr>
              <w:t xml:space="preserve"> </w:t>
            </w:r>
            <w:r>
              <w:rPr>
                <w:rFonts w:ascii="Times New Roman;sans-serif" w:hAnsi="Times New Roman;sans-serif"/>
                <w:b w:val="false"/>
                <w:color w:val="000000"/>
                <w:sz w:val="12"/>
              </w:rPr>
              <w:t>(2)</w:t>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Fees to Be Paid</w:t>
            </w:r>
          </w:p>
        </w:tc>
        <w:tc>
          <w:tcPr>
            <w:tcW w:w="73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76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9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(2)</w:t>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3,000,000</w:t>
            </w:r>
            <w:r>
              <w:rPr>
                <w:color w:val="000000"/>
              </w:rPr>
              <w:t xml:space="preserve"> </w:t>
            </w:r>
            <w:r>
              <w:rPr>
                <w:rFonts w:ascii="Times New Roman;sans-serif" w:hAnsi="Times New Roman;sans-serif"/>
                <w:b w:val="false"/>
                <w:color w:val="000000"/>
                <w:sz w:val="12"/>
              </w:rPr>
              <w:t>(6)</w:t>
            </w:r>
          </w:p>
        </w:tc>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$3.45</w:t>
            </w:r>
            <w:r>
              <w:rPr>
                <w:color w:val="000000"/>
              </w:rPr>
              <w:t xml:space="preserve"> </w:t>
            </w:r>
            <w:r>
              <w:rPr>
                <w:rFonts w:ascii="Times New Roman;sans-serif" w:hAnsi="Times New Roman;sans-serif"/>
                <w:b w:val="false"/>
                <w:color w:val="000000"/>
                <w:sz w:val="12"/>
              </w:rPr>
              <w:t>(2)</w:t>
            </w:r>
          </w:p>
        </w:tc>
        <w:tc>
          <w:tcPr>
            <w:tcW w:w="12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$10,350,000.00</w:t>
            </w:r>
            <w:r>
              <w:rPr>
                <w:color w:val="000000"/>
              </w:rPr>
              <w:t xml:space="preserve"> </w:t>
            </w:r>
            <w:r>
              <w:rPr>
                <w:rFonts w:ascii="Times New Roman;sans-serif" w:hAnsi="Times New Roman;sans-serif"/>
                <w:b w:val="false"/>
                <w:color w:val="000000"/>
                <w:sz w:val="12"/>
              </w:rPr>
              <w:t>(2)</w:t>
            </w:r>
          </w:p>
        </w:tc>
        <w:tc>
          <w:tcPr>
            <w:tcW w:w="91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$153.10 per $1,000,000</w:t>
            </w:r>
          </w:p>
        </w:tc>
        <w:tc>
          <w:tcPr>
            <w:tcW w:w="10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$1,584.59</w:t>
            </w:r>
            <w:r>
              <w:rPr>
                <w:color w:val="000000"/>
              </w:rPr>
              <w:t xml:space="preserve"> </w:t>
            </w:r>
            <w:r>
              <w:rPr>
                <w:rFonts w:ascii="Times New Roman;sans-serif" w:hAnsi="Times New Roman;sans-serif"/>
                <w:b w:val="false"/>
                <w:color w:val="000000"/>
                <w:sz w:val="12"/>
              </w:rPr>
              <w:t>(2)</w:t>
            </w:r>
          </w:p>
        </w:tc>
        <w:tc>
          <w:tcPr>
            <w:tcW w:w="78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4"/>
        <w:gridCol w:w="295"/>
        <w:gridCol w:w="254"/>
        <w:gridCol w:w="190"/>
        <w:gridCol w:w="190"/>
        <w:gridCol w:w="191"/>
        <w:gridCol w:w="619"/>
        <w:gridCol w:w="619"/>
        <w:gridCol w:w="622"/>
        <w:gridCol w:w="199"/>
        <w:gridCol w:w="199"/>
        <w:gridCol w:w="201"/>
        <w:gridCol w:w="259"/>
        <w:gridCol w:w="259"/>
        <w:gridCol w:w="261"/>
        <w:gridCol w:w="199"/>
        <w:gridCol w:w="199"/>
        <w:gridCol w:w="201"/>
        <w:gridCol w:w="409"/>
        <w:gridCol w:w="409"/>
        <w:gridCol w:w="413"/>
        <w:gridCol w:w="435"/>
        <w:gridCol w:w="435"/>
        <w:gridCol w:w="437"/>
        <w:gridCol w:w="274"/>
        <w:gridCol w:w="274"/>
        <w:gridCol w:w="278"/>
        <w:gridCol w:w="115"/>
        <w:gridCol w:w="115"/>
        <w:gridCol w:w="116"/>
        <w:gridCol w:w="115"/>
        <w:gridCol w:w="115"/>
        <w:gridCol w:w="116"/>
        <w:gridCol w:w="115"/>
        <w:gridCol w:w="115"/>
        <w:gridCol w:w="116"/>
        <w:gridCol w:w="114"/>
        <w:gridCol w:w="114"/>
        <w:gridCol w:w="174"/>
      </w:tblGrid>
      <w:tr>
        <w:trPr/>
        <w:tc>
          <w:tcPr>
            <w:tcW w:w="44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Fees to Be Paid</w:t>
            </w:r>
          </w:p>
        </w:tc>
        <w:tc>
          <w:tcPr>
            <w:tcW w:w="57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86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5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(7)</w:t>
            </w:r>
          </w:p>
        </w:tc>
        <w:tc>
          <w:tcPr>
            <w:tcW w:w="7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300,000</w:t>
            </w:r>
            <w:r>
              <w:rPr>
                <w:rFonts w:ascii="Times New Roman;sans-serif" w:hAnsi="Times New Roman;sans-serif"/>
                <w:b w:val="false"/>
                <w:color w:val="000000"/>
                <w:sz w:val="12"/>
              </w:rPr>
              <w:t>(8)</w:t>
            </w:r>
          </w:p>
        </w:tc>
        <w:tc>
          <w:tcPr>
            <w:tcW w:w="5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$0.01</w:t>
            </w:r>
            <w:r>
              <w:rPr>
                <w:rFonts w:ascii="Times New Roman;sans-serif" w:hAnsi="Times New Roman;sans-serif"/>
                <w:b w:val="false"/>
                <w:color w:val="000000"/>
                <w:sz w:val="12"/>
              </w:rPr>
              <w:t>(7)</w:t>
            </w:r>
          </w:p>
        </w:tc>
        <w:tc>
          <w:tcPr>
            <w:tcW w:w="12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$3,000</w:t>
            </w:r>
            <w:r>
              <w:rPr>
                <w:rFonts w:ascii="Times New Roman;sans-serif" w:hAnsi="Times New Roman;sans-serif"/>
                <w:b w:val="false"/>
                <w:color w:val="000000"/>
                <w:sz w:val="12"/>
              </w:rPr>
              <w:t>(7)</w:t>
            </w:r>
          </w:p>
        </w:tc>
        <w:tc>
          <w:tcPr>
            <w:tcW w:w="1307"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$153.10 per $1,000,000</w:t>
            </w:r>
          </w:p>
        </w:tc>
        <w:tc>
          <w:tcPr>
            <w:tcW w:w="8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$0.46</w:t>
            </w:r>
            <w:r>
              <w:rPr>
                <w:color w:val="000000"/>
              </w:rPr>
              <w:t xml:space="preserve"> </w:t>
            </w:r>
            <w:r>
              <w:rPr>
                <w:rFonts w:ascii="Times New Roman;sans-serif" w:hAnsi="Times New Roman;sans-serif"/>
                <w:b w:val="false"/>
                <w:color w:val="000000"/>
                <w:sz w:val="12"/>
              </w:rPr>
              <w:t>(7)</w:t>
            </w:r>
          </w:p>
        </w:tc>
        <w:tc>
          <w:tcPr>
            <w:tcW w:w="3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Carry Forward Securities</w:t>
            </w:r>
          </w:p>
        </w:tc>
      </w:tr>
      <w:tr>
        <w:trPr/>
        <w:tc>
          <w:tcPr>
            <w:tcW w:w="9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Carry</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Forward</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w:t>
            </w:r>
          </w:p>
        </w:tc>
        <w:tc>
          <w:tcPr>
            <w:tcW w:w="57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86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color w:val="000000"/>
              </w:rPr>
            </w:pPr>
            <w:r>
              <w:rPr>
                <w:color w:val="000000"/>
              </w:rPr>
              <w:t>—</w:t>
            </w:r>
          </w:p>
        </w:tc>
        <w:tc>
          <w:tcPr>
            <w:tcW w:w="59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color w:val="000000"/>
              </w:rPr>
            </w:pPr>
            <w:r>
              <w:rPr>
                <w:color w:val="000000"/>
              </w:rPr>
              <w:t>—</w:t>
            </w:r>
          </w:p>
        </w:tc>
        <w:tc>
          <w:tcPr>
            <w:tcW w:w="77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color w:val="000000"/>
              </w:rPr>
            </w:pPr>
            <w:r>
              <w:rPr>
                <w:color w:val="000000"/>
              </w:rPr>
              <w:t>—</w:t>
            </w:r>
          </w:p>
        </w:tc>
        <w:tc>
          <w:tcPr>
            <w:tcW w:w="5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23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130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3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3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3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402"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color w:val="000000"/>
              </w:rPr>
            </w:pPr>
            <w:r>
              <w:rPr>
                <w:color w:val="000000"/>
              </w:rPr>
              <w:t>—</w:t>
            </w:r>
          </w:p>
        </w:tc>
      </w:tr>
      <w:tr>
        <w:trPr/>
        <w:tc>
          <w:tcPr>
            <w:tcW w:w="9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2"/>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Offering Amounts</w:t>
            </w:r>
          </w:p>
        </w:tc>
        <w:tc>
          <w:tcPr>
            <w:tcW w:w="59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$54,050,662.05</w:t>
            </w:r>
          </w:p>
        </w:tc>
        <w:tc>
          <w:tcPr>
            <w:tcW w:w="13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$8,275.16</w:t>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2"/>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Fees Previously Paid</w:t>
            </w:r>
          </w:p>
        </w:tc>
        <w:tc>
          <w:tcPr>
            <w:tcW w:w="59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2"/>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Fee Offsets</w:t>
            </w:r>
          </w:p>
        </w:tc>
        <w:tc>
          <w:tcPr>
            <w:tcW w:w="59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809" w:type="dxa"/>
            <w:gridSpan w:val="12"/>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Net Fees Due</w:t>
            </w:r>
          </w:p>
        </w:tc>
        <w:tc>
          <w:tcPr>
            <w:tcW w:w="59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$8,275.16</w:t>
            </w:r>
          </w:p>
        </w:tc>
        <w:tc>
          <w:tcPr>
            <w:tcW w:w="3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Represents the common stock, par value $0.0001 per share (“Common Stock”), of Innventure, Inc. (the “Company”) that will be offered for sale by the Company and the selling stockholders (the “Selling Stockholders”) named in the prospectus that forms a part of the Company’s registration statement on Form S-1 (the “Registration Statement”) to which this exhibit relates. Pursuant to Rule 416(a) under the Securities Act of 1933, as amended (the “Securities Act”), the Common Stock being registered under the Registration Statement includes such indeterminate number of additional Common Stock as may be issuable as a result of stock splits, stock dividends or similar transactions with respect to the Common Stock being registered under the Registration Statement. Additionally, pursuant to Rule 416(b) under the Securities Act, if prior to the completion of the distribution of the Common Stock registered under the Registration Statement all Common Stock are combined by a reverse stock split into a lesser number of Common Stock, the number of undistributed Common Stock covered by the Registration Statement shall be proportionately reduced.</w:t>
      </w:r>
    </w:p>
    <w:p>
      <w:pPr>
        <w:pStyle w:val="TextBody"/>
        <w:bidi w:val="0"/>
        <w:spacing w:lineRule="auto" w:line="288" w:before="0" w:after="2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Estimated solely for the purpose of calculating the amount of registration fee pursuant to Rule 457(c) under the Securities Act. The proposed maximum offering price per unit and proposed maximum aggregate offering price are based on the average of the high and low sales price of the Common Stock as reported on the Nasdaq Stock Market LLC on April 11, 2025 of $3.45. </w:t>
      </w:r>
    </w:p>
    <w:p>
      <w:pPr>
        <w:pStyle w:val="TextBody"/>
        <w:bidi w:val="0"/>
        <w:spacing w:lineRule="auto" w:line="288" w:before="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Represents up to 8,480,518 shares of Common Stock issuable upon conversion of Series C Preferred Stock, par value $0.0001 per share (the “Series C Preferred Stock”), which Series C Preferred Stock was issued pursuant to those certain preferred stock purchase agreements, dated March 24, 2025, among the Company and certain purchasers party thereto. </w:t>
      </w:r>
    </w:p>
    <w:p>
      <w:pPr>
        <w:pStyle w:val="TextBody"/>
        <w:bidi w:val="0"/>
        <w:spacing w:lineRule="auto" w:line="288" w:before="0" w:after="20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Represents up to 4,100,000 shares of Common Stock that the Company may issue and sell to YA II PN, Ltd., a Cayman Islands exempted company (“Yorkville”), from time to time pursuant to the Standby Equity Purchase Agreement, dated October 24, 2023, between the Company and Yorkville.</w:t>
      </w:r>
    </w:p>
    <w:p>
      <w:pPr>
        <w:pStyle w:val="TextBody"/>
        <w:bidi w:val="0"/>
        <w:spacing w:lineRule="auto" w:line="288" w:before="0" w:after="20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 xml:space="preserve">Represents 85,471 shares of Common Stock issued to Ducera Partners LLC and its affiliates (“Ducera”) in consideration of Ducera’s financial advisory and investment banking services pursuant to the terms of an engagement letter. </w:t>
      </w:r>
    </w:p>
    <w:p>
      <w:pPr>
        <w:pStyle w:val="TextBody"/>
        <w:bidi w:val="0"/>
        <w:spacing w:lineRule="auto" w:line="288" w:before="0" w:after="200"/>
        <w:jc w:val="both"/>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 xml:space="preserve">Represents up to 3,000,000 shares of Common Stock issuable upon conversion of convertible debentures (“Convertible Debentures”), issued and issuable to Yorkville pursuant to the securities purchase agreement, dated March 25, 2025, between the Company and Yorkville.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Pursuant to Rule 457(g) under the Securities Act and solely for the purpose of calculating the registration fee with respect to the shares of Common Stock issuable upon exercise of the 2025 WTI Warrants (as defined below), expiring March 31, 2035, the proposed maximum offering price per unit and proposed maximum aggregate offering price are based upon the exercise price of the 2025 WTI Warrants of $0.01 per share.</w:t>
      </w:r>
    </w:p>
    <w:p>
      <w:pPr>
        <w:pStyle w:val="TextBody"/>
        <w:bidi w:val="0"/>
        <w:spacing w:lineRule="auto" w:line="288" w:before="0" w:after="200"/>
        <w:jc w:val="both"/>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20"/>
        </w:rPr>
        <w:t xml:space="preserve">Represents 300,000 shares of Common Stock that may be issued upon exercise of warrants (the “2025 WTI Warrants”) to purchase Common Stock held by WTI Fund X, LLC and WTI Fund XI, LLC. </w:t>
      </w:r>
    </w:p>
    <w:p>
      <w:pPr>
        <w:pStyle w:val="TextBody"/>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3—Combined Prospectuses</w:t>
      </w:r>
    </w:p>
    <w:tbl>
      <w:tblPr>
        <w:tblW w:w="10205" w:type="dxa"/>
        <w:jc w:val="left"/>
        <w:tblInd w:w="0" w:type="dxa"/>
        <w:tblLayout w:type="fixed"/>
        <w:tblCellMar>
          <w:top w:w="28" w:type="dxa"/>
          <w:left w:w="28" w:type="dxa"/>
          <w:bottom w:w="28" w:type="dxa"/>
          <w:right w:w="28" w:type="dxa"/>
        </w:tblCellMar>
      </w:tblPr>
      <w:tblGrid>
        <w:gridCol w:w="333"/>
        <w:gridCol w:w="293"/>
        <w:gridCol w:w="294"/>
        <w:gridCol w:w="593"/>
        <w:gridCol w:w="575"/>
        <w:gridCol w:w="577"/>
        <w:gridCol w:w="658"/>
        <w:gridCol w:w="631"/>
        <w:gridCol w:w="633"/>
        <w:gridCol w:w="1012"/>
        <w:gridCol w:w="903"/>
        <w:gridCol w:w="906"/>
        <w:gridCol w:w="231"/>
        <w:gridCol w:w="231"/>
        <w:gridCol w:w="232"/>
        <w:gridCol w:w="290"/>
        <w:gridCol w:w="290"/>
        <w:gridCol w:w="292"/>
        <w:gridCol w:w="396"/>
        <w:gridCol w:w="341"/>
        <w:gridCol w:w="494"/>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Security Type</w:t>
            </w:r>
          </w:p>
        </w:tc>
        <w:tc>
          <w:tcPr>
            <w:tcW w:w="174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Security Class Title</w:t>
            </w:r>
          </w:p>
        </w:tc>
        <w:tc>
          <w:tcPr>
            <w:tcW w:w="192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Securities Previously Registered</w:t>
            </w:r>
          </w:p>
        </w:tc>
        <w:tc>
          <w:tcPr>
            <w:tcW w:w="28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Maximum Aggregate Offering Price of Securities Previously Registered</w:t>
            </w:r>
          </w:p>
        </w:tc>
        <w:tc>
          <w:tcPr>
            <w:tcW w:w="69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Form Type</w:t>
            </w:r>
          </w:p>
        </w:tc>
        <w:tc>
          <w:tcPr>
            <w:tcW w:w="87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File Number</w:t>
            </w:r>
          </w:p>
        </w:tc>
        <w:tc>
          <w:tcPr>
            <w:tcW w:w="12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Initial Effective Date</w:t>
            </w:r>
          </w:p>
        </w:tc>
      </w:tr>
      <w:tr>
        <w:trPr/>
        <w:tc>
          <w:tcPr>
            <w:tcW w:w="92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74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92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8"/>
              </w:rPr>
              <w:t>18,386,688</w:t>
            </w:r>
            <w:r>
              <w:rPr>
                <w:rFonts w:ascii="Times New Roman;sans-serif" w:hAnsi="Times New Roman;sans-serif"/>
                <w:b w:val="false"/>
                <w:color w:val="000000"/>
                <w:sz w:val="12"/>
              </w:rPr>
              <w:t>(9)</w:t>
            </w:r>
          </w:p>
        </w:tc>
        <w:tc>
          <w:tcPr>
            <w:tcW w:w="282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$211,446,912</w:t>
            </w:r>
          </w:p>
        </w:tc>
        <w:tc>
          <w:tcPr>
            <w:tcW w:w="69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87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333-276714</w:t>
            </w:r>
          </w:p>
        </w:tc>
        <w:tc>
          <w:tcPr>
            <w:tcW w:w="123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10, 2024</w:t>
            </w:r>
          </w:p>
        </w:tc>
      </w:tr>
    </w:tbl>
    <w:p>
      <w:pPr>
        <w:pStyle w:val="TextBody"/>
        <w:bidi w:val="0"/>
        <w:spacing w:lineRule="auto" w:line="288" w:before="0" w:after="200"/>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Represents the issuance of up to 18,386,688 shares of Common Stock that may be issued upon the exercise of 18,386,688 warrants to purchase common stock at an exercise price of $11.50 per share. No registration fee is payable in connection with such securities, which were previously registered on a Registration Statement on Form S-4 (File No. 333-276714) (the “Prior Registration Statement”), which was declared effective on September 10, 2024, because such securities are being transferred from the Prior Registration Statement pursuant to Rule 429 under the Securities Act. Reflects the portion of the original amount that was registered on such Form S-4 and is being carried forward to this Registration Statement on Form S-1. See “</w:t>
      </w:r>
      <w:r>
        <w:rPr>
          <w:rFonts w:ascii="Times New Roman;sans-serif" w:hAnsi="Times New Roman;sans-serif"/>
          <w:b w:val="false"/>
          <w:i/>
          <w:color w:val="000000"/>
          <w:sz w:val="20"/>
        </w:rPr>
        <w:t>Explanatory Note and Statement Pursuant to Rule 429</w:t>
      </w:r>
      <w:r>
        <w:rPr>
          <w:color w:val="000000"/>
        </w:rPr>
        <w:t xml:space="preserve">” </w:t>
      </w:r>
      <w:r>
        <w:rPr>
          <w:rFonts w:ascii="Times New Roman;sans-serif" w:hAnsi="Times New Roman;sans-serif"/>
          <w:b w:val="false"/>
          <w:color w:val="000000"/>
          <w:sz w:val="20"/>
        </w:rPr>
        <w:t>in this Registration Statement.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5.1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drawing>
          <wp:inline distT="0" distB="0" distL="0" distR="0">
            <wp:extent cx="1371600" cy="152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86"/>
                    <a:stretch>
                      <a:fillRect/>
                    </a:stretch>
                  </pic:blipFill>
                  <pic:spPr bwMode="auto">
                    <a:xfrm>
                      <a:off x="0" y="0"/>
                      <a:ext cx="1371600" cy="152400"/>
                    </a:xfrm>
                    <a:prstGeom prst="rect">
                      <a:avLst/>
                    </a:prstGeom>
                  </pic:spPr>
                </pic:pic>
              </a:graphicData>
            </a:graphic>
          </wp:inline>
        </w:drawing>
      </w:r>
    </w:p>
    <w:tbl>
      <w:tblPr>
        <w:tblW w:w="4154" w:type="dxa"/>
        <w:jc w:val="center"/>
        <w:tblInd w:w="0" w:type="dxa"/>
        <w:tblLayout w:type="fixed"/>
        <w:tblCellMar>
          <w:top w:w="28" w:type="dxa"/>
          <w:left w:w="28" w:type="dxa"/>
          <w:bottom w:w="28" w:type="dxa"/>
          <w:right w:w="28" w:type="dxa"/>
        </w:tblCellMar>
      </w:tblPr>
      <w:tblGrid>
        <w:gridCol w:w="1327"/>
        <w:gridCol w:w="1167"/>
        <w:gridCol w:w="1660"/>
      </w:tblGrid>
      <w:tr>
        <w:trPr/>
        <w:tc>
          <w:tcPr>
            <w:tcW w:w="132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2"/>
              </w:rPr>
            </w:pPr>
            <w:r>
              <w:rPr>
                <w:rFonts w:ascii="Arial;sans-serif" w:hAnsi="Arial;sans-serif"/>
                <w:b w:val="false"/>
                <w:color w:val="000000"/>
                <w:sz w:val="12"/>
              </w:rPr>
              <w:t>1221 PEACHTREE STREET, N.E. • SUITE 400 • ATLANTA, GEORGIA 30361</w:t>
            </w:r>
          </w:p>
          <w:p>
            <w:pPr>
              <w:pStyle w:val="TableContents"/>
              <w:bidi w:val="0"/>
              <w:spacing w:lineRule="atLeast" w:line="240" w:before="0" w:after="40"/>
              <w:jc w:val="center"/>
              <w:rPr/>
            </w:pPr>
            <w:r>
              <w:rPr>
                <w:rFonts w:ascii="Arial;sans-serif" w:hAnsi="Arial;sans-serif"/>
                <w:b w:val="false"/>
                <w:color w:val="000000"/>
                <w:sz w:val="12"/>
              </w:rPr>
              <w:t xml:space="preserve">TELEPHONE: +1.404.521.3939 </w:t>
            </w:r>
            <w:r>
              <w:rPr>
                <w:color w:val="000000"/>
              </w:rPr>
              <w:t xml:space="preserve">• </w:t>
            </w:r>
            <w:r>
              <w:rPr>
                <w:rFonts w:ascii="Arial;sans-serif" w:hAnsi="Arial;sans-serif"/>
                <w:b w:val="false"/>
                <w:color w:val="000000"/>
                <w:sz w:val="12"/>
              </w:rPr>
              <w:t>JONESDAY.COM</w:t>
            </w:r>
          </w:p>
        </w:tc>
      </w:tr>
    </w:tbl>
    <w:p>
      <w:pPr>
        <w:pStyle w:val="TextBody"/>
        <w:bidi w:val="0"/>
        <w:spacing w:before="0" w:after="24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April 15, 2025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Innventure,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6900 Tavistock Lakes Blvd.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Suite 400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Orlando, Florida 32827</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Re:    </w:t>
      </w:r>
      <w:r>
        <w:rPr>
          <w:rFonts w:ascii="Times New Roman;sans-serif" w:hAnsi="Times New Roman;sans-serif"/>
          <w:b w:val="false"/>
          <w:color w:val="000000"/>
          <w:sz w:val="24"/>
          <w:u w:val="single"/>
        </w:rPr>
        <w:t>Registration on Form S-1 of up to 34,352,677 Shares of Common Stock of Innventure, Inc.</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We have acted as counsel for Innventure,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in connection with (A) the registration for resale from time to time by certain of the Company’s security holders of up to 15,965,989 shares of the Company’s common stock, par value $0.0001 per share (the “</w:t>
      </w:r>
      <w:r>
        <w:rPr>
          <w:rFonts w:ascii="Times New Roman;sans-serif" w:hAnsi="Times New Roman;sans-serif"/>
          <w:b/>
          <w:i/>
          <w:color w:val="000000"/>
          <w:sz w:val="24"/>
        </w:rPr>
        <w:t>Common Stock</w:t>
      </w:r>
      <w:r>
        <w:rPr>
          <w:color w:val="000000"/>
        </w:rPr>
        <w:t>”</w:t>
      </w:r>
      <w:r>
        <w:rPr>
          <w:rFonts w:ascii="Times New Roman;sans-serif" w:hAnsi="Times New Roman;sans-serif"/>
          <w:b w:val="false"/>
          <w:color w:val="000000"/>
          <w:sz w:val="24"/>
        </w:rPr>
        <w:t>), which consists of (i) up to 8,480,518 shares of Common Stock that may be issued upon conversion of the Company’s Series C Preferred Stock, par value $0.0001 per share (the “</w:t>
      </w:r>
      <w:r>
        <w:rPr>
          <w:rFonts w:ascii="Times New Roman;sans-serif" w:hAnsi="Times New Roman;sans-serif"/>
          <w:b/>
          <w:i/>
          <w:color w:val="000000"/>
          <w:sz w:val="24"/>
        </w:rPr>
        <w:t>Series C Preferred Stock</w:t>
      </w:r>
      <w:r>
        <w:rPr>
          <w:color w:val="000000"/>
        </w:rPr>
        <w:t xml:space="preserve">” </w:t>
      </w:r>
      <w:r>
        <w:rPr>
          <w:rFonts w:ascii="Times New Roman;sans-serif" w:hAnsi="Times New Roman;sans-serif"/>
          <w:b w:val="false"/>
          <w:color w:val="000000"/>
          <w:sz w:val="24"/>
        </w:rPr>
        <w:t>and such shares of Common Stock, the “</w:t>
      </w:r>
      <w:r>
        <w:rPr>
          <w:rFonts w:ascii="Times New Roman;sans-serif" w:hAnsi="Times New Roman;sans-serif"/>
          <w:b/>
          <w:i/>
          <w:color w:val="000000"/>
          <w:sz w:val="24"/>
        </w:rPr>
        <w:t>Series C Shares</w:t>
      </w:r>
      <w:r>
        <w:rPr>
          <w:color w:val="000000"/>
        </w:rPr>
        <w:t>”</w:t>
      </w:r>
      <w:r>
        <w:rPr>
          <w:rFonts w:ascii="Times New Roman;sans-serif" w:hAnsi="Times New Roman;sans-serif"/>
          <w:b w:val="false"/>
          <w:color w:val="000000"/>
          <w:sz w:val="24"/>
        </w:rPr>
        <w:t>), issued pursuant to those certain preferred stock purchase agreements, dated March 24, 2025, by and among the Company and the several purchasers party thereto; (ii) up to 4,100,000 shares of Common Stock that the Company may issue and sell to YA II PN, Ltd., a Cayman Islands exempted company (“</w:t>
      </w:r>
      <w:r>
        <w:rPr>
          <w:rFonts w:ascii="Times New Roman;sans-serif" w:hAnsi="Times New Roman;sans-serif"/>
          <w:b/>
          <w:i/>
          <w:color w:val="000000"/>
          <w:sz w:val="24"/>
        </w:rPr>
        <w:t>Yorkville</w:t>
      </w:r>
      <w:r>
        <w:rPr>
          <w:color w:val="000000"/>
        </w:rPr>
        <w:t>”</w:t>
      </w:r>
      <w:r>
        <w:rPr>
          <w:rFonts w:ascii="Times New Roman;sans-serif" w:hAnsi="Times New Roman;sans-serif"/>
          <w:b w:val="false"/>
          <w:color w:val="000000"/>
          <w:sz w:val="24"/>
        </w:rPr>
        <w:t>), from time to time pursuant to the Standby Equity Purchase Agreement (the “</w:t>
      </w:r>
      <w:r>
        <w:rPr>
          <w:rFonts w:ascii="Times New Roman;sans-serif" w:hAnsi="Times New Roman;sans-serif"/>
          <w:b/>
          <w:i/>
          <w:color w:val="000000"/>
          <w:sz w:val="24"/>
        </w:rPr>
        <w:t>SEPA</w:t>
      </w:r>
      <w:r>
        <w:rPr>
          <w:color w:val="000000"/>
        </w:rPr>
        <w:t>”</w:t>
      </w:r>
      <w:r>
        <w:rPr>
          <w:rFonts w:ascii="Times New Roman;sans-serif" w:hAnsi="Times New Roman;sans-serif"/>
          <w:b w:val="false"/>
          <w:color w:val="000000"/>
          <w:sz w:val="24"/>
        </w:rPr>
        <w:t>), dated October 24, 2023, between the Company and Yorkville (the “</w:t>
      </w:r>
      <w:r>
        <w:rPr>
          <w:rFonts w:ascii="Times New Roman;sans-serif" w:hAnsi="Times New Roman;sans-serif"/>
          <w:b/>
          <w:i/>
          <w:color w:val="000000"/>
          <w:sz w:val="24"/>
        </w:rPr>
        <w:t>SEPA Shares</w:t>
      </w:r>
      <w:r>
        <w:rPr>
          <w:color w:val="000000"/>
        </w:rPr>
        <w:t>”</w:t>
      </w:r>
      <w:r>
        <w:rPr>
          <w:rFonts w:ascii="Times New Roman;sans-serif" w:hAnsi="Times New Roman;sans-serif"/>
          <w:b w:val="false"/>
          <w:color w:val="000000"/>
          <w:sz w:val="24"/>
        </w:rPr>
        <w:t>); (iii) 85,471 shares of Common Stock issued to Ducera Partners LLC and its affiliates (“</w:t>
      </w:r>
      <w:r>
        <w:rPr>
          <w:rFonts w:ascii="Times New Roman;sans-serif" w:hAnsi="Times New Roman;sans-serif"/>
          <w:b/>
          <w:i/>
          <w:color w:val="000000"/>
          <w:sz w:val="24"/>
        </w:rPr>
        <w:t>Ducera</w:t>
      </w:r>
      <w:r>
        <w:rPr>
          <w:color w:val="000000"/>
        </w:rPr>
        <w:t>”</w:t>
      </w:r>
      <w:r>
        <w:rPr>
          <w:rFonts w:ascii="Times New Roman;sans-serif" w:hAnsi="Times New Roman;sans-serif"/>
          <w:b w:val="false"/>
          <w:color w:val="000000"/>
          <w:sz w:val="24"/>
        </w:rPr>
        <w:t>) pursuant to the terms of an engagement letter (the “</w:t>
      </w:r>
      <w:r>
        <w:rPr>
          <w:rFonts w:ascii="Times New Roman;sans-serif" w:hAnsi="Times New Roman;sans-serif"/>
          <w:b/>
          <w:i/>
          <w:color w:val="000000"/>
          <w:sz w:val="24"/>
        </w:rPr>
        <w:t>Ducera Shares</w:t>
      </w:r>
      <w:r>
        <w:rPr>
          <w:color w:val="000000"/>
        </w:rPr>
        <w:t>”</w:t>
      </w:r>
      <w:r>
        <w:rPr>
          <w:rFonts w:ascii="Times New Roman;sans-serif" w:hAnsi="Times New Roman;sans-serif"/>
          <w:b w:val="false"/>
          <w:color w:val="000000"/>
          <w:sz w:val="24"/>
        </w:rPr>
        <w:t>); (iv) up to 3,000,000 shares of Common Stock that may be issued upon conversion of convertible debentures (the “</w:t>
      </w:r>
      <w:r>
        <w:rPr>
          <w:rFonts w:ascii="Times New Roman;sans-serif" w:hAnsi="Times New Roman;sans-serif"/>
          <w:b/>
          <w:i/>
          <w:color w:val="000000"/>
          <w:sz w:val="24"/>
        </w:rPr>
        <w:t>Convertible Debentures</w:t>
      </w:r>
      <w:r>
        <w:rPr>
          <w:color w:val="000000"/>
        </w:rPr>
        <w:t xml:space="preserve">” </w:t>
      </w:r>
      <w:r>
        <w:rPr>
          <w:rFonts w:ascii="Times New Roman;sans-serif" w:hAnsi="Times New Roman;sans-serif"/>
          <w:b w:val="false"/>
          <w:color w:val="000000"/>
          <w:sz w:val="24"/>
        </w:rPr>
        <w:t>and such shares of Common Stock, the “</w:t>
      </w:r>
      <w:r>
        <w:rPr>
          <w:rFonts w:ascii="Times New Roman;sans-serif" w:hAnsi="Times New Roman;sans-serif"/>
          <w:b/>
          <w:i/>
          <w:color w:val="000000"/>
          <w:sz w:val="24"/>
        </w:rPr>
        <w:t>Conversion Shares</w:t>
      </w:r>
      <w:r>
        <w:rPr>
          <w:color w:val="000000"/>
        </w:rPr>
        <w:t>”</w:t>
      </w:r>
      <w:r>
        <w:rPr>
          <w:rFonts w:ascii="Times New Roman;sans-serif" w:hAnsi="Times New Roman;sans-serif"/>
          <w:b w:val="false"/>
          <w:color w:val="000000"/>
          <w:sz w:val="24"/>
        </w:rPr>
        <w:t>) issued and issuable to Yorkville pursuant to the securities purchase agreement, dated March 25, 2025, between the Company and Yorkville (the “</w:t>
      </w:r>
      <w:r>
        <w:rPr>
          <w:rFonts w:ascii="Times New Roman;sans-serif" w:hAnsi="Times New Roman;sans-serif"/>
          <w:b/>
          <w:i/>
          <w:color w:val="000000"/>
          <w:sz w:val="24"/>
        </w:rPr>
        <w:t>Yorkville Purchase Agreement</w:t>
      </w:r>
      <w:r>
        <w:rPr>
          <w:color w:val="000000"/>
        </w:rPr>
        <w:t>”</w:t>
      </w:r>
      <w:r>
        <w:rPr>
          <w:rFonts w:ascii="Times New Roman;sans-serif" w:hAnsi="Times New Roman;sans-serif"/>
          <w:b w:val="false"/>
          <w:color w:val="000000"/>
          <w:sz w:val="24"/>
        </w:rPr>
        <w:t>); and (v) 300,000 shares of Common Stock that may be issued upon exercise of warrants (the “</w:t>
      </w:r>
      <w:r>
        <w:rPr>
          <w:rFonts w:ascii="Times New Roman;sans-serif" w:hAnsi="Times New Roman;sans-serif"/>
          <w:b/>
          <w:i/>
          <w:color w:val="000000"/>
          <w:sz w:val="24"/>
        </w:rPr>
        <w:t>2025</w:t>
      </w:r>
      <w:r>
        <w:rPr>
          <w:color w:val="000000"/>
        </w:rPr>
        <w:t xml:space="preserve"> </w:t>
      </w:r>
      <w:r>
        <w:rPr>
          <w:rFonts w:ascii="Times New Roman;sans-serif" w:hAnsi="Times New Roman;sans-serif"/>
          <w:b/>
          <w:i/>
          <w:color w:val="000000"/>
          <w:sz w:val="24"/>
        </w:rPr>
        <w:t>WTI Warrants</w:t>
      </w:r>
      <w:r>
        <w:rPr>
          <w:color w:val="000000"/>
        </w:rPr>
        <w:t xml:space="preserve">” </w:t>
      </w:r>
      <w:r>
        <w:rPr>
          <w:rFonts w:ascii="Times New Roman;sans-serif" w:hAnsi="Times New Roman;sans-serif"/>
          <w:b w:val="false"/>
          <w:color w:val="000000"/>
          <w:sz w:val="24"/>
        </w:rPr>
        <w:t>and such shares of Common Stock, the “</w:t>
      </w:r>
      <w:r>
        <w:rPr>
          <w:rFonts w:ascii="Times New Roman;sans-serif" w:hAnsi="Times New Roman;sans-serif"/>
          <w:b/>
          <w:i/>
          <w:color w:val="000000"/>
          <w:sz w:val="24"/>
        </w:rPr>
        <w:t>2025 WTI Warrant Shares</w:t>
      </w:r>
      <w:r>
        <w:rPr>
          <w:color w:val="000000"/>
        </w:rPr>
        <w:t>”</w:t>
      </w:r>
      <w:r>
        <w:rPr>
          <w:rFonts w:ascii="Times New Roman;sans-serif" w:hAnsi="Times New Roman;sans-serif"/>
          <w:b w:val="false"/>
          <w:color w:val="000000"/>
          <w:sz w:val="24"/>
        </w:rPr>
        <w:t>) to purchase Common Stock held by WTI Fund X, LLC and WTI Fund XI, LLC; and (B) the authorization and issuance and sale from time to time of up to an aggregate of 18,386,688 shares of Common Stock issuable upon exercise of warrants to purchase Common Stock, each exercisable for one share of Common Stock at an exercise price of $11.50 per share (the “</w:t>
      </w:r>
      <w:r>
        <w:rPr>
          <w:rFonts w:ascii="Times New Roman;sans-serif" w:hAnsi="Times New Roman;sans-serif"/>
          <w:b/>
          <w:i/>
          <w:color w:val="000000"/>
          <w:sz w:val="24"/>
        </w:rPr>
        <w:t>Innventure Warrants</w:t>
      </w:r>
      <w:r>
        <w:rPr>
          <w:color w:val="000000"/>
        </w:rPr>
        <w:t xml:space="preserve">” </w:t>
      </w:r>
      <w:r>
        <w:rPr>
          <w:rFonts w:ascii="Times New Roman;sans-serif" w:hAnsi="Times New Roman;sans-serif"/>
          <w:b w:val="false"/>
          <w:color w:val="000000"/>
          <w:sz w:val="24"/>
        </w:rPr>
        <w:t>and such shares of Common Stock, the “</w:t>
      </w:r>
      <w:r>
        <w:rPr>
          <w:rFonts w:ascii="Times New Roman;sans-serif" w:hAnsi="Times New Roman;sans-serif"/>
          <w:b/>
          <w:i/>
          <w:color w:val="000000"/>
          <w:sz w:val="24"/>
        </w:rPr>
        <w:t>Innventure Warrant Shares</w:t>
      </w:r>
      <w:r>
        <w:rPr>
          <w:color w:val="000000"/>
        </w:rPr>
        <w:t xml:space="preserve">” </w:t>
      </w:r>
      <w:r>
        <w:rPr>
          <w:rFonts w:ascii="Times New Roman;sans-serif" w:hAnsi="Times New Roman;sans-serif"/>
          <w:b w:val="false"/>
          <w:color w:val="000000"/>
          <w:sz w:val="24"/>
        </w:rPr>
        <w:t>and, together with the Series C Shares, the SEPA Shares, the Ducera Shares, the Conversion Shares, and 2025 WTI Warrant Shares, the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in each case as contemplated by the Registration Statement on Form S-1 (the “</w:t>
      </w:r>
      <w:r>
        <w:rPr>
          <w:rFonts w:ascii="Times New Roman;sans-serif" w:hAnsi="Times New Roman;sans-serif"/>
          <w:b/>
          <w:i/>
          <w:color w:val="000000"/>
          <w:sz w:val="24"/>
        </w:rPr>
        <w:t>Registration Statement</w:t>
      </w:r>
      <w:r>
        <w:rPr>
          <w:color w:val="000000"/>
        </w:rPr>
        <w:t>”</w:t>
      </w:r>
      <w:r>
        <w:rPr>
          <w:rFonts w:ascii="Times New Roman;sans-serif" w:hAnsi="Times New Roman;sans-serif"/>
          <w:b w:val="false"/>
          <w:color w:val="000000"/>
          <w:sz w:val="24"/>
        </w:rPr>
        <w:t>) filed by the Company to effect registration of the Shares under the Securities Act of 1933 (the “</w:t>
      </w:r>
      <w:r>
        <w:rPr>
          <w:rFonts w:ascii="Times New Roman;sans-serif" w:hAnsi="Times New Roman;sans-serif"/>
          <w:b/>
          <w:i/>
          <w:color w:val="000000"/>
          <w:sz w:val="24"/>
        </w:rPr>
        <w:t>Securities Act</w:t>
      </w:r>
      <w:r>
        <w:rPr>
          <w:color w:val="000000"/>
        </w:rPr>
        <w:t>”</w:t>
      </w:r>
      <w:r>
        <w:rPr>
          <w:rFonts w:ascii="Times New Roman;sans-serif" w:hAnsi="Times New Roman;sans-serif"/>
          <w:b w:val="false"/>
          <w:color w:val="000000"/>
          <w:sz w:val="24"/>
        </w:rPr>
        <w:t>) and to which this opinion has been filed as an exhibit. The Shares may be offered and sold from time to time pursuant to Rule 415 under the Securities Act.</w:t>
      </w:r>
    </w:p>
    <w:p>
      <w:pPr>
        <w:pStyle w:val="TextBody"/>
        <w:bidi w:val="0"/>
        <w:spacing w:before="0" w:after="0"/>
        <w:jc w:val="right"/>
        <w:rPr/>
      </w:pPr>
      <w:r>
        <w:rPr/>
        <w:drawing>
          <wp:inline distT="0" distB="0" distL="0" distR="0">
            <wp:extent cx="1181100" cy="1238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87"/>
                    <a:stretch>
                      <a:fillRect/>
                    </a:stretch>
                  </pic:blipFill>
                  <pic:spPr bwMode="auto">
                    <a:xfrm>
                      <a:off x="0" y="0"/>
                      <a:ext cx="1181100" cy="12382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69900"/>
                <wp:effectExtent l="0" t="0" r="0" b="0"/>
                <wp:wrapNone/>
                <wp:docPr id="18" name="Frame4"/>
                <a:graphic xmlns:a="http://schemas.openxmlformats.org/drawingml/2006/main">
                  <a:graphicData uri="http://schemas.microsoft.com/office/word/2010/wordprocessingShape">
                    <wps:wsp>
                      <wps:cNvSpPr txBox="1"/>
                      <wps:spPr>
                        <a:xfrm>
                          <a:off x="0" y="0"/>
                          <a:ext cx="6480175" cy="46990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 SAN DIEGO • SAN FRANCISCO • SÃO PAULO • SHANGHAI • SILICON VALLEY • SINGAPORE • SYDNEY • TAIPEI • TOKYO • WASHINGTON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pt;mso-wrap-distance-left:0pt;mso-wrap-distance-right:0pt;mso-wrap-distance-top:0pt;mso-wrap-distance-bottom:0pt;margin-top:0pt;mso-position-vertical:top;mso-position-vertical-relative:text;margin-left:-389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 SAN DIEGO • SAN FRANCISCO • SÃO PAULO • SHANGHAI • SILICON VALLEY • SINGAPORE • SYDNEY • TAIPEI • TOKYO • WASHINGTON</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Innventure,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April 15, 2025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the opinions expressed herein, we have examined such documents, records and matters of law as we have deemed relevant or necessary for purposes of such opinions. Based on the foregoing and subject to the further assumptions, qualifications and limitations set forth herein, we are of the opinion that:</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    The Series C Shares, when issued upon the conversion of the Series C Preferred Stock pursuant to the terms and conditions of the Company’s Certificate of Designation of Series C Preferred Stock and Amended and Restated Certificate of Incorporation, will be validly issued, fully paid and nonassessable.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    The SEPA Shares, when issued or sold pursuant to the terms and conditions of the SEPA, will be validly issued, fully paid and nonassessable.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    The Ducera Shares are validly issued, fully paid and nonassessable.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    The Conversion Shares, when issued upon the conversion of the Convertible Debentures pursuant to the terms and conditions of the Convertible Debentures and the Yorkville Purchase Agreement, will be validly issued, fully paid and nonassessable.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    The 2025 WTI Warrant Shares, when issued upon the exercise of the 2025 WTI Warrants pursuant to the terms and conditions of the 2025 WTI Warrants, will be validly issued, fully paid and nonassessable.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6.    The Innventure Warrant Shares, when issued upon the exercise of the Innventure Warrants pursuant to the terms and conditions of the Innventure Warrants, will be validly issued, fully paid and nonassessable.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With regard to our opinions above, we have assumed that the resolutions authorizing the Company to issue and deliver the Series C Shares, SEPA Shares, Ducera Shares, Conversion Shares, 2025 WTI Warrant Shares, and Innventure Warrant Shares, as the case may be, will remain in full force and effect at all times at which such Shares are issued and delivered by the Company, and the Company will take no action inconsistent with such resolutions.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 to facts material to the opinions and assumptions expressed herein, we have relied upon oral or written statements and representations of officers and other representatives of the Company and others. The opinions expressed herein are limited to the General Corporation Law of the State of Delaware, as currently in effect, and we express no opinion as to the effect of the laws of any other jurisdiction on the opinions expressed herein.</w:t>
      </w:r>
    </w:p>
    <w:p>
      <w:pPr>
        <w:pStyle w:val="TextBody"/>
        <w:bidi w:val="0"/>
        <w:spacing w:before="0" w:after="0"/>
        <w:jc w:val="right"/>
        <w:rPr/>
      </w:pPr>
      <w:r>
        <w:rPr/>
        <w:drawing>
          <wp:inline distT="0" distB="0" distL="0" distR="0">
            <wp:extent cx="1181100" cy="1238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88"/>
                    <a:stretch>
                      <a:fillRect/>
                    </a:stretch>
                  </pic:blipFill>
                  <pic:spPr bwMode="auto">
                    <a:xfrm>
                      <a:off x="0" y="0"/>
                      <a:ext cx="1181100" cy="12382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Innventure,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April 15, 2025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filing of this opinion as Exhibit 5.1 to the Registration Statement and to the reference to Jones Day under the caption “Legal Matters” in the prospectus constituting a part of the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tbl>
      <w:tblPr>
        <w:tblW w:w="1785" w:type="dxa"/>
        <w:jc w:val="right"/>
        <w:tblInd w:w="0" w:type="dxa"/>
        <w:tblLayout w:type="fixed"/>
        <w:tblCellMar>
          <w:top w:w="28" w:type="dxa"/>
          <w:left w:w="28" w:type="dxa"/>
          <w:bottom w:w="28" w:type="dxa"/>
          <w:right w:w="28" w:type="dxa"/>
        </w:tblCellMar>
      </w:tblPr>
      <w:tblGrid>
        <w:gridCol w:w="571"/>
        <w:gridCol w:w="501"/>
        <w:gridCol w:w="713"/>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Jones Day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rebuchet MS;sans-serif" w:hAnsi="Trebuchet MS;sans-serif"/>
          <w:b w:val="false"/>
          <w:color w:val="000000"/>
          <w:sz w:val="21"/>
          <w:u w:val="single"/>
        </w:rPr>
      </w:pPr>
      <w:r>
        <w:rPr>
          <w:rFonts w:ascii="Trebuchet MS;sans-serif" w:hAnsi="Trebuchet MS;sans-serif"/>
          <w:b w:val="false"/>
          <w:color w:val="000000"/>
          <w:sz w:val="21"/>
          <w:u w:val="single"/>
        </w:rPr>
        <w:t>Consent of Independent Registered Public Accounting Firm</w:t>
      </w:r>
    </w:p>
    <w:p>
      <w:pPr>
        <w:pStyle w:val="TextBody"/>
        <w:bidi w:val="0"/>
        <w:spacing w:lineRule="auto" w:line="288" w:before="0" w:after="240"/>
        <w:jc w:val="both"/>
        <w:rPr>
          <w:rFonts w:ascii="Trebuchet MS;sans-serif" w:hAnsi="Trebuchet MS;sans-serif"/>
          <w:b w:val="false"/>
          <w:color w:val="000000"/>
          <w:sz w:val="21"/>
        </w:rPr>
      </w:pPr>
      <w:r>
        <w:rPr>
          <w:rFonts w:ascii="Trebuchet MS;sans-serif" w:hAnsi="Trebuchet MS;sans-serif"/>
          <w:b w:val="false"/>
          <w:color w:val="000000"/>
          <w:sz w:val="21"/>
        </w:rPr>
        <w:t xml:space="preserve">We hereby consent to the use in the Prospectus constituting a part of the Registration Statement of our report dated April 14, 2025, relating to the consolidated financial statements of Innventure, Inc. (the Company), which is contained in that Prospectus. Our report contains an explanatory paragraph regarding the Company’s ability to continue as a going concern. </w:t>
      </w:r>
    </w:p>
    <w:p>
      <w:pPr>
        <w:pStyle w:val="TextBody"/>
        <w:bidi w:val="0"/>
        <w:spacing w:lineRule="auto" w:line="288" w:before="0" w:after="240"/>
        <w:jc w:val="both"/>
        <w:rPr>
          <w:rFonts w:ascii="Trebuchet MS;sans-serif" w:hAnsi="Trebuchet MS;sans-serif"/>
          <w:b w:val="false"/>
          <w:color w:val="000000"/>
          <w:sz w:val="21"/>
        </w:rPr>
      </w:pPr>
      <w:r>
        <w:rPr>
          <w:rFonts w:ascii="Trebuchet MS;sans-serif" w:hAnsi="Trebuchet MS;sans-serif"/>
          <w:b w:val="false"/>
          <w:color w:val="000000"/>
          <w:sz w:val="21"/>
        </w:rPr>
        <w:t>We also consent to the reference to us under the caption “Experts” in such Registration Statement.</w:t>
      </w:r>
    </w:p>
    <w:p>
      <w:pPr>
        <w:pStyle w:val="TextBody"/>
        <w:bidi w:val="0"/>
        <w:spacing w:lineRule="auto" w:line="288" w:before="0" w:after="240"/>
        <w:jc w:val="both"/>
        <w:rPr>
          <w:rFonts w:ascii="Trebuchet MS;sans-serif" w:hAnsi="Trebuchet MS;sans-serif"/>
          <w:b w:val="false"/>
          <w:color w:val="000000"/>
          <w:sz w:val="21"/>
        </w:rPr>
      </w:pPr>
      <w:r>
        <w:rPr>
          <w:rFonts w:ascii="Trebuchet MS;sans-serif" w:hAnsi="Trebuchet MS;sans-serif"/>
          <w:b w:val="false"/>
          <w:color w:val="000000"/>
          <w:sz w:val="21"/>
        </w:rPr>
        <w:t>/s/ BDO USA, P.C.</w:t>
      </w:r>
    </w:p>
    <w:p>
      <w:pPr>
        <w:pStyle w:val="TextBody"/>
        <w:bidi w:val="0"/>
        <w:spacing w:lineRule="auto" w:line="288" w:before="0" w:after="0"/>
        <w:jc w:val="both"/>
        <w:rPr>
          <w:rFonts w:ascii="Trebuchet MS;sans-serif" w:hAnsi="Trebuchet MS;sans-serif"/>
          <w:b w:val="false"/>
          <w:color w:val="000000"/>
          <w:sz w:val="21"/>
        </w:rPr>
      </w:pPr>
      <w:r>
        <w:rPr>
          <w:rFonts w:ascii="Trebuchet MS;sans-serif" w:hAnsi="Trebuchet MS;sans-serif"/>
          <w:b w:val="false"/>
          <w:color w:val="000000"/>
          <w:sz w:val="21"/>
        </w:rPr>
        <w:t>Raleigh, NC</w:t>
      </w:r>
    </w:p>
    <w:p>
      <w:pPr>
        <w:pStyle w:val="TextBody"/>
        <w:bidi w:val="0"/>
        <w:spacing w:lineRule="auto" w:line="288" w:before="0" w:after="240"/>
        <w:jc w:val="both"/>
        <w:rPr>
          <w:rFonts w:ascii="Trebuchet MS;sans-serif" w:hAnsi="Trebuchet MS;sans-serif"/>
          <w:b w:val="false"/>
          <w:color w:val="000000"/>
          <w:sz w:val="21"/>
        </w:rPr>
      </w:pPr>
      <w:r>
        <w:rPr>
          <w:rFonts w:ascii="Trebuchet MS;sans-serif" w:hAnsi="Trebuchet MS;sans-serif"/>
          <w:b w:val="false"/>
          <w:color w:val="000000"/>
          <w:sz w:val="21"/>
        </w:rPr>
        <w:t>April 15, 2025</w:t>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2.jpeg"/><Relationship Id="rId13" Type="http://schemas.openxmlformats.org/officeDocument/2006/relationships/image" Target="media/image3.gif"/><Relationship Id="rId14" Type="http://schemas.openxmlformats.org/officeDocument/2006/relationships/hyperlink" Target="https://www.sec.gov/Archives/edgar/data/2001557/000114036124043179/ef20036737_ex3-1.htm" TargetMode="External"/><Relationship Id="rId15" Type="http://schemas.openxmlformats.org/officeDocument/2006/relationships/hyperlink" Target="https://www.sec.gov/Archives/edgar/data/2001557/000114036124043179/ef20036737_ex3-1.htm" TargetMode="External"/><Relationship Id="rId16" Type="http://schemas.openxmlformats.org/officeDocument/2006/relationships/hyperlink" Target="https://www.sec.gov/Archives/edgar/data/2001557/000114036124043179/ef20036737_ex3-1.htm" TargetMode="External"/><Relationship Id="rId17" Type="http://schemas.openxmlformats.org/officeDocument/2006/relationships/hyperlink" Target="https://www.sec.gov/Archives/edgar/data/2001557/000114036124043179/ef20036737_ex3-2.htm" TargetMode="External"/><Relationship Id="rId18" Type="http://schemas.openxmlformats.org/officeDocument/2006/relationships/hyperlink" Target="https://www.sec.gov/Archives/edgar/data/2001557/000114036124043179/ef20036737_ex3-2.htm" TargetMode="External"/><Relationship Id="rId19" Type="http://schemas.openxmlformats.org/officeDocument/2006/relationships/hyperlink" Target="https://www.sec.gov/Archives/edgar/data/2001557/000114036124043179/ef20036737_ex3-3.htm" TargetMode="External"/><Relationship Id="rId20" Type="http://schemas.openxmlformats.org/officeDocument/2006/relationships/hyperlink" Target="https://www.sec.gov/Archives/edgar/data/2001557/000114036124043179/ef20036737_ex3-3.htm" TargetMode="External"/><Relationship Id="rId21" Type="http://schemas.openxmlformats.org/officeDocument/2006/relationships/hyperlink" Target="https://www.sec.gov/Archives/edgar/data/2001557/000114036124043179/ef20036737_ex3-3.htm" TargetMode="External"/><Relationship Id="rId22" Type="http://schemas.openxmlformats.org/officeDocument/2006/relationships/hyperlink" Target="https://www.sec.gov/Archives/edgar/data/2001557/000114036125010165/ef20045914_ex3-1.htm" TargetMode="External"/><Relationship Id="rId23" Type="http://schemas.openxmlformats.org/officeDocument/2006/relationships/hyperlink" Target="https://www.sec.gov/Archives/edgar/data/2001557/000114036125010165/ef20045914_ex3-1.htm" TargetMode="External"/><Relationship Id="rId24" Type="http://schemas.openxmlformats.org/officeDocument/2006/relationships/hyperlink" Target="https://www.sec.gov/Archives/edgar/data/2001557/000114036125010165/ef20045914_ex3-1.htm" TargetMode="External"/><Relationship Id="rId25" Type="http://schemas.openxmlformats.org/officeDocument/2006/relationships/hyperlink" Target="https://www.sec.gov/Archives/edgar/data/2001557/000114036124025505/ny20012992x12_ex4-3.htm" TargetMode="External"/><Relationship Id="rId26" Type="http://schemas.openxmlformats.org/officeDocument/2006/relationships/hyperlink" Target="https://www.sec.gov/Archives/edgar/data/2001557/000114036124025505/ny20012992x12_ex4-3.htm" TargetMode="External"/><Relationship Id="rId27" Type="http://schemas.openxmlformats.org/officeDocument/2006/relationships/hyperlink" Target="https://www.sec.gov/Archives/edgar/data/2001557/000114036124025505/ny20012992x12_ex4-4.htm" TargetMode="External"/><Relationship Id="rId28" Type="http://schemas.openxmlformats.org/officeDocument/2006/relationships/hyperlink" Target="https://www.sec.gov/Archives/edgar/data/2001557/000114036124025505/ny20012992x12_ex4-4.htm" TargetMode="External"/><Relationship Id="rId29" Type="http://schemas.openxmlformats.org/officeDocument/2006/relationships/hyperlink" Target="https://www.sec.gov/Archives/edgar/data/2001557/000114036124025505/ny20012992x12_ex4-4.htm" TargetMode="External"/><Relationship Id="rId30" Type="http://schemas.openxmlformats.org/officeDocument/2006/relationships/hyperlink" Target="https://www.sec.gov/Archives/edgar/data/2001557/000114036124025505/ny20012992x12_ex4-5.htm" TargetMode="External"/><Relationship Id="rId31" Type="http://schemas.openxmlformats.org/officeDocument/2006/relationships/hyperlink" Target="https://www.sec.gov/Archives/edgar/data/2001557/000114036124025505/ny20012992x12_ex4-5.htm" TargetMode="External"/><Relationship Id="rId32" Type="http://schemas.openxmlformats.org/officeDocument/2006/relationships/hyperlink" Target="https://www.sec.gov/Archives/edgar/data/2001557/000114036124025505/ny20012992x12_ex4-5.htm" TargetMode="External"/><Relationship Id="rId33" Type="http://schemas.openxmlformats.org/officeDocument/2006/relationships/hyperlink" Target="https://www.sec.gov/Archives/edgar/data/2001557/000114036124025505/ny20012992x12_ex4-5.htm" TargetMode="External"/><Relationship Id="rId34" Type="http://schemas.openxmlformats.org/officeDocument/2006/relationships/hyperlink" Target="https://www.sec.gov/Archives/edgar/data/2001557/000114036124025505/ny20012992x12_ex4-6.htm" TargetMode="External"/><Relationship Id="rId35" Type="http://schemas.openxmlformats.org/officeDocument/2006/relationships/hyperlink" Target="https://www.sec.gov/Archives/edgar/data/2001557/000114036124025505/ny20012992x12_ex4-6.htm" TargetMode="External"/><Relationship Id="rId36" Type="http://schemas.openxmlformats.org/officeDocument/2006/relationships/hyperlink" Target="https://www.sec.gov/Archives/edgar/data/2001557/000114036124025505/ny20012992x12_ex4-6.htm" TargetMode="External"/><Relationship Id="rId37" Type="http://schemas.openxmlformats.org/officeDocument/2006/relationships/hyperlink" Target="https://www.sec.gov/Archives/edgar/data/2001557/000114036124025505/ny20012992x12_ex4-6.htm" TargetMode="External"/><Relationship Id="rId38" Type="http://schemas.openxmlformats.org/officeDocument/2006/relationships/hyperlink" Target="https://www.sec.gov/Archives/edgar/data/2001557/000114036124025505/ny20012992x12_ex4-8.htm" TargetMode="External"/><Relationship Id="rId39" Type="http://schemas.openxmlformats.org/officeDocument/2006/relationships/hyperlink" Target="https://www.sec.gov/Archives/edgar/data/2001557/000114036124025505/ny20012992x12_ex4-8.htm" TargetMode="External"/><Relationship Id="rId40" Type="http://schemas.openxmlformats.org/officeDocument/2006/relationships/hyperlink" Target="https://www.sec.gov/Archives/edgar/data/2001557/000114036124025505/ny20012992x12_ex4-8.htm" TargetMode="External"/><Relationship Id="rId41" Type="http://schemas.openxmlformats.org/officeDocument/2006/relationships/hyperlink" Target="https://www.sec.gov/Archives/edgar/data/2001557/000114036124044030/ef20037576_ex4-1.htm" TargetMode="External"/><Relationship Id="rId42" Type="http://schemas.openxmlformats.org/officeDocument/2006/relationships/hyperlink" Target="https://www.sec.gov/Archives/edgar/data/2001557/000114036124044030/ef20037576_ex4-1.htm" TargetMode="External"/><Relationship Id="rId43" Type="http://schemas.openxmlformats.org/officeDocument/2006/relationships/hyperlink" Target="https://www.sec.gov/Archives/edgar/data/2001557/000114036124044030/ef20037576_ex4-1.htm" TargetMode="External"/><Relationship Id="rId44" Type="http://schemas.openxmlformats.org/officeDocument/2006/relationships/hyperlink" Target="https://www.sec.gov/Archives/edgar/data/2001557/000114036124044030/ef20037576_ex4-2.htm" TargetMode="External"/><Relationship Id="rId45" Type="http://schemas.openxmlformats.org/officeDocument/2006/relationships/hyperlink" Target="https://www.sec.gov/Archives/edgar/data/2001557/000114036124044030/ef20037576_ex4-2.htm" TargetMode="External"/><Relationship Id="rId46" Type="http://schemas.openxmlformats.org/officeDocument/2006/relationships/hyperlink" Target="https://www.sec.gov/Archives/edgar/data/2001557/000114036124044030/ef20037576_ex4-2.htm" TargetMode="External"/><Relationship Id="rId47" Type="http://schemas.openxmlformats.org/officeDocument/2006/relationships/hyperlink" Target="https://www.sec.gov/Archives/edgar/data/2001557/000162828025017703/exhibit41-firstdebenture.htm" TargetMode="External"/><Relationship Id="rId48" Type="http://schemas.openxmlformats.org/officeDocument/2006/relationships/hyperlink" Target="https://www.sec.gov/Archives/edgar/data/2001557/000162828025017703/exhibit41-firstdebenture.htm" TargetMode="External"/><Relationship Id="rId49" Type="http://schemas.openxmlformats.org/officeDocument/2006/relationships/hyperlink" Target="https://www.sec.gov/Archives/edgar/data/2001557/000162828025017703/exhibit42-wtifundxllcwar.htm" TargetMode="External"/><Relationship Id="rId50" Type="http://schemas.openxmlformats.org/officeDocument/2006/relationships/hyperlink" Target="https://www.sec.gov/Archives/edgar/data/2001557/000162828025017703/exhibit42-wtifundxllcwar.htm" TargetMode="External"/><Relationship Id="rId51" Type="http://schemas.openxmlformats.org/officeDocument/2006/relationships/hyperlink" Target="https://www.sec.gov/Archives/edgar/data/2001557/000162828025017703/exhibit42-wtifundxllcwar.htm" TargetMode="External"/><Relationship Id="rId52" Type="http://schemas.openxmlformats.org/officeDocument/2006/relationships/hyperlink" Target="https://www.sec.gov/Archives/edgar/data/2001557/000162828025017703/exhibit43-wtifundxillcwa.htm" TargetMode="External"/><Relationship Id="rId53" Type="http://schemas.openxmlformats.org/officeDocument/2006/relationships/hyperlink" Target="https://www.sec.gov/Archives/edgar/data/2001557/000162828025017703/exhibit43-wtifundxillcwa.htm" TargetMode="External"/><Relationship Id="rId54" Type="http://schemas.openxmlformats.org/officeDocument/2006/relationships/hyperlink" Target="https://www.sec.gov/Archives/edgar/data/2001557/000162828025017703/exhibit43-wtifundxillcwa.htm" TargetMode="External"/><Relationship Id="rId55" Type="http://schemas.openxmlformats.org/officeDocument/2006/relationships/hyperlink" Target="https://www.sec.gov/Archives/edgar/data/1847577/000114036121034554/nt10022269x10_ex10-4.htm" TargetMode="External"/><Relationship Id="rId56" Type="http://schemas.openxmlformats.org/officeDocument/2006/relationships/hyperlink" Target="https://www.sec.gov/Archives/edgar/data/1847577/000114036121034554/nt10022269x10_ex10-4.htm" TargetMode="External"/><Relationship Id="rId57" Type="http://schemas.openxmlformats.org/officeDocument/2006/relationships/hyperlink" Target="https://www.sec.gov/Archives/edgar/data/1847577/000114036121034554/nt10022269x10_ex10-4.htm" TargetMode="External"/><Relationship Id="rId58" Type="http://schemas.openxmlformats.org/officeDocument/2006/relationships/hyperlink" Target="https://www.sec.gov/Archives/edgar/data/1847577/000114036121034554/nt10022269x10_ex10-4.htm" TargetMode="External"/><Relationship Id="rId59" Type="http://schemas.openxmlformats.org/officeDocument/2006/relationships/hyperlink" Target="https://www.sec.gov/Archives/edgar/data/2001557/000114036124004075/ny20012992x3_ex10-8.htm" TargetMode="External"/><Relationship Id="rId60" Type="http://schemas.openxmlformats.org/officeDocument/2006/relationships/hyperlink" Target="https://www.sec.gov/Archives/edgar/data/2001557/000114036124004075/ny20012992x3_ex10-8.htm" TargetMode="External"/><Relationship Id="rId61" Type="http://schemas.openxmlformats.org/officeDocument/2006/relationships/hyperlink" Target="https://www.sec.gov/Archives/edgar/data/2001557/000114036124004075/ny20012992x3_ex10-8.htm" TargetMode="External"/><Relationship Id="rId62" Type="http://schemas.openxmlformats.org/officeDocument/2006/relationships/hyperlink" Target="https://www.sec.gov/Archives/edgar/data/2001557/000114036124004075/ny20012992x3_ex10-12.htm" TargetMode="External"/><Relationship Id="rId63" Type="http://schemas.openxmlformats.org/officeDocument/2006/relationships/hyperlink" Target="https://www.sec.gov/Archives/edgar/data/2001557/000114036124004075/ny20012992x3_ex10-12.htm" TargetMode="External"/><Relationship Id="rId64" Type="http://schemas.openxmlformats.org/officeDocument/2006/relationships/hyperlink" Target="https://www.sec.gov/Archives/edgar/data/2001557/000114036124004075/ny20012992x3_ex10-12.htm" TargetMode="External"/><Relationship Id="rId65" Type="http://schemas.openxmlformats.org/officeDocument/2006/relationships/hyperlink" Target="https://www.sec.gov/Archives/edgar/data/2001557/000114036124004075/ny20012992x3_ex10-13.htm" TargetMode="External"/><Relationship Id="rId66" Type="http://schemas.openxmlformats.org/officeDocument/2006/relationships/hyperlink" Target="https://www.sec.gov/Archives/edgar/data/2001557/000114036124004075/ny20012992x3_ex10-13.htm" TargetMode="External"/><Relationship Id="rId67" Type="http://schemas.openxmlformats.org/officeDocument/2006/relationships/hyperlink" Target="https://www.sec.gov/Archives/edgar/data/2001557/000114036124004075/ny20012992x3_ex10-13.htm" TargetMode="External"/><Relationship Id="rId68" Type="http://schemas.openxmlformats.org/officeDocument/2006/relationships/hyperlink" Target="https://www.sec.gov/Archives/edgar/data/2001557/000114036124004075/ny20012992x3_ex10-13.htm" TargetMode="External"/><Relationship Id="rId69" Type="http://schemas.openxmlformats.org/officeDocument/2006/relationships/hyperlink" Target="https://www.sec.gov/Archives/edgar/data/2001557/000114036124004075/ny20012992x3_ex10-14.htm" TargetMode="External"/><Relationship Id="rId70" Type="http://schemas.openxmlformats.org/officeDocument/2006/relationships/hyperlink" Target="https://www.sec.gov/Archives/edgar/data/2001557/000114036124004075/ny20012992x3_ex10-14.htm" TargetMode="External"/><Relationship Id="rId71" Type="http://schemas.openxmlformats.org/officeDocument/2006/relationships/hyperlink" Target="https://www.sec.gov/Archives/edgar/data/2001557/000114036124004075/ny20012992x3_ex10-14.htm" TargetMode="External"/><Relationship Id="rId72" Type="http://schemas.openxmlformats.org/officeDocument/2006/relationships/hyperlink" Target="https://www.sec.gov/Archives/edgar/data/2001557/000114036124004075/ny20012992x3_ex10-14.htm" TargetMode="External"/><Relationship Id="rId73" Type="http://schemas.openxmlformats.org/officeDocument/2006/relationships/hyperlink" Target="https://www.sec.gov/Archives/edgar/data/2001557/000114036124004075/ny20012992x3_ex10-15.htm" TargetMode="External"/><Relationship Id="rId74" Type="http://schemas.openxmlformats.org/officeDocument/2006/relationships/hyperlink" Target="https://www.sec.gov/Archives/edgar/data/2001557/000114036124004075/ny20012992x3_ex10-15.htm" TargetMode="External"/><Relationship Id="rId75" Type="http://schemas.openxmlformats.org/officeDocument/2006/relationships/hyperlink" Target="https://www.sec.gov/Archives/edgar/data/2001557/000114036124004075/ny20012992x3_ex10-15.htm" TargetMode="External"/><Relationship Id="rId76" Type="http://schemas.openxmlformats.org/officeDocument/2006/relationships/hyperlink" Target="https://www.sec.gov/Archives/edgar/data/2001557/000114036124004075/ny20012992x3_ex10-15.htm" TargetMode="External"/><Relationship Id="rId77" Type="http://schemas.openxmlformats.org/officeDocument/2006/relationships/hyperlink" Target="https://www.sec.gov/Archives/edgar/data/1847577/000114036121034554/nt10022269x10_ex10-1.htm" TargetMode="External"/><Relationship Id="rId78" Type="http://schemas.openxmlformats.org/officeDocument/2006/relationships/hyperlink" Target="https://www.sec.gov/Archives/edgar/data/1847577/000114036121034554/nt10022269x10_ex10-1.htm" TargetMode="External"/><Relationship Id="rId79" Type="http://schemas.openxmlformats.org/officeDocument/2006/relationships/hyperlink" Target="https://www.sec.gov/Archives/edgar/data/1847577/000114036121034554/nt10022269x10_ex10-1.htm" TargetMode="External"/><Relationship Id="rId80" Type="http://schemas.openxmlformats.org/officeDocument/2006/relationships/hyperlink" Target="https://www.sec.gov/Archives/edgar/data/2001557/000162828025017614/exhibit108to2024contract.htm" TargetMode="External"/><Relationship Id="rId81" Type="http://schemas.openxmlformats.org/officeDocument/2006/relationships/hyperlink" Target="https://www.sec.gov/Archives/edgar/data/2001557/000162828025017614/exhibit108to2024contract.htm" TargetMode="External"/><Relationship Id="rId82" Type="http://schemas.openxmlformats.org/officeDocument/2006/relationships/hyperlink" Target="https://www.sec.gov/Archives/edgar/data/2001557/000162828025017614/exhibit108to2024contract.htm" TargetMode="External"/><Relationship Id="rId83" Type="http://schemas.openxmlformats.org/officeDocument/2006/relationships/hyperlink" Target="https://www.sec.gov/Archives/edgar/data/2001557/000114036124019672/ny20012992x7_ex10-24.htm" TargetMode="External"/><Relationship Id="rId84" Type="http://schemas.openxmlformats.org/officeDocument/2006/relationships/hyperlink" Target="https://www.sec.gov/Archives/edgar/data/2001557/000114036124019672/ny20012992x7_ex10-24.htm" TargetMode="External"/><Relationship Id="rId85" Type="http://schemas.openxmlformats.org/officeDocument/2006/relationships/hyperlink" Target="https://www.sec.gov/Archives/edgar/data/2001557/000114036124019672/ny20012992x7_ex10-24.htm" TargetMode="External"/><Relationship Id="rId86" Type="http://schemas.openxmlformats.org/officeDocument/2006/relationships/hyperlink" Target="https://www.sec.gov/Archives/edgar/data/2001557/000114036124019672/ny20012992x7_ex10-25.htm" TargetMode="External"/><Relationship Id="rId87" Type="http://schemas.openxmlformats.org/officeDocument/2006/relationships/hyperlink" Target="https://www.sec.gov/Archives/edgar/data/2001557/000114036124019672/ny20012992x7_ex10-25.htm" TargetMode="External"/><Relationship Id="rId88" Type="http://schemas.openxmlformats.org/officeDocument/2006/relationships/hyperlink" Target="https://www.sec.gov/Archives/edgar/data/2001557/000114036124019672/ny20012992x7_ex10-25.htm" TargetMode="External"/><Relationship Id="rId89" Type="http://schemas.openxmlformats.org/officeDocument/2006/relationships/hyperlink" Target="https://www.sec.gov/Archives/edgar/data/2001557/000114036124019672/ny20012992x7_ex10-26.htm" TargetMode="External"/><Relationship Id="rId90" Type="http://schemas.openxmlformats.org/officeDocument/2006/relationships/hyperlink" Target="https://www.sec.gov/Archives/edgar/data/2001557/000114036124019672/ny20012992x7_ex10-26.htm" TargetMode="External"/><Relationship Id="rId91" Type="http://schemas.openxmlformats.org/officeDocument/2006/relationships/hyperlink" Target="https://www.sec.gov/Archives/edgar/data/2001557/000114036124019672/ny20012992x7_ex10-26.htm" TargetMode="External"/><Relationship Id="rId92" Type="http://schemas.openxmlformats.org/officeDocument/2006/relationships/hyperlink" Target="https://www.sec.gov/Archives/edgar/data/2001557/000114036124025505/ny20012992x12_ex10-27.htm" TargetMode="External"/><Relationship Id="rId93" Type="http://schemas.openxmlformats.org/officeDocument/2006/relationships/hyperlink" Target="https://www.sec.gov/Archives/edgar/data/2001557/000114036124025505/ny20012992x12_ex10-27.htm" TargetMode="External"/><Relationship Id="rId94" Type="http://schemas.openxmlformats.org/officeDocument/2006/relationships/hyperlink" Target="https://www.sec.gov/Archives/edgar/data/2001557/000114036124025505/ny20012992x12_ex10-27.htm" TargetMode="External"/><Relationship Id="rId95" Type="http://schemas.openxmlformats.org/officeDocument/2006/relationships/hyperlink" Target="https://www.sec.gov/Archives/edgar/data/1847577/000114036124000451/ef20017927_ex10-1.htm" TargetMode="External"/><Relationship Id="rId96" Type="http://schemas.openxmlformats.org/officeDocument/2006/relationships/hyperlink" Target="https://www.sec.gov/Archives/edgar/data/1847577/000114036124000451/ef20017927_ex10-1.htm" TargetMode="External"/><Relationship Id="rId97" Type="http://schemas.openxmlformats.org/officeDocument/2006/relationships/hyperlink" Target="https://www.sec.gov/Archives/edgar/data/1847577/000114036124000451/ef20017927_ex10-1.htm" TargetMode="External"/><Relationship Id="rId98" Type="http://schemas.openxmlformats.org/officeDocument/2006/relationships/hyperlink" Target="https://www.sec.gov/Archives/edgar/data/1847577/000114036124015028/ef20025004_ex10-1.htm" TargetMode="External"/><Relationship Id="rId99" Type="http://schemas.openxmlformats.org/officeDocument/2006/relationships/hyperlink" Target="https://www.sec.gov/Archives/edgar/data/1847577/000114036124015028/ef20025004_ex10-1.htm" TargetMode="External"/><Relationship Id="rId100" Type="http://schemas.openxmlformats.org/officeDocument/2006/relationships/hyperlink" Target="https://www.sec.gov/Archives/edgar/data/1847577/000114036124015028/ef20025004_ex10-1.htm" TargetMode="External"/><Relationship Id="rId101" Type="http://schemas.openxmlformats.org/officeDocument/2006/relationships/hyperlink" Target="https://www.sec.gov/Archives/edgar/data/2001557/000114036124033924/ny20012992x19_ex10-32.htm" TargetMode="External"/><Relationship Id="rId102" Type="http://schemas.openxmlformats.org/officeDocument/2006/relationships/hyperlink" Target="https://www.sec.gov/Archives/edgar/data/2001557/000114036124033924/ny20012992x19_ex10-32.htm" TargetMode="External"/><Relationship Id="rId103" Type="http://schemas.openxmlformats.org/officeDocument/2006/relationships/hyperlink" Target="https://www.sec.gov/Archives/edgar/data/2001557/000114036124033924/ny20012992x19_ex10-32.htm" TargetMode="External"/><Relationship Id="rId104" Type="http://schemas.openxmlformats.org/officeDocument/2006/relationships/hyperlink" Target="https://www.sec.gov/Archives/edgar/data/2001557/000114036124033924/ny20012992x19_ex10-33.htm" TargetMode="External"/><Relationship Id="rId105" Type="http://schemas.openxmlformats.org/officeDocument/2006/relationships/hyperlink" Target="https://www.sec.gov/Archives/edgar/data/2001557/000114036124033924/ny20012992x19_ex10-33.htm" TargetMode="External"/><Relationship Id="rId106" Type="http://schemas.openxmlformats.org/officeDocument/2006/relationships/hyperlink" Target="https://www.sec.gov/Archives/edgar/data/2001557/000114036124033924/ny20012992x19_ex10-33.htm" TargetMode="External"/><Relationship Id="rId107" Type="http://schemas.openxmlformats.org/officeDocument/2006/relationships/hyperlink" Target="https://www.sec.gov/Archives/edgar/data/2001557/000114036124033924/ny20012992x19_ex10-33.htm" TargetMode="External"/><Relationship Id="rId108" Type="http://schemas.openxmlformats.org/officeDocument/2006/relationships/hyperlink" Target="https://www.sec.gov/Archives/edgar/data/2001557/000114036124030557/ny20012992x17_ex10-34.htm" TargetMode="External"/><Relationship Id="rId109" Type="http://schemas.openxmlformats.org/officeDocument/2006/relationships/hyperlink" Target="https://www.sec.gov/Archives/edgar/data/2001557/000114036124030557/ny20012992x17_ex10-34.htm" TargetMode="External"/><Relationship Id="rId110" Type="http://schemas.openxmlformats.org/officeDocument/2006/relationships/hyperlink" Target="https://www.sec.gov/Archives/edgar/data/2001557/000114036124030557/ny20012992x17_ex10-34.htm" TargetMode="External"/><Relationship Id="rId111" Type="http://schemas.openxmlformats.org/officeDocument/2006/relationships/hyperlink" Target="https://www.sec.gov/Archives/edgar/data/2001557/000114036124004075/ny20012992x3_ex10-28.htm" TargetMode="External"/><Relationship Id="rId112" Type="http://schemas.openxmlformats.org/officeDocument/2006/relationships/hyperlink" Target="https://www.sec.gov/Archives/edgar/data/2001557/000114036124004075/ny20012992x3_ex10-28.htm" TargetMode="External"/><Relationship Id="rId113" Type="http://schemas.openxmlformats.org/officeDocument/2006/relationships/hyperlink" Target="https://www.sec.gov/Archives/edgar/data/2001557/000114036124004075/ny20012992x3_ex10-28.htm" TargetMode="External"/><Relationship Id="rId114" Type="http://schemas.openxmlformats.org/officeDocument/2006/relationships/hyperlink" Target="https://www.sec.gov/Archives/edgar/data/2001557/000114036124004075/ny20012992x3_ex10-28.htm" TargetMode="External"/><Relationship Id="rId115" Type="http://schemas.openxmlformats.org/officeDocument/2006/relationships/hyperlink" Target="https://www.sec.gov/Archives/edgar/data/2001557/000114036124030557/ny20012992x17_ex10-37.htm" TargetMode="External"/><Relationship Id="rId116" Type="http://schemas.openxmlformats.org/officeDocument/2006/relationships/hyperlink" Target="https://www.sec.gov/Archives/edgar/data/2001557/000114036124030557/ny20012992x17_ex10-37.htm" TargetMode="External"/><Relationship Id="rId117" Type="http://schemas.openxmlformats.org/officeDocument/2006/relationships/hyperlink" Target="https://www.sec.gov/Archives/edgar/data/2001557/000114036124030557/ny20012992x17_ex10-37.htm" TargetMode="External"/><Relationship Id="rId118" Type="http://schemas.openxmlformats.org/officeDocument/2006/relationships/hyperlink" Target="https://www.sec.gov/Archives/edgar/data/2001557/000114036124030557/ny20012992x17_ex10-38.htm" TargetMode="External"/><Relationship Id="rId119" Type="http://schemas.openxmlformats.org/officeDocument/2006/relationships/hyperlink" Target="https://www.sec.gov/Archives/edgar/data/2001557/000114036124030557/ny20012992x17_ex10-38.htm" TargetMode="External"/><Relationship Id="rId120" Type="http://schemas.openxmlformats.org/officeDocument/2006/relationships/hyperlink" Target="https://www.sec.gov/Archives/edgar/data/2001557/000114036124030557/ny20012992x17_ex10-38.htm" TargetMode="External"/><Relationship Id="rId121" Type="http://schemas.openxmlformats.org/officeDocument/2006/relationships/hyperlink" Target="https://www.sec.gov/Archives/edgar/data/2001557/000114036124030557/ny20012992x17_ex10-39.htm" TargetMode="External"/><Relationship Id="rId122" Type="http://schemas.openxmlformats.org/officeDocument/2006/relationships/hyperlink" Target="https://www.sec.gov/Archives/edgar/data/2001557/000114036124030557/ny20012992x17_ex10-39.htm" TargetMode="External"/><Relationship Id="rId123" Type="http://schemas.openxmlformats.org/officeDocument/2006/relationships/hyperlink" Target="https://www.sec.gov/Archives/edgar/data/2001557/000114036124030557/ny20012992x17_ex10-39.htm" TargetMode="External"/><Relationship Id="rId124" Type="http://schemas.openxmlformats.org/officeDocument/2006/relationships/hyperlink" Target="https://www.sec.gov/Archives/edgar/data/2001557/000114036124039013/ny20012992x24_ex10-46.htm" TargetMode="External"/><Relationship Id="rId125" Type="http://schemas.openxmlformats.org/officeDocument/2006/relationships/hyperlink" Target="https://www.sec.gov/Archives/edgar/data/2001557/000114036124039013/ny20012992x24_ex10-46.htm" TargetMode="External"/><Relationship Id="rId126" Type="http://schemas.openxmlformats.org/officeDocument/2006/relationships/hyperlink" Target="https://www.sec.gov/Archives/edgar/data/2001557/000114036124039013/ny20012992x24_ex10-46.htm" TargetMode="External"/><Relationship Id="rId127" Type="http://schemas.openxmlformats.org/officeDocument/2006/relationships/hyperlink" Target="https://www.sec.gov/Archives/edgar/data/1847577/000114036121034554/nt10022269x10_ex4-1.htm" TargetMode="External"/><Relationship Id="rId128" Type="http://schemas.openxmlformats.org/officeDocument/2006/relationships/hyperlink" Target="https://www.sec.gov/Archives/edgar/data/1847577/000114036121034554/nt10022269x10_ex4-1.htm" TargetMode="External"/><Relationship Id="rId129" Type="http://schemas.openxmlformats.org/officeDocument/2006/relationships/hyperlink" Target="https://www.sec.gov/Archives/edgar/data/1847577/000114036121034554/nt10022269x10_ex4-1.htm" TargetMode="External"/><Relationship Id="rId130" Type="http://schemas.openxmlformats.org/officeDocument/2006/relationships/hyperlink" Target="https://www.sec.gov/Archives/edgar/data/1847577/000114036121034554/nt10022269x10_ex4-1.htm" TargetMode="External"/><Relationship Id="rId131" Type="http://schemas.openxmlformats.org/officeDocument/2006/relationships/hyperlink" Target="https://www.sec.gov/Archives/edgar/data/2001557/000114036124043179/ef20036737_ex10-2.htm" TargetMode="External"/><Relationship Id="rId132" Type="http://schemas.openxmlformats.org/officeDocument/2006/relationships/hyperlink" Target="https://www.sec.gov/Archives/edgar/data/2001557/000114036124043179/ef20036737_ex10-2.htm" TargetMode="External"/><Relationship Id="rId133" Type="http://schemas.openxmlformats.org/officeDocument/2006/relationships/hyperlink" Target="https://www.sec.gov/Archives/edgar/data/2001557/000114036124043179/ef20036737_ex10-2.htm" TargetMode="External"/><Relationship Id="rId134" Type="http://schemas.openxmlformats.org/officeDocument/2006/relationships/hyperlink" Target="https://www.sec.gov/Archives/edgar/data/2001557/000114036124043179/ef20036737_ex10-2.htm" TargetMode="External"/><Relationship Id="rId135" Type="http://schemas.openxmlformats.org/officeDocument/2006/relationships/hyperlink" Target="https://www.sec.gov/Archives/edgar/data/2001557/000114036124043179/ef20036737_ex10-2.htm" TargetMode="External"/><Relationship Id="rId136" Type="http://schemas.openxmlformats.org/officeDocument/2006/relationships/hyperlink" Target="https://www.sec.gov/Archives/edgar/data/2001557/000114036124043179/ef20036737_ex10-3.htm" TargetMode="External"/><Relationship Id="rId137" Type="http://schemas.openxmlformats.org/officeDocument/2006/relationships/hyperlink" Target="https://www.sec.gov/Archives/edgar/data/2001557/000114036124043179/ef20036737_ex10-3.htm" TargetMode="External"/><Relationship Id="rId138" Type="http://schemas.openxmlformats.org/officeDocument/2006/relationships/hyperlink" Target="https://www.sec.gov/Archives/edgar/data/2001557/000114036124043179/ef20036737_ex10-3.htm" TargetMode="External"/><Relationship Id="rId139" Type="http://schemas.openxmlformats.org/officeDocument/2006/relationships/hyperlink" Target="https://www.sec.gov/Archives/edgar/data/2001557/000114036124043179/ef20036737_ex10-3.htm" TargetMode="External"/><Relationship Id="rId140" Type="http://schemas.openxmlformats.org/officeDocument/2006/relationships/hyperlink" Target="https://www.sec.gov/Archives/edgar/data/2001557/000114036124043179/ef20036737_ex10-4.htm" TargetMode="External"/><Relationship Id="rId141" Type="http://schemas.openxmlformats.org/officeDocument/2006/relationships/hyperlink" Target="https://www.sec.gov/Archives/edgar/data/2001557/000114036124043179/ef20036737_ex10-4.htm" TargetMode="External"/><Relationship Id="rId142" Type="http://schemas.openxmlformats.org/officeDocument/2006/relationships/hyperlink" Target="https://www.sec.gov/Archives/edgar/data/2001557/000114036124043179/ef20036737_ex10-4.htm" TargetMode="External"/><Relationship Id="rId143" Type="http://schemas.openxmlformats.org/officeDocument/2006/relationships/hyperlink" Target="https://www.sec.gov/Archives/edgar/data/2001557/000114036124043179/ef20036737_ex10-7.htm" TargetMode="External"/><Relationship Id="rId144" Type="http://schemas.openxmlformats.org/officeDocument/2006/relationships/hyperlink" Target="https://www.sec.gov/Archives/edgar/data/2001557/000114036124043179/ef20036737_ex10-7.htm" TargetMode="External"/><Relationship Id="rId145" Type="http://schemas.openxmlformats.org/officeDocument/2006/relationships/hyperlink" Target="https://www.sec.gov/Archives/edgar/data/2001557/000114036124043179/ef20036737_ex10-9.htm" TargetMode="External"/><Relationship Id="rId146" Type="http://schemas.openxmlformats.org/officeDocument/2006/relationships/hyperlink" Target="https://www.sec.gov/Archives/edgar/data/2001557/000114036124043179/ef20036737_ex10-9.htm" TargetMode="External"/><Relationship Id="rId147" Type="http://schemas.openxmlformats.org/officeDocument/2006/relationships/hyperlink" Target="https://www.sec.gov/Archives/edgar/data/2001557/000114036124043179/ef20036737_ex10-9.htm" TargetMode="External"/><Relationship Id="rId148" Type="http://schemas.openxmlformats.org/officeDocument/2006/relationships/hyperlink" Target="https://www.sec.gov/Archives/edgar/data/2001557/000114036124043179/ef20036737_ex10-10.htm" TargetMode="External"/><Relationship Id="rId149" Type="http://schemas.openxmlformats.org/officeDocument/2006/relationships/hyperlink" Target="https://www.sec.gov/Archives/edgar/data/2001557/000114036124043179/ef20036737_ex10-10.htm" TargetMode="External"/><Relationship Id="rId150" Type="http://schemas.openxmlformats.org/officeDocument/2006/relationships/hyperlink" Target="https://www.sec.gov/Archives/edgar/data/2001557/000114036124043179/ef20036737_ex10-10.htm" TargetMode="External"/><Relationship Id="rId151" Type="http://schemas.openxmlformats.org/officeDocument/2006/relationships/hyperlink" Target="https://www.sec.gov/Archives/edgar/data/2001557/000114036124044030/ef20037576_ex10-1.htm" TargetMode="External"/><Relationship Id="rId152" Type="http://schemas.openxmlformats.org/officeDocument/2006/relationships/hyperlink" Target="https://www.sec.gov/Archives/edgar/data/2001557/000114036124044030/ef20037576_ex10-1.htm" TargetMode="External"/><Relationship Id="rId153" Type="http://schemas.openxmlformats.org/officeDocument/2006/relationships/hyperlink" Target="https://www.sec.gov/Archives/edgar/data/2001557/000114036124044030/ef20037576_ex10-1.htm" TargetMode="External"/><Relationship Id="rId154" Type="http://schemas.openxmlformats.org/officeDocument/2006/relationships/hyperlink" Target="https://www.sec.gov/Archives/edgar/data/2001557/000114036124044030/ef20037576_ex10-2.htm" TargetMode="External"/><Relationship Id="rId155" Type="http://schemas.openxmlformats.org/officeDocument/2006/relationships/hyperlink" Target="https://www.sec.gov/Archives/edgar/data/2001557/000114036124044030/ef20037576_ex10-2.htm" TargetMode="External"/><Relationship Id="rId156" Type="http://schemas.openxmlformats.org/officeDocument/2006/relationships/hyperlink" Target="https://www.sec.gov/Archives/edgar/data/2001557/000114036124044030/ef20037576_ex10-2.htm" TargetMode="External"/><Relationship Id="rId157" Type="http://schemas.openxmlformats.org/officeDocument/2006/relationships/hyperlink" Target="https://www.sec.gov/Archives/edgar/data/2001557/000114036124049398/ef20039943_ex10-1.htm" TargetMode="External"/><Relationship Id="rId158" Type="http://schemas.openxmlformats.org/officeDocument/2006/relationships/hyperlink" Target="https://www.sec.gov/Archives/edgar/data/2001557/000114036124049398/ef20039943_ex10-1.htm" TargetMode="External"/><Relationship Id="rId159" Type="http://schemas.openxmlformats.org/officeDocument/2006/relationships/hyperlink" Target="https://www.sec.gov/Archives/edgar/data/2001557/000114036124049398/ef20039943_ex10-1.htm" TargetMode="External"/><Relationship Id="rId160" Type="http://schemas.openxmlformats.org/officeDocument/2006/relationships/hyperlink" Target="https://www.sec.gov/Archives/edgar/data/2001557/000114036124049398/ef20039943_ex10-2.htm" TargetMode="External"/><Relationship Id="rId161" Type="http://schemas.openxmlformats.org/officeDocument/2006/relationships/hyperlink" Target="https://www.sec.gov/Archives/edgar/data/2001557/000114036124049398/ef20039943_ex10-2.htm" TargetMode="External"/><Relationship Id="rId162" Type="http://schemas.openxmlformats.org/officeDocument/2006/relationships/hyperlink" Target="https://www.sec.gov/Archives/edgar/data/2001557/000114036124049398/ef20039943_ex10-2.htm" TargetMode="External"/><Relationship Id="rId163" Type="http://schemas.openxmlformats.org/officeDocument/2006/relationships/hyperlink" Target="https://www.sec.gov/Archives/edgar/data/2001557/000162828025017614/exhibit1035to2024formofnot.htm" TargetMode="External"/><Relationship Id="rId164" Type="http://schemas.openxmlformats.org/officeDocument/2006/relationships/hyperlink" Target="https://www.sec.gov/Archives/edgar/data/2001557/000162828025017614/exhibit1035to2024formofnot.htm" TargetMode="External"/><Relationship Id="rId165" Type="http://schemas.openxmlformats.org/officeDocument/2006/relationships/hyperlink" Target="https://www.sec.gov/Archives/edgar/data/2001557/000162828025017614/exhibit1036to2024formofnot.htm" TargetMode="External"/><Relationship Id="rId166" Type="http://schemas.openxmlformats.org/officeDocument/2006/relationships/hyperlink" Target="https://www.sec.gov/Archives/edgar/data/2001557/000162828025017614/exhibit1036to2024formofnot.htm" TargetMode="External"/><Relationship Id="rId167" Type="http://schemas.openxmlformats.org/officeDocument/2006/relationships/hyperlink" Target="https://www.sec.gov/Archives/edgar/data/2001557/000114036125010165/ef20045914_ex10-1.htm" TargetMode="External"/><Relationship Id="rId168" Type="http://schemas.openxmlformats.org/officeDocument/2006/relationships/hyperlink" Target="https://www.sec.gov/Archives/edgar/data/2001557/000114036125010165/ef20045914_ex10-1.htm" TargetMode="External"/><Relationship Id="rId169" Type="http://schemas.openxmlformats.org/officeDocument/2006/relationships/hyperlink" Target="https://www.sec.gov/Archives/edgar/data/2001557/000114036125010165/ef20045914_ex10-1.htm" TargetMode="External"/><Relationship Id="rId170" Type="http://schemas.openxmlformats.org/officeDocument/2006/relationships/hyperlink" Target="https://www.sec.gov/Archives/edgar/data/2001557/000114036125010165/ef20045914_ex10-2.htm" TargetMode="External"/><Relationship Id="rId171" Type="http://schemas.openxmlformats.org/officeDocument/2006/relationships/hyperlink" Target="https://www.sec.gov/Archives/edgar/data/2001557/000114036125010165/ef20045914_ex10-2.htm" TargetMode="External"/><Relationship Id="rId172" Type="http://schemas.openxmlformats.org/officeDocument/2006/relationships/hyperlink" Target="https://www.sec.gov/Archives/edgar/data/2001557/000114036125010165/ef20045914_ex10-3.htm" TargetMode="External"/><Relationship Id="rId173" Type="http://schemas.openxmlformats.org/officeDocument/2006/relationships/hyperlink" Target="https://www.sec.gov/Archives/edgar/data/2001557/000114036125010165/ef20045914_ex10-3.htm" TargetMode="External"/><Relationship Id="rId174" Type="http://schemas.openxmlformats.org/officeDocument/2006/relationships/hyperlink" Target="https://www.sec.gov/Archives/edgar/data/2001557/000114036125010344/ef20045913_ex10-1.htm" TargetMode="External"/><Relationship Id="rId175" Type="http://schemas.openxmlformats.org/officeDocument/2006/relationships/hyperlink" Target="https://www.sec.gov/Archives/edgar/data/2001557/000114036125010344/ef20045913_ex10-1.htm" TargetMode="External"/><Relationship Id="rId176" Type="http://schemas.openxmlformats.org/officeDocument/2006/relationships/hyperlink" Target="https://www.sec.gov/Archives/edgar/data/2001557/000114036125010344/ef20045913_ex10-1.htm" TargetMode="External"/><Relationship Id="rId177" Type="http://schemas.openxmlformats.org/officeDocument/2006/relationships/hyperlink" Target="https://www.sec.gov/Archives/edgar/data/2001557/000162828025017703/exhibit101-globalguarant.htm" TargetMode="External"/><Relationship Id="rId178" Type="http://schemas.openxmlformats.org/officeDocument/2006/relationships/hyperlink" Target="https://www.sec.gov/Archives/edgar/data/2001557/000162828025017703/exhibit101-globalguarant.htm" TargetMode="External"/><Relationship Id="rId179" Type="http://schemas.openxmlformats.org/officeDocument/2006/relationships/hyperlink" Target="https://www.sec.gov/Archives/edgar/data/2001557/000162828025017703/exhibit102-registrationr.htm" TargetMode="External"/><Relationship Id="rId180" Type="http://schemas.openxmlformats.org/officeDocument/2006/relationships/hyperlink" Target="https://www.sec.gov/Archives/edgar/data/2001557/000162828025017703/exhibit102-registrationr.htm" TargetMode="External"/><Relationship Id="rId181" Type="http://schemas.openxmlformats.org/officeDocument/2006/relationships/hyperlink" Target="https://www.sec.gov/Archives/edgar/data/2001557/000162828025017703/exhibit102-registrationr.htm" TargetMode="External"/><Relationship Id="rId182" Type="http://schemas.openxmlformats.org/officeDocument/2006/relationships/hyperlink" Target="https://www.sec.gov/Archives/edgar/data/2001557/000162828025017614/exhibit1043-innventure2025.htm" TargetMode="External"/><Relationship Id="rId183" Type="http://schemas.openxmlformats.org/officeDocument/2006/relationships/hyperlink" Target="https://www.sec.gov/Archives/edgar/data/2001557/000162828025017614/exhibit1043-innventure2025.htm" TargetMode="External"/><Relationship Id="rId184" Type="http://schemas.openxmlformats.org/officeDocument/2006/relationships/hyperlink" Target="https://www.sec.gov/Archives/edgar/data/2001557/000162828025017614/exhibit211to2024listofsubs.htm" TargetMode="External"/><Relationship Id="rId185" Type="http://schemas.openxmlformats.org/officeDocument/2006/relationships/hyperlink" Target="https://www.sec.gov/Archives/edgar/data/2001557/000162828025017614/exhibit211to2024listofsubs.htm" TargetMode="External"/><Relationship Id="rId186" Type="http://schemas.openxmlformats.org/officeDocument/2006/relationships/image" Target="media/image4.jpeg"/><Relationship Id="rId187" Type="http://schemas.openxmlformats.org/officeDocument/2006/relationships/image" Target="media/image5.jpeg"/><Relationship Id="rId188" Type="http://schemas.openxmlformats.org/officeDocument/2006/relationships/image" Target="media/image5.jpeg"/><Relationship Id="rId189" Type="http://schemas.openxmlformats.org/officeDocument/2006/relationships/fontTable" Target="fontTable.xml"/><Relationship Id="rId1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98332</Words>
  <Characters>581556</Characters>
  <CharactersWithSpaces>675388</CharactersWithSpaces>
  <Paragraphs>10255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