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1800x1_s3_100-regcov_pg1"/>
        <w:bookmarkStart w:id="1" w:name="ny20061800x1_s3.htm"/>
        <w:bookmarkStart w:id="2" w:name="ksny20061800x1_s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December 23, 2025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FORM S-3</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REGISTRATION STATEMENT</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UNDER</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THE SECURITIES ACT OF 1933</w:t>
      </w:r>
    </w:p>
    <w:p>
      <w:pPr>
        <w:pStyle w:val="TextBody"/>
        <w:bidi w:val="0"/>
        <w:spacing w:before="2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INNVENTURE,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(Exact name of registrant as specified in its charter) </w:t>
      </w:r>
    </w:p>
    <w:tbl>
      <w:tblPr>
        <w:tblW w:w="8435" w:type="dxa"/>
        <w:jc w:val="left"/>
        <w:tblInd w:w="0" w:type="dxa"/>
        <w:tblLayout w:type="fixed"/>
        <w:tblCellMar>
          <w:top w:w="0" w:type="dxa"/>
          <w:left w:w="0" w:type="dxa"/>
          <w:bottom w:w="0" w:type="dxa"/>
          <w:right w:w="0" w:type="dxa"/>
        </w:tblCellMar>
      </w:tblPr>
      <w:tblGrid>
        <w:gridCol w:w="4880"/>
        <w:gridCol w:w="140"/>
        <w:gridCol w:w="140"/>
        <w:gridCol w:w="3275"/>
      </w:tblGrid>
      <w:tr>
        <w:trPr/>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0"/>
              <w:jc w:val="left"/>
              <w:rPr/>
            </w:pPr>
            <w:r>
              <w:rPr/>
              <w:t> </w:t>
            </w:r>
          </w:p>
        </w:tc>
      </w:tr>
      <w:tr>
        <w:trPr/>
        <w:tc>
          <w:tcPr>
            <w:tcW w:w="48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93-4440048 </w:t>
            </w:r>
          </w:p>
        </w:tc>
      </w:tr>
      <w:tr>
        <w:trPr/>
        <w:tc>
          <w:tcPr>
            <w:tcW w:w="48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(State or other jurisdiction of 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(I.R.S. Employer Identification Number)</w:t>
            </w:r>
          </w:p>
        </w:tc>
      </w:tr>
      <w:tr>
        <w:trPr/>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0"/>
              <w:jc w:val="left"/>
              <w:rPr/>
            </w:pPr>
            <w:r>
              <w:rPr/>
              <w:t> </w:t>
            </w:r>
          </w:p>
        </w:tc>
      </w:tr>
    </w:tbl>
    <w:p>
      <w:pPr>
        <w:pStyle w:val="TextBody"/>
        <w:bidi w:val="0"/>
        <w:spacing w:before="70" w:after="283"/>
        <w:jc w:val="center"/>
        <w:rPr>
          <w:rFonts w:ascii="Times New Roman;Times;serif" w:hAnsi="Times New Roman;Times;serif"/>
          <w:b/>
          <w:color w:val="000000"/>
          <w:sz w:val="18"/>
        </w:rPr>
      </w:pPr>
      <w:r>
        <w:rPr>
          <w:rFonts w:ascii="Times New Roman;Times;serif" w:hAnsi="Times New Roman;Times;serif"/>
          <w:b/>
          <w:color w:val="000000"/>
          <w:sz w:val="18"/>
        </w:rPr>
        <w:t>6900 Tavistock Lakes Blvd, Suite 400</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Orlando, Florida 32827</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(321) 209-6787 </w:t>
      </w:r>
    </w:p>
    <w:p>
      <w:pPr>
        <w:pStyle w:val="TextBody"/>
        <w:bidi w:val="0"/>
        <w:spacing w:before="70" w:after="283"/>
        <w:jc w:val="center"/>
        <w:rPr>
          <w:rFonts w:ascii="Times New Roman;Times;serif" w:hAnsi="Times New Roman;Times;serif"/>
          <w:color w:val="000000"/>
          <w:sz w:val="18"/>
        </w:rPr>
      </w:pPr>
      <w:r>
        <w:rPr>
          <w:rFonts w:ascii="Times New Roman;Times;serif" w:hAnsi="Times New Roman;Times;serif"/>
          <w:color w:val="000000"/>
          <w:sz w:val="18"/>
        </w:rPr>
        <w:t xml:space="preserve">(Address, including zip code, and telephone number, including area code, of registrant’s principal executive offices) </w:t>
      </w:r>
    </w:p>
    <w:p>
      <w:pPr>
        <w:pStyle w:val="TextBody"/>
        <w:bidi w:val="0"/>
        <w:spacing w:before="70" w:after="283"/>
        <w:jc w:val="center"/>
        <w:rPr>
          <w:rFonts w:ascii="Times New Roman;Times;serif" w:hAnsi="Times New Roman;Times;serif"/>
          <w:b/>
          <w:color w:val="000000"/>
          <w:sz w:val="18"/>
        </w:rPr>
      </w:pPr>
      <w:r>
        <w:rPr>
          <w:rFonts w:ascii="Times New Roman;Times;serif" w:hAnsi="Times New Roman;Times;serif"/>
          <w:b/>
          <w:color w:val="000000"/>
          <w:sz w:val="18"/>
        </w:rPr>
        <w:t>Gregory W. Haskell</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Innventure, Inc.</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6900 Tavistock Lakes Blvd, Suite 400</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Orlando, Florida 32827</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(321) 209-6787 </w:t>
      </w:r>
    </w:p>
    <w:p>
      <w:pPr>
        <w:pStyle w:val="TextBody"/>
        <w:bidi w:val="0"/>
        <w:spacing w:before="70" w:after="283"/>
        <w:jc w:val="center"/>
        <w:rPr>
          <w:rFonts w:ascii="Times New Roman;Times;serif" w:hAnsi="Times New Roman;Times;serif"/>
          <w:color w:val="000000"/>
          <w:sz w:val="18"/>
        </w:rPr>
      </w:pPr>
      <w:r>
        <w:rPr>
          <w:rFonts w:ascii="Times New Roman;Times;serif" w:hAnsi="Times New Roman;Times;serif"/>
          <w:color w:val="000000"/>
          <w:sz w:val="18"/>
        </w:rPr>
        <w:t xml:space="preserve">(Name, address, including zip code, and telephone number, including area code, of agent for service) </w:t>
      </w:r>
    </w:p>
    <w:p>
      <w:pPr>
        <w:pStyle w:val="TextBody"/>
        <w:bidi w:val="0"/>
        <w:spacing w:before="11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caps w:val="false"/>
          <w:smallCaps w:val="false"/>
          <w:color w:val="000000"/>
          <w:sz w:val="18"/>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Joel T. May</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Thomas L. Short</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Jones Day</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1221 Peachtree Street, N.E., Suite 400</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Atlanta, Georgia 30361</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Tel: (404) 521-3939</w:t>
      </w:r>
    </w:p>
    <w:p>
      <w:pPr>
        <w:pStyle w:val="TextBody"/>
        <w:bidi w:val="0"/>
        <w:spacing w:before="10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Approximate date of commencement of proposed sale to the public</w:t>
      </w:r>
      <w:r>
        <w:rPr>
          <w:rFonts w:ascii="Times New Roman;Times;serif" w:hAnsi="Times New Roman;Times;serif"/>
          <w:b w:val="false"/>
          <w:color w:val="000000"/>
          <w:sz w:val="18"/>
        </w:rPr>
        <w:t>: From time to time after this Registration Statement becomes effective.</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the only securities being registered on this Form are being offered pursuant to dividend or interest reinvestment plans, please check the following box.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90" w:type="dxa"/>
        <w:jc w:val="left"/>
        <w:tblInd w:w="0" w:type="dxa"/>
        <w:tblLayout w:type="fixed"/>
        <w:tblCellMar>
          <w:top w:w="0" w:type="dxa"/>
          <w:left w:w="0" w:type="dxa"/>
          <w:bottom w:w="0" w:type="dxa"/>
          <w:right w:w="0" w:type="dxa"/>
        </w:tblCellMar>
      </w:tblPr>
      <w:tblGrid>
        <w:gridCol w:w="1625"/>
        <w:gridCol w:w="140"/>
        <w:gridCol w:w="140"/>
        <w:gridCol w:w="275"/>
        <w:gridCol w:w="140"/>
        <w:gridCol w:w="140"/>
        <w:gridCol w:w="2000"/>
        <w:gridCol w:w="140"/>
        <w:gridCol w:w="140"/>
        <w:gridCol w:w="350"/>
      </w:tblGrid>
      <w:tr>
        <w:trPr/>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Large 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Non-accelerated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Smaller reporting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Emerging growth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w:t>
            </w:r>
          </w:p>
        </w:tc>
      </w:tr>
      <w:tr>
        <w:trPr/>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6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61800x1_s3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The information contained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DECEMBER 23, 2025</w:t>
      </w:r>
      <w:r>
        <w:rPr>
          <w:rFonts w:ascii="Times New Roman;Times;serif" w:hAnsi="Times New Roman;Times;serif"/>
          <w:b/>
          <w:color w:val="000000"/>
          <w:sz w:val="20"/>
        </w:rPr>
        <w:t xml:space="preserve"> </w:t>
      </w:r>
    </w:p>
    <w:p>
      <w:pPr>
        <w:pStyle w:val="TextBody"/>
        <w:bidi w:val="0"/>
        <w:spacing w:before="28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PROSPECTUS</w:t>
      </w:r>
    </w:p>
    <w:p>
      <w:pPr>
        <w:pStyle w:val="TextBody"/>
        <w:bidi w:val="0"/>
        <w:spacing w:before="275" w:after="283"/>
        <w:jc w:val="center"/>
        <w:rPr>
          <w:color w:val="000000"/>
        </w:rPr>
      </w:pPr>
      <w:r>
        <w:rPr>
          <w:color w:val="000000"/>
        </w:rPr>
        <w:drawing>
          <wp:inline distT="0" distB="0" distL="0" distR="0">
            <wp:extent cx="22098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10" w:after="283"/>
        <w:jc w:val="center"/>
        <w:rPr>
          <w:rFonts w:ascii="Times New Roman;Times;serif" w:hAnsi="Times New Roman;Times;serif"/>
          <w:b/>
          <w:color w:val="000000"/>
          <w:sz w:val="24"/>
        </w:rPr>
      </w:pPr>
      <w:r>
        <w:rPr>
          <w:rFonts w:ascii="Times New Roman;Times;serif" w:hAnsi="Times New Roman;Times;serif"/>
          <w:b/>
          <w:color w:val="000000"/>
          <w:sz w:val="24"/>
        </w:rPr>
        <w:t>$200,000,000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Common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Preferred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Depositary Shares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Warrants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Subscription Rights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Debt Securities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Purchase Contracts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Units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of</w:t>
      </w:r>
    </w:p>
    <w:p>
      <w:pPr>
        <w:pStyle w:val="TextBody"/>
        <w:bidi w:val="0"/>
        <w:spacing w:before="2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INNVENTURE,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and sell from time to time shares of our common stock, preferred stock, depositary shares, warrants, subscription rights, debt securities and purchase contracts, as well as units that include any of these securities. We may sell any combination of these securities in one or more offerings with an aggregate initial offering price of $200,000,000.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the specific terms of the securities to be offered in one or more supplements to this prospectus. You should read this prospectus and any applicable prospectus supplement carefully before you invest in our securities. This prospectus may not be used to offer and sell our securities unless accompanied by a prospectus supplement describing the method and terms of the offering of those offered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our securities through agents, underwriters or dealers or directly to investors. Each prospectus supplement will provide the amount, price and terms of the plan of distribution relating to the securities to be sold pursuant to such prospectus supplement. We will set forth the names of any underwriters or agents in the accompanying prospectus supplement, as well as the net proceeds we expect to receive from such sale. In addition, the underwriters, if any, may over-allot a portion of the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par value $0.0001 per share (“Common Stock”), is listed on the Nasdaq Global Market (“NASDAQ”) under the symbol “INV.” On December 22, 2025, the last reported sales price of our Common Stock was $4.35 per share. None of the other securities that we may offer under this prospectus are currently publicly traded.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are an “emerging growth company” as defined under the U.S. federal securities laws and, as such, have elected to comply with certain reduced public company reporting requirements.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securities is highly speculative and involves a high degree of risk. Please read carefully the section titled “Risk Factors” beginning on page </w:t>
      </w:r>
      <w:hyperlink w:anchor="tRF">
        <w:r>
          <w:rPr>
            <w:rStyle w:val="InternetLink"/>
          </w:rPr>
          <w:t>6</w:t>
        </w:r>
      </w:hyperlink>
      <w:r>
        <w:rPr>
          <w:rFonts w:ascii="Times New Roman;Times;serif" w:hAnsi="Times New Roman;Times;serif"/>
          <w:b/>
          <w:color w:val="000000"/>
          <w:sz w:val="20"/>
        </w:rPr>
        <w:t xml:space="preserve"> of this 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44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61800x1_s3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bidi w:val="0"/>
        <w:spacing w:before="0" w:after="0"/>
        <w:jc w:val="left"/>
        <w:rPr>
          <w:sz w:val="4"/>
          <w:szCs w:val="4"/>
        </w:rPr>
      </w:pPr>
      <w:r>
        <w:rPr>
          <w:sz w:val="4"/>
          <w:szCs w:val="4"/>
        </w:rPr>
      </w:r>
      <w:bookmarkStart w:id="5" w:name="TOC"/>
      <w:bookmarkStart w:id="6" w:name="TOC"/>
      <w:bookmarkEnd w:id="6"/>
    </w:p>
    <w:tbl>
      <w:tblPr>
        <w:tblW w:w="6305" w:type="dxa"/>
        <w:jc w:val="left"/>
        <w:tblInd w:w="0" w:type="dxa"/>
        <w:tblLayout w:type="fixed"/>
        <w:tblCellMar>
          <w:top w:w="0" w:type="dxa"/>
          <w:left w:w="0" w:type="dxa"/>
          <w:bottom w:w="0" w:type="dxa"/>
          <w:right w:w="0" w:type="dxa"/>
        </w:tblCellMar>
      </w:tblPr>
      <w:tblGrid>
        <w:gridCol w:w="5630"/>
        <w:gridCol w:w="140"/>
        <w:gridCol w:w="140"/>
        <w:gridCol w:w="395"/>
      </w:tblGrid>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56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5630" w:type="dxa"/>
            <w:tcBorders/>
            <w:vAlign w:val="center"/>
          </w:tcPr>
          <w:p>
            <w:pPr>
              <w:pStyle w:val="TableContents"/>
              <w:bidi w:val="0"/>
              <w:spacing w:before="0" w:after="283"/>
              <w:ind w:left="0" w:right="0" w:hanging="0"/>
              <w:jc w:val="left"/>
              <w:rPr/>
            </w:pPr>
            <w:hyperlink w:anchor="tWY">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WY">
              <w:r>
                <w:rPr>
                  <w:rStyle w:val="InternetLink"/>
                  <w:rFonts w:ascii="Times New Roman;Times;serif" w:hAnsi="Times New Roman;Times;serif"/>
                  <w:color w:val="000000"/>
                  <w:sz w:val="20"/>
                </w:rPr>
                <w:t>1</w:t>
              </w:r>
            </w:hyperlink>
          </w:p>
        </w:tc>
      </w:tr>
      <w:tr>
        <w:trPr/>
        <w:tc>
          <w:tcPr>
            <w:tcW w:w="5630" w:type="dxa"/>
            <w:tcBorders/>
            <w:shd w:fill="CCEEFF" w:val="clear"/>
            <w:vAlign w:val="center"/>
          </w:tcPr>
          <w:p>
            <w:pPr>
              <w:pStyle w:val="TableContents"/>
              <w:bidi w:val="0"/>
              <w:spacing w:before="0" w:after="283"/>
              <w:ind w:left="0" w:right="0" w:hanging="0"/>
              <w:jc w:val="left"/>
              <w:rPr/>
            </w:pPr>
            <w:hyperlink w:anchor="tICI">
              <w:r>
                <w:rPr>
                  <w:rStyle w:val="InternetLink"/>
                  <w:rFonts w:ascii="Times New Roman;Times;serif" w:hAnsi="Times New Roman;Times;serif"/>
                  <w:color w:val="000000"/>
                  <w:sz w:val="20"/>
                </w:rPr>
                <w:t>INCORPORATION OF CERTAIN INFORMATION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ICI">
              <w:r>
                <w:rPr>
                  <w:rStyle w:val="InternetLink"/>
                  <w:rFonts w:ascii="Times New Roman;Times;serif" w:hAnsi="Times New Roman;Times;serif"/>
                  <w:color w:val="000000"/>
                  <w:sz w:val="20"/>
                </w:rPr>
                <w:t>2</w:t>
              </w:r>
            </w:hyperlink>
          </w:p>
        </w:tc>
      </w:tr>
      <w:tr>
        <w:trPr/>
        <w:tc>
          <w:tcPr>
            <w:tcW w:w="5630" w:type="dxa"/>
            <w:tcBorders/>
            <w:vAlign w:val="center"/>
          </w:tcPr>
          <w:p>
            <w:pPr>
              <w:pStyle w:val="TableContents"/>
              <w:bidi w:val="0"/>
              <w:spacing w:before="0" w:after="283"/>
              <w:ind w:left="0" w:right="0" w:hanging="0"/>
              <w:jc w:val="left"/>
              <w:rPr/>
            </w:pPr>
            <w:hyperlink w:anchor="tDR">
              <w:r>
                <w:rPr>
                  <w:rStyle w:val="InternetLink"/>
                  <w:rFonts w:ascii="Times New Roman;Times;serif" w:hAnsi="Times New Roman;Times;serif"/>
                  <w:color w:val="000000"/>
                  <w:sz w:val="20"/>
                </w:rPr>
                <w:t>DISCLOSURE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R">
              <w:r>
                <w:rPr>
                  <w:rStyle w:val="InternetLink"/>
                  <w:rFonts w:ascii="Times New Roman;Times;serif" w:hAnsi="Times New Roman;Times;serif"/>
                  <w:color w:val="000000"/>
                  <w:sz w:val="20"/>
                </w:rPr>
                <w:t>3</w:t>
              </w:r>
            </w:hyperlink>
          </w:p>
        </w:tc>
      </w:tr>
      <w:tr>
        <w:trPr/>
        <w:tc>
          <w:tcPr>
            <w:tcW w:w="5630"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OUR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B">
              <w:r>
                <w:rPr>
                  <w:rStyle w:val="InternetLink"/>
                  <w:rFonts w:ascii="Times New Roman;Times;serif" w:hAnsi="Times New Roman;Times;serif"/>
                  <w:color w:val="000000"/>
                  <w:sz w:val="20"/>
                </w:rPr>
                <w:t>5</w:t>
              </w:r>
            </w:hyperlink>
          </w:p>
        </w:tc>
      </w:tr>
      <w:tr>
        <w:trPr/>
        <w:tc>
          <w:tcPr>
            <w:tcW w:w="56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6</w:t>
              </w:r>
            </w:hyperlink>
          </w:p>
        </w:tc>
      </w:tr>
      <w:tr>
        <w:trPr/>
        <w:tc>
          <w:tcPr>
            <w:tcW w:w="5630" w:type="dxa"/>
            <w:tcBorders/>
            <w:shd w:fill="CCEEFF" w:val="clear"/>
            <w:vAlign w:val="center"/>
          </w:tcPr>
          <w:p>
            <w:pPr>
              <w:pStyle w:val="TableContents"/>
              <w:bidi w:val="0"/>
              <w:spacing w:before="0" w:after="283"/>
              <w:ind w:left="0" w:right="0" w:hanging="0"/>
              <w:jc w:val="left"/>
              <w:rPr/>
            </w:pPr>
            <w:hyperlink w:anchor="tU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UP">
              <w:r>
                <w:rPr>
                  <w:rStyle w:val="InternetLink"/>
                  <w:rFonts w:ascii="Times New Roman;Times;serif" w:hAnsi="Times New Roman;Times;serif"/>
                  <w:color w:val="000000"/>
                  <w:sz w:val="20"/>
                </w:rPr>
                <w:t>7</w:t>
              </w:r>
            </w:hyperlink>
          </w:p>
        </w:tc>
      </w:tr>
      <w:tr>
        <w:trPr/>
        <w:tc>
          <w:tcPr>
            <w:tcW w:w="5630"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D">
              <w:r>
                <w:rPr>
                  <w:rStyle w:val="InternetLink"/>
                  <w:rFonts w:ascii="Times New Roman;Times;serif" w:hAnsi="Times New Roman;Times;serif"/>
                  <w:color w:val="000000"/>
                  <w:sz w:val="20"/>
                </w:rPr>
                <w:t>DESCRIPTION OF DEPOSITARY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D">
              <w:r>
                <w:rPr>
                  <w:rStyle w:val="InternetLink"/>
                  <w:rFonts w:ascii="Times New Roman;Times;serif" w:hAnsi="Times New Roman;Times;serif"/>
                  <w:color w:val="000000"/>
                  <w:sz w:val="20"/>
                </w:rPr>
                <w:t>13</w:t>
              </w:r>
            </w:hyperlink>
          </w:p>
        </w:tc>
      </w:tr>
      <w:tr>
        <w:trPr/>
        <w:tc>
          <w:tcPr>
            <w:tcW w:w="5630" w:type="dxa"/>
            <w:tcBorders/>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15</w:t>
              </w:r>
            </w:hyperlink>
          </w:p>
        </w:tc>
      </w:tr>
      <w:tr>
        <w:trPr/>
        <w:tc>
          <w:tcPr>
            <w:tcW w:w="56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SUBSCRIPTION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17</w:t>
              </w:r>
            </w:hyperlink>
          </w:p>
        </w:tc>
      </w:tr>
      <w:tr>
        <w:trPr/>
        <w:tc>
          <w:tcPr>
            <w:tcW w:w="56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25</w:t>
              </w:r>
            </w:hyperlink>
          </w:p>
        </w:tc>
      </w:tr>
      <w:tr>
        <w:trPr/>
        <w:tc>
          <w:tcPr>
            <w:tcW w:w="5630"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OU">
              <w:r>
                <w:rPr>
                  <w:rStyle w:val="InternetLink"/>
                  <w:rFonts w:ascii="Times New Roman;Times;serif" w:hAnsi="Times New Roman;Times;serif"/>
                  <w:color w:val="000000"/>
                  <w:sz w:val="20"/>
                </w:rPr>
                <w:t>26</w:t>
              </w:r>
            </w:hyperlink>
          </w:p>
        </w:tc>
      </w:tr>
      <w:tr>
        <w:trPr/>
        <w:tc>
          <w:tcPr>
            <w:tcW w:w="56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27</w:t>
              </w:r>
            </w:hyperlink>
          </w:p>
        </w:tc>
      </w:tr>
      <w:tr>
        <w:trPr/>
        <w:tc>
          <w:tcPr>
            <w:tcW w:w="56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EX">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61800x1_s3_103-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ATP"/>
      <w:bookmarkEnd w:id="8"/>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 up to an aggregate initial offering price of $200,000,000.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provides you with a general description of the securities we may offer. Each time we sell securities, we will provide a prospectus supplement that will contain more specific information about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applicable prospectus supplement together with additional information under the heading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and “</w:t>
      </w:r>
      <w:r>
        <w:rPr>
          <w:rFonts w:ascii="Times New Roman;Times;serif" w:hAnsi="Times New Roman;Times;serif"/>
          <w:i/>
          <w:color w:val="000000"/>
          <w:sz w:val="20"/>
        </w:rPr>
        <w:t>Incorporation of Certain Information By Reference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prospectus and in any applicable prospectus supplement. We have not authorized anyone to provide you with different information. You should not assume that the information contained in this prospectus, any applicable prospectus supplement, or any document incorporated by reference is accurate as of any date other than the date mentioned on the cover page of these documents.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prospectus to the “Company,” “Innventure,” “we,” “us,” “our” and similar terms refer to Innventure, Inc. (f/k/a Learn SPAC HoldCo, Inc.) and its consolidated subsidiaries. </w:t>
      </w:r>
    </w:p>
    <w:p>
      <w:pPr>
        <w:pStyle w:val="TextBody"/>
        <w:bidi w:val="0"/>
        <w:spacing w:before="410" w:after="283"/>
        <w:jc w:val="center"/>
        <w:rPr>
          <w:rFonts w:ascii="Times New Roman;Times;serif" w:hAnsi="Times New Roman;Times;serif"/>
          <w:b/>
          <w:color w:val="000000"/>
          <w:sz w:val="20"/>
        </w:rPr>
      </w:pPr>
      <w:bookmarkStart w:id="9" w:name="tWY"/>
      <w:bookmarkEnd w:id="9"/>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61800x1_s3_104-incorp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ICI"/>
      <w:bookmarkEnd w:id="11"/>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prior to the effectiveness of the registration statement and (2) after the date of this prospectus until the offering of the securities is terminated. 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 </w:t>
      </w:r>
    </w:p>
    <w:tbl>
      <w:tblPr>
        <w:tblW w:w="6550" w:type="dxa"/>
        <w:jc w:val="left"/>
        <w:tblInd w:w="0" w:type="dxa"/>
        <w:tblLayout w:type="fixed"/>
        <w:tblCellMar>
          <w:top w:w="0" w:type="dxa"/>
          <w:left w:w="0" w:type="dxa"/>
          <w:bottom w:w="0" w:type="dxa"/>
          <w:right w:w="0" w:type="dxa"/>
        </w:tblCellMar>
      </w:tblPr>
      <w:tblGrid>
        <w:gridCol w:w="110"/>
        <w:gridCol w:w="6440"/>
      </w:tblGrid>
      <w:tr>
        <w:trPr/>
        <w:tc>
          <w:tcPr>
            <w:tcW w:w="11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w:t>
            </w:r>
            <w:hyperlink r:id="rId3">
              <w:r>
                <w:rPr>
                  <w:rStyle w:val="InternetLink"/>
                  <w:rFonts w:ascii="Times New Roman;Times;serif" w:hAnsi="Times New Roman;Times;serif"/>
                  <w:color w:val="000080"/>
                  <w:sz w:val="20"/>
                </w:rPr>
                <w:t>December 31, 2024</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quarterly periods ended </w:t>
            </w:r>
            <w:hyperlink r:id="rId4">
              <w:r>
                <w:rPr>
                  <w:rStyle w:val="InternetLink"/>
                  <w:rFonts w:ascii="Times New Roman;Times;serif" w:hAnsi="Times New Roman;Times;serif"/>
                  <w:color w:val="000080"/>
                  <w:sz w:val="20"/>
                </w:rPr>
                <w:t>March 31, 2025</w:t>
              </w:r>
            </w:hyperlink>
            <w:r>
              <w:rPr>
                <w:rFonts w:ascii="Times New Roman;Times;serif" w:hAnsi="Times New Roman;Times;serif"/>
                <w:color w:val="000000"/>
                <w:sz w:val="20"/>
              </w:rPr>
              <w:t xml:space="preserve">, </w:t>
            </w:r>
            <w:hyperlink r:id="rId5">
              <w:r>
                <w:rPr>
                  <w:rStyle w:val="InternetLink"/>
                  <w:rFonts w:ascii="Times New Roman;Times;serif" w:hAnsi="Times New Roman;Times;serif"/>
                  <w:color w:val="000080"/>
                  <w:sz w:val="20"/>
                </w:rPr>
                <w:t>June 30, 2025</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September 30, 2025</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capital stock contained in Exhibit 4.1 to our Annual Report on Form 10-K for the year ended </w:t>
            </w:r>
            <w:hyperlink r:id="rId7">
              <w:r>
                <w:rPr>
                  <w:rStyle w:val="InternetLink"/>
                  <w:rFonts w:ascii="Times New Roman;Times;serif" w:hAnsi="Times New Roman;Times;serif"/>
                  <w:color w:val="000080"/>
                  <w:sz w:val="20"/>
                </w:rPr>
                <w:t>December 31, 2024</w:t>
              </w:r>
            </w:hyperlink>
            <w:r>
              <w:rPr>
                <w:rFonts w:ascii="Times New Roman;Times;serif" w:hAnsi="Times New Roman;Times;serif"/>
                <w:color w:val="000000"/>
                <w:sz w:val="20"/>
              </w:rPr>
              <w:t xml:space="preserve">, as amended by any subsequent amendments and reports filed for the purpose of updating that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obtain copies of these filings without charge by requesting the filings in writing or by telephone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Innventure,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6900 Tavistock Lakes Boulevard, Suite 400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Orlando, Florida 32827</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(321) 209-6787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registration statement on Form S-3 under the Securities Act of 1933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61800x1_s3_105-fls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DR"/>
      <w:bookmarkEnd w:id="13"/>
      <w:r>
        <w:rPr>
          <w:rFonts w:ascii="Times New Roman;Times;serif" w:hAnsi="Times New Roman;Times;serif"/>
          <w:b/>
          <w:color w:val="000000"/>
          <w:sz w:val="20"/>
        </w:rPr>
        <w:t xml:space="preserve">DISCLOSURE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market acceptance and success of Innventure’s and the Innventure Companies’ business models and growth strategies;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future capital requirements and sources and uses of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sustained unfavorable economic or other conditions which could cause the need for Innventure to evaluate and potentially record additional impairment charges for all, or a portion of, its goodwill and other intangible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capital requirements and sources and uses of cash, including: (i) Innventure’s ability to obtain funding for its operations and future growth; and (ii) Innventure’s ability to continue as a going concern;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maintain control over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meet the various conditions imposed by, and to satisfy its obligations to, WTI Fund X, Inc. and WTI Fund XI, Inc., under a term loan facility in the aggregate principal amount of up to $50,000,000 (of which, the Company satisfied the conditions necessary to receive, and has received, $20,000,000);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access to funds under the Standby Equity Purchase Agreement (the “SEPA”) entered into with YA II PN, Ltd. (“Yorkville”), dated October 24, 2023, including ownership limitations, issuances and subscriptions based on trading volumes, and Innventure’s ability to continue to access the funds available under the SEPA due to certain conditions, restrictions and limitations set forth therein and in the securities purchase agreement, dated September 15, 2025, entered into with Yorkville;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restrictions and limitations set forth in Innventure’s debt instruments, which may impair Innventure’s financial and operating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generate liquidity and maintain sufficient capital to operate as anticipated;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61800x1_s3_105-fls_pg2"/>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obtain funding for their operations, future growth and to continue as going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technology solutions that Innventure and the Innventure Companies license or acquire from third parties or develop internally may not function as anticipated or provide the benefits anticipated;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and projections relating to Innventure’s and the Innventure Companies’ competitors and industry;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scale the operations of their respective businesses;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establish substantial commercial sales of their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compete against companies with greater capital and other resources or superior technology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ability to meet, and to continue to meet, applicable regulatory requirements for the use of their respective products and the numerous regulatory requirements generally applicable to their businesses;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against Innventure or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launch of new companies distracts Innventure’s management from its subsidiaries and their respective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Innventure may be deemed an investment company under the Investment Company Act of 1940, which would impose burdensome compliance requirements and restrictions on its activities;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sufficiently protect the intellectual property (“IP”) rights of itself and its Operating Companies, and to avoid or resolve in a timely and cost-effective manner any disputes that may arise relating to its use of the IP of third parties;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a cyber-attack or a failure of Innventure’s information technology and data security infrastructure;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risk and changes in applicable laws or regulations, including with respect to foreign trade policy and tariffs;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effects of other economic, business, and/or competitive factors;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operational risks related to Innventure and the Innventure Companies, which have limited or no operating history; and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liquidity and trading of Innventure’s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61800x1_s3_105-fls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OB"/>
      <w:bookmarkEnd w:id="16"/>
      <w:r>
        <w:rPr>
          <w:rFonts w:ascii="Times New Roman;Times;serif" w:hAnsi="Times New Roman;Times;serif"/>
          <w:b/>
          <w:color w:val="000000"/>
          <w:sz w:val="20"/>
        </w:rPr>
        <w:t xml:space="preserve">OUR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were incorporated as a Delaware corporation in 2024. Innventure founds, funds, and operates companies with a focus on transformative, sustainable technology solutions that we acquire or license from technology innovators. Innventure has launched four such companies since its inception: PureCycle Technologies, Inc. (“PureCycle”) in late 2015, AeroFlexx, LLC (“AeroFlexx”) in 2018, Accelsius Holdings LLC (“Accelsius”) in 2022, and Refinity Olefins, LLC (“Refinity”) in 2024.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 is located at 900 Tavistock Lakes Blvd, Suite 400, Orlando, Florida 32827, and our telephone number is (321) 209-6787. Our website address is www.innventure.com. Information contained on or accessible through our website is not a part of this prospectus other than documents we file with the SEC that are specifically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61800x1_s3_106-risk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RF"/>
      <w:bookmarkEnd w:id="1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61800x1_s3_107-us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UP"/>
      <w:bookmarkEnd w:id="20"/>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any applicable prospectus supplement or other offering materials, we intend to use the net proceeds from the sale of our securities to which this prospectus relates for general corporate purposes. General corporate purposes may include repayment of debt, acquisitions, investments, additions to working capital, capital expenditures and advances to or investments in our Operating Companies. Pending any specific application, we may invest net proceeds in short-term marketable securities or apply them to the reduction of short-term debt.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61800x1_s3_108-desc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DC"/>
      <w:bookmarkEnd w:id="22"/>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December 22, 2025, 67,743,847 shares of Common Stock were issued and outstanding, 33,144 shares of Series B Preferred Stock were issued and outstanding, and 150,000 shares of Series C Preferred Stock were issued and outstanding.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general terms and provisions of our Common Stock. For more detailed information you should refer to our Amended and Restated Certificate of Incorporation “(A&amp;R Certificate of Incorporation”) and By-laws (the “Bylaws”), copies of which have been filed with the SEC. These documents are also incorporated by reference into the registration statement of which this prospectus forms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general terms and provisions of our preferred stock. For more detailed information, you should refer to the A&amp;R Certificate of Incorporation and our Bylaws, copies of which have been filed with the SEC. These documents are also incorporated by reference into the registration statement of which this prospectus forms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any series and the designation to distinguish the shares of such series from the shares of all other series;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powers, if any, and whether such voting powers are full or limited in such series;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provisions, if any, applicable to such series, including the redemption price or prices to be paid;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if any, will be cumulative or noncumulative, the dividend rate of such series, and the dates and preferences of dividends on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such series upon the voluntary or involuntary dissolution of, or upon any distribution of the assets of,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61800x1_s3_108-desc_pg2"/>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subscribe for or to purchase any securities of the Company or any other corporation or other entity;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of a sinking fund applicable to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relative, participating, optional, or other special powers, preferences or rights and qualifications, limitations, or restrictions thereof;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as may be determined from time to time by the Board and stated or expressed in the resolution or resolutions providing for the issuance of such preferred stock (collectively, a “Preferred Stock Designation”).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General Corporation Law, as amended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annual stockholder meetings will be held at such date, time and place, if any, as determined by the Board. The Board may also determine that a meeting of stockholders be held by means of remote communication as authorized by and in accordance with the DGCL.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Innventure’s A&amp;R Certificate of Incorporation and Bylaws and Certain Provisions of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61800x1_s3_108-desc_pg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but Unissued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Removal of Directors; Vacancies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61800x1_s3_108-desc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Advance Notification of Director Nominations and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notice provisions may defer, delay or discourage a potential acquirer from conducting a solicitation of proxies to elect the acquirer’s own slate of directors or otherwise attempting to influence or obtain control of Innventure.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Dissenters’ Rights of Appraisal and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Stockholders’ Derivative 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A&amp;R Certificate of Incorporation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Forum Selection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61800x1_s3_108-desc_pg5"/>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 </w:t>
      </w:r>
    </w:p>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breach of their duty of loyalty to our company or our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act or omission not in good faith or that involves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for unlawful payments of dividends or unlawful stock repurchases, or redemptions as provided in Section 174 of the DGCL;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transaction from which they derived an improper personal benefit; or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 in any action by or in the right of Innventure.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the Nasdaq Global Market under the symbol “INV.”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61800x1_s3_108-desc_pg6"/>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DD"/>
      <w:bookmarkEnd w:id="28"/>
      <w:r>
        <w:rPr>
          <w:rFonts w:ascii="Times New Roman;Times;serif" w:hAnsi="Times New Roman;Times;serif"/>
          <w:b/>
          <w:color w:val="000000"/>
          <w:sz w:val="20"/>
        </w:rPr>
        <w:t xml:space="preserve">DESCRIPTION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share of preferred stock that such depositary share will represent, and the extent, if any, to which the general terms and provisions may apply to the depositary shares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Other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the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61800x1_s3_108-desc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Termination of the Depositary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depositary shares have been redeemed;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has been a final distribution in respect of the preferred stock in connection with any liquidation, dissolution or winding-up of the Company and this distribution has been distributed to the holders of depositary receipts. </w:t>
            </w:r>
          </w:p>
        </w:tc>
      </w:tr>
    </w:tbl>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Charges of Bank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tax and governmental charges and any other charges, including a fee for the withdrawal of shares of preferred stock upon surrender of depositary receipts, as are expressly provided in the depositary agreement to be for their accounts.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bank depositary will forward to holders of depositary receipts all reports and communications from us that are delivered to the bank depositary and that we are required to furnish to the holders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Resignation and Removal of Bank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61800x1_s3_108-desc_pg8"/>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DW"/>
      <w:bookmarkEnd w:id="31"/>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Debt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 particular issue of warrants to issue debt securities will describe the terms of those warrants, including the following: </w:t>
      </w:r>
    </w:p>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warrants;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for the warrants, if any;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warrants;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debt securities purchasable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debt securities that the warrants are issued with and the number of warrants issued with each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the warrants and any debt securities issued with them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amount of debt securities that may be purchased upon exercise of a warrant and the price at which the debt securities may be purchased upon exercise;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the right to exercise the warrants will commence and expire;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represented by the warrant certificates or debt securities that may be issued upon exercise of the warrants will be issued in registered or bearer form;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relating to book-entry procedures, if any;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material U.S. federal income tax considerations;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anti-dilution provisions of the warrants, if any;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or call provisions, if any, applicable to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and exercise of the warrants; and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we think is important about the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61800x1_s3_108-desc_pg9"/>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and Depositary Share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 particular issue of warrants to issue Common Stock, preferred stock or depositary shares will describe the terms of the common stock warrants, preferred stock warrants and depositary share warrants, including the following: </w:t>
      </w:r>
    </w:p>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warrants;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for the warrants, if any;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Common Stock, preferred stock or depositary shares purchasable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securities that the warrants are issued with and the number of warrants issued with each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the warrants and any securities issued with the warrants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preferred stock or depositary shares that may be purchased upon exercise of a warrant and the price at which the shares may be purchased upon exercise;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the right to exercise the warrants will commence and expire;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material U.S. federal income tax considerations;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anti-dilution provisions of the warrants, if any;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or call provisions, if any, applicable to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and exercise of the warrants; and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we think is important about the warrants.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61800x1_s3_108-desc_pg10"/>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DS"/>
      <w:bookmarkEnd w:id="34"/>
      <w:r>
        <w:rPr>
          <w:rFonts w:ascii="Times New Roman;Times;serif" w:hAnsi="Times New Roman;Times;serif"/>
          <w:b/>
          <w:color w:val="000000"/>
          <w:sz w:val="20"/>
        </w:rPr>
        <w:t xml:space="preserve">DESCRIPTION OF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to our securityholders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Subscription rights may be issued independently or together with any other security offered by this prospectus and may or may not be transferable by the securityholder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securityholders.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relating to any subscription rights will describe the terms of the offered subscription rights, including, where applicable, the following: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for the subscription rights; </w:t>
            </w:r>
          </w:p>
        </w:tc>
      </w:tr>
    </w:tbl>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subscription rights issued to each securityholder;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are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subscription rights, including terms, procedures and limitations relating to the exchange and exercise of the subscription rights;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subscription rights will commence and the date on which the right will expire;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include an over-subscription privilege with respect to unsubscribed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material terms of any standby underwriting arrangement entered into by us in connection with the subscription rights offering.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61800x1_s3_108-desc_pg1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DDS"/>
      <w:bookmarkEnd w:id="36"/>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debt securities will be issued under an indenture to be entered into between us and a trustee to be named in a prospectus supplement. The indenture, and any supplemental indentures thereto, will be subject to, and governed by, the Trust Indenture Act of 1939, as amended. The following description of general terms and provisions relating to the debt securities and the indenture under which the debt securities will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Capitalized terms used in this section and not defined herein have the meanings specified in the indenture. When we refer to “we,” “our” and “us” in this section, we mean Innventure, Inc. excluding, unless the context otherwise requires or as otherwise expressly stated, its subsidiaries.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specified in a prospectus supplement, the debt securities will be our direct, unsecured obligations and will rank equally with all of our existing and future senior unsecured indebtedness and senior in right of payment to all of our subordinated indebtedness.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specified in the applicable prospectus supplement, the indenture will not afford the holders of the debt securities the right to require us to repurchase or redeem the debt securities in the event of a highly-leveraged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be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set forth in a prospectus supplement relating to any debt securities being offered, the aggregate principal amount and the following terms of the debt securities, if applicable: </w:t>
      </w:r>
    </w:p>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debt securities;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(expressed as a percentage of the principal amount) at which the debt securities will be issued;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on the aggregate principal amount of the series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senior debt securities or subordinated debt securities, and if they are subordinated debt securities, the terms of the subordination;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principal on the series of debt securities is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or rates (which may be fixed or variable) per annum or the method used to determine such rate or rates (including any commodity, commodity index, stock exchange index or financial index) at which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61800x1_s3_108-desc_pg1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of debt securities will bear interest, if any, the date or dates from which such interest, if any, will accrue, the date or dates on which such interest, if any, will commence and be payable and any regular record date for the interest payable on any interest payment date; </w:t>
      </w:r>
    </w:p>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extend the interest periods and the duration of that extension;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the principal of, and premium and interest, if any, on, the debt securities will be payable;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upon which the debt securities may be redeemed;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obligation we may have to redeem or purchase the debt securities pursuant to any sinking fund or analogous provisions or at the option of a holder of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and the price or prices at which we will repurchase the debt securities at the option of the holders of the debt securities and other detailed terms and provisions of such repurchase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denominations in which the debt securities will be issued, if other than denominations of $2,000 and integral multiples of $1,000 in excess thereof;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issued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of the debt securities payable upon declaration of acceleration of the maturity date, if other than the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of, and premium and interest, if any, on, the debt securities will be made if other than U.S. dollars;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or change in the events of default described in this prospectus or in the indenture and any change in the acceleration provisions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or change in, the covenants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may supplement, modify or delete any provision of the indenture as it applies to such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with respect to the series of debt securities, if other than those, if any, appointed in the indenture; and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conversion of the debt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is not intended to be an exclusive list of the terms that may be applicable to any offered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indenture will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61800x1_s3_108-desc_pg1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and Transfer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Debt securities may be transferred or exchanged at the office of the registrar or co-registrar designated by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impose a service charge for any transfer or exchange, but we may require holders to pay any tax or other governmental charges associated with any transfer or exchange.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redemption of debt securities of any series, we will not be required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register the transfer of, or exchange any debt security of that series during a period beginning at the opening of 15 business days before the day of sending of a notice of redemption and ending at the close of business on the day such notice is sent;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register the transfer of or exchange any debt security of that series selected, called or being called for redemption, in whole or in part, except the unredeemed portion of any series being redeemed in part.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of any series may be represented, in whole or in part, by one or more global securities. Each global security will: </w:t>
      </w:r>
    </w:p>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registered in the name of a depositary that we will identify in a prospectus supplement;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deposited with the trustee as custodian for the depositary or its nominee; and </w:t>
            </w:r>
          </w:p>
        </w:tc>
      </w:tr>
    </w:tbl>
    <w:tbl>
      <w:tblPr>
        <w:tblW w:w="2305" w:type="dxa"/>
        <w:jc w:val="left"/>
        <w:tblInd w:w="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bear any required legends.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global security may be exchanged in whole or in part for debt securities registered in the name of any person other than the depositary or any nominee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execute and deliver to the trustee an officer’s certificate to the effect that such global securities shall be so exchangeable;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event of default with respect to the debt securities represented by such global securities shall have occurred and be continuing.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 </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entitled to have the debt securities registered in their names; </w:t>
            </w:r>
          </w:p>
        </w:tc>
      </w:tr>
    </w:tbl>
    <w:tbl>
      <w:tblPr>
        <w:tblW w:w="6175" w:type="dxa"/>
        <w:jc w:val="left"/>
        <w:tblInd w:w="0" w:type="dxa"/>
        <w:tblLayout w:type="fixed"/>
        <w:tblCellMar>
          <w:top w:w="0" w:type="dxa"/>
          <w:left w:w="0" w:type="dxa"/>
          <w:bottom w:w="0" w:type="dxa"/>
          <w:right w:w="0" w:type="dxa"/>
        </w:tblCellMar>
      </w:tblPr>
      <w:tblGrid>
        <w:gridCol w:w="110"/>
        <w:gridCol w:w="6065"/>
      </w:tblGrid>
      <w:tr>
        <w:trPr/>
        <w:tc>
          <w:tcPr>
            <w:tcW w:w="11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entitled to physical delivery of certificated debt securities; and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considered to be holders of those debt securities under the indenture.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61800x1_s3_108-desc_pg1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will have any responsibility or liability for the depositary’s acts or omissions or any participant’s records with respect to beneficial interests in a global security.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Paying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any applicable abandoned property law, all monies paid by us to a paying agent for payment on any debt security that remain unclaimed at the end of two years after such payment was due will be repaid to us. Thereafter, the holder may look only to us for such payment.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set forth in the applicable prospectus supplement, we may not merge or consolidate with or into any other person, in a transaction in which we are not the surviving corporation, or sell, convey, transfer, lease or otherwise dispose of all or substantially all of the properties and assets of us and our subsidiaries, taken as a whole, to any person, unless: </w:t>
      </w:r>
    </w:p>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successor or transferee is a U.S. corporation, limited liability company, partnership, trust or other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successor or transferee assumes our obligations on the debt securities and under the indenture pursuant to a supplemental indenture in form reasonably satisfactory to the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 </w:t>
            </w:r>
          </w:p>
        </w:tc>
      </w:tr>
    </w:tbl>
    <w:tbl>
      <w:tblPr>
        <w:tblW w:w="9625" w:type="dxa"/>
        <w:jc w:val="left"/>
        <w:tblInd w:w="0" w:type="dxa"/>
        <w:tblLayout w:type="fixed"/>
        <w:tblCellMar>
          <w:top w:w="0" w:type="dxa"/>
          <w:left w:w="0" w:type="dxa"/>
          <w:bottom w:w="0" w:type="dxa"/>
          <w:right w:w="0" w:type="dxa"/>
        </w:tblCellMar>
      </w:tblPr>
      <w:tblGrid>
        <w:gridCol w:w="110"/>
        <w:gridCol w:w="9515"/>
      </w:tblGrid>
      <w:tr>
        <w:trPr/>
        <w:tc>
          <w:tcPr>
            <w:tcW w:w="11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officer’s certificate and an opinion of counsel have been delivered to the trustee in connection with the foregoing.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Event of default means, with respect to any series of debt securities,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any interest on any debt security of that series when it becomes due and payable, and continuance of that default for a period of 30 days;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principal of, or premium on, any debt security of that series when due and payable;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on our part to comply with the covenant described under “—Consolidation, Merger and Sale of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performance or breach of any other covenant or warranty by us in the indenture or any supplemental indenture with respect to such series (other than a covenant or warranty that has been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61800x1_s3_108-desc_pg1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included in the indenture or supplemental indenture solely for the benefit of a series of debt securities other than that series), which default continues uncured for a period of 90 days after (1) we receive written notice from the trustee or (2) we and the trustee receive written notice from the holders of not less than 25% in aggregate principal amount of the outstanding debt securities of that series as provided in the indenture; </w:t>
      </w:r>
    </w:p>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events of bankruptcy, insolvency or reorganization of our company or our significant subsidiaries;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event of default provided with respect to debt securities of that series that is described in the applicable prospectus supplement.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the trustee will be under no obligation to exercise any of its rights or powers under the indenture at the request of any holder of outstanding debt securities, unless the trustee receives security or indemnity satisfactory to the trustee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has previously given to the trustee written notice of a continuing event of default with respect to debt securities of that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61800x1_s3_108-desc_pg1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require us, within 120 days after the end of our fiscal year, to furnish to the trustee a statement as to compliance with the indenture. The indenture will provide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amend or modify the indenture without the consent of any holder of debt securities of the series affected by the modifications or amendments in order to: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cure any ambiguity, defect or inconsistency;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conform the text of the indenture, including any supplemental indenture, or the debt securities to any corresponding provision of this “</w:t>
            </w:r>
            <w:r>
              <w:rPr>
                <w:rFonts w:ascii="Times New Roman;Times;serif" w:hAnsi="Times New Roman;Times;serif"/>
                <w:i/>
                <w:color w:val="000000"/>
                <w:sz w:val="20"/>
              </w:rPr>
              <w:t>Description of Debt Securities</w:t>
            </w:r>
            <w:r>
              <w:rPr>
                <w:rFonts w:ascii="Times New Roman;Times;serif" w:hAnsi="Times New Roman;Times;serif"/>
                <w:color w:val="000000"/>
                <w:sz w:val="20"/>
              </w:rPr>
              <w:t xml:space="preserve">” or description of the debt securities found in the prospectus supplement as evidenced by an officer’s certificate;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the issuance of additional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the assumption of our obligations in the case of a merger or consolidation and our discharge upon such assumption provided that the provision under “Merger, Consolidation, or Sale of Assets” of the indenture is complied with;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covenants or make any change that would provide any additional rights or benefits to the holders of the debt securities;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guarantees with respect to the debt securities;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uncertificated debt securities in addition to or in place of certificated debt securities;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secure the debt securities;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or appoint a successor or separate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that does not adversely affect the rights of any holder of debt securities in any material respect, as evidenced by an officer’s certificate; or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or maintain the qualification of the indenture under the Trust Indenture Act of 1939, as amended.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or any premium or change the stated maturity of any debt security or alter or waive any of the provisions with respect to the redemption or repurchase of the debt securities;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 the place of payment or currency in which principal, any premium or interest is paid;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 the right to institute suit for the enforcement of any payment on the debt securities;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payment default with respect to the debt securities;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interest rate or extend the time for payment of interest on the debt securities;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to the amendment and modification provisions in the indenture;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percentage in principal amount outstanding of debt securities, the consent of the holders of which is required for any of the foregoing modifications or otherwise necessary to modify, supplement or amend the indenture or to waive any past default.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61800x1_s3_108-desc_pg1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 securities of any series pursuant to the terms of the indenture, the holders of a majority in aggregate principal amount of the outstanding debt securities of such series may, on behalf of the holders of all the debt securities of 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Defeasance of Debt Securities and Certain Covenants in Certain Circumstances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Legal Defeasance</w:t>
      </w:r>
      <w:r>
        <w:rPr>
          <w:rFonts w:ascii="Times New Roman;Times;serif" w:hAnsi="Times New Roman;Times;serif"/>
          <w:i w:val="false"/>
          <w:caps w:val="false"/>
          <w:smallCaps w:val="false"/>
          <w:color w:val="000000"/>
          <w:sz w:val="20"/>
        </w:rPr>
        <w:t xml:space="preserve">. The indenture will provide that, in certain circumstances, we may be discharged from any and all obligations in respect of the debt 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Defeasance of Certain Covenants</w:t>
      </w:r>
      <w:r>
        <w:rPr>
          <w:rFonts w:ascii="Times New Roman;Times;serif" w:hAnsi="Times New Roman;Times;serif"/>
          <w:i w:val="false"/>
          <w:caps w:val="false"/>
          <w:smallCaps w:val="false"/>
          <w:color w:val="000000"/>
          <w:sz w:val="20"/>
        </w:rPr>
        <w:t xml:space="preserve">. The indenture will provide that, upon compliance with certain conditions, we may be released from our obligation to comply with certain covenants set forth in the indenture and any supplemental indenture, and any failure to comply with those covenants will not constitute 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conditions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will be governed by, and construed in accordance with, the internal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61800x1_s3_108-desc_pg1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 w:name="tDPC"/>
      <w:bookmarkEnd w:id="44"/>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purchase contracts, including contracts obligating holders to purchase from us, and obligating us to sell to the holders, a specified number of shares of Common Stock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61800x1_s3_108-desc_pg19"/>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DOU"/>
      <w:bookmarkEnd w:id="46"/>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units will describe the terms of those units, including, to the extent applicable,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units and the securities comprising the units, including whether and under what circumstances those securities may be held or transferred separately;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 for the issuance, payment, settlement, transfer or exchange of the units or of the securities comprising the units; and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units will be issued in fully registered or global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61800x1_s3_109-plan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OD"/>
      <w:bookmarkEnd w:id="48"/>
      <w:r>
        <w:rPr>
          <w:rFonts w:ascii="Times New Roman;Times;serif" w:hAnsi="Times New Roman;Times;serif"/>
          <w:b/>
          <w:color w:val="000000"/>
          <w:sz w:val="20"/>
        </w:rPr>
        <w:t xml:space="preserve">PLAN OF DISTRIBUTION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offered securities in and outside the United States: </w:t>
      </w:r>
    </w:p>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or dealers;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purchasers; </w:t>
            </w:r>
          </w:p>
        </w:tc>
      </w:tr>
    </w:tbl>
    <w:tbl>
      <w:tblPr>
        <w:tblW w:w="1735" w:type="dxa"/>
        <w:jc w:val="left"/>
        <w:tblInd w:w="0" w:type="dxa"/>
        <w:tblLayout w:type="fixed"/>
        <w:tblCellMar>
          <w:top w:w="0" w:type="dxa"/>
          <w:left w:w="0" w:type="dxa"/>
          <w:bottom w:w="0" w:type="dxa"/>
          <w:right w:w="0" w:type="dxa"/>
        </w:tblCellMar>
      </w:tblPr>
      <w:tblGrid>
        <w:gridCol w:w="110"/>
        <w:gridCol w:w="1625"/>
      </w:tblGrid>
      <w:tr>
        <w:trPr/>
        <w:tc>
          <w:tcPr>
            <w:tcW w:w="11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 rights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“at the market” offerings, within the meaning of Rule 415(a)(4) of the Securities Act, to or through a market maker or into an existing trading market on an exchange or otherwise;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these methods; or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pursuant to applicable law.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applicable prospectus supplement will include the following information: </w:t>
      </w:r>
    </w:p>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offering;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underwriters or agents;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or names of any managing underwriter or underwriters;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or initial public offering price of the securities;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from the sale of the securities; </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delayed delivery arrangements;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underwriting discounts, commissions and other items constituting underwriters’ compensation;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and </w:t>
            </w:r>
          </w:p>
        </w:tc>
      </w:tr>
    </w:tbl>
    <w:tbl>
      <w:tblPr>
        <w:tblW w:w="2800" w:type="dxa"/>
        <w:jc w:val="left"/>
        <w:tblInd w:w="0" w:type="dxa"/>
        <w:tblLayout w:type="fixed"/>
        <w:tblCellMar>
          <w:top w:w="0" w:type="dxa"/>
          <w:left w:w="0" w:type="dxa"/>
          <w:bottom w:w="0" w:type="dxa"/>
          <w:right w:w="0" w:type="dxa"/>
        </w:tblCellMar>
      </w:tblPr>
      <w:tblGrid>
        <w:gridCol w:w="110"/>
        <w:gridCol w:w="2690"/>
      </w:tblGrid>
      <w:tr>
        <w:trPr/>
        <w:tc>
          <w:tcPr>
            <w:tcW w:w="110" w:type="dxa"/>
            <w:tcBorders/>
            <w:vAlign w:val="center"/>
          </w:tcPr>
          <w:p>
            <w:pPr>
              <w:pStyle w:val="TableContents"/>
              <w:bidi w:val="0"/>
              <w:spacing w:before="0" w:after="0"/>
              <w:jc w:val="left"/>
              <w:rPr>
                <w:color w:val="000000"/>
              </w:rPr>
            </w:pPr>
            <w:r>
              <w:rPr>
                <w:color w:val="000000"/>
              </w:rPr>
              <w:t>•</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commissions paid to agents.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Sale through Underwriters or Dealers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any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or all of the securities that we offer though this prospectus may be new issues of securities with no established trading market. Certain underwriters may use this prospectus and any accompanying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61800x1_s3_109-plan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supplement for offers and sales related to market-making transactions in the securities.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These underwriters may act as principal or agent in these transactions, and the sales will be made at prices related to prevailing market prices at the time of 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dealers are used in the sale of the securities, we will sell the securities to them as principals. They may then resell the securities to the public at varying prices determined by the dealers at the time of resale. We will include in any applicable prospectus supplement the names of the dealers and the terms of the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 Sales and Sales through Agents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securities directly. In this case, no underwriters or agents would be involved. We may also sell the securities through agents designated from time to time. In any applicable prospectus supplement, we will name any agent involved in the offer or sale of the offered securities and we will describe any commissions payable to the agent. Unless we inform you otherwise in any applicable prospectus supplement, any agent will agree to use its reasonable best efforts to solicit purchases for the period of its appointment.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any applicable prospectus supplement.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Remarketing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Offered securities may also be offered and sold, if so indicated in any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any applicable prospectus supplement. Remarketing firms may be deemed to be underwriters in connection with the securities they remarket.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Delayed Delivery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so indicate in any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any applicable prospectus supplement. Any applicable prospectus supplement will describe the commission payable for solicitation of those contracts.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other services for us in the ordinary course of their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61800x1_s3_110-legal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LM"/>
      <w:bookmarkEnd w:id="51"/>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Jones Day will pass upon certain legal matters for us in connection with the securities offered hereby. Any underwriters may be advised about legal matters by their own counsel, who will be named in the applicable prospectus supplement. </w:t>
      </w:r>
    </w:p>
    <w:p>
      <w:pPr>
        <w:pStyle w:val="TextBody"/>
        <w:bidi w:val="0"/>
        <w:spacing w:before="410" w:after="283"/>
        <w:jc w:val="center"/>
        <w:rPr>
          <w:rFonts w:ascii="Times New Roman;Times;serif" w:hAnsi="Times New Roman;Times;serif"/>
          <w:b/>
          <w:color w:val="000000"/>
          <w:sz w:val="20"/>
        </w:rPr>
      </w:pPr>
      <w:bookmarkStart w:id="52" w:name="tEX"/>
      <w:bookmarkEnd w:id="52"/>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Innventure, Inc. (the “Company”) as of December 31, 2024 (“Successor”) and 2023 (“Predecessor”) and for the period from October 2, 2024 to December 31, 2024 (“Successor”) and the periods from January 1, 2024 to October 1, 2024 (“Predecessor”) and for the year ended December 31, 2023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61800x1_s3_300-part2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540" w:type="dxa"/>
        <w:jc w:val="left"/>
        <w:tblInd w:w="0" w:type="dxa"/>
        <w:tblLayout w:type="fixed"/>
        <w:tblCellMar>
          <w:top w:w="0" w:type="dxa"/>
          <w:left w:w="0" w:type="dxa"/>
          <w:bottom w:w="0" w:type="dxa"/>
          <w:right w:w="0" w:type="dxa"/>
        </w:tblCellMar>
      </w:tblPr>
      <w:tblGrid>
        <w:gridCol w:w="710"/>
        <w:gridCol w:w="383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expenses in connection with the securities being registered. All amounts of such expenses are presently not known and cannot be estimated, other than the SEC filing fee. </w:t>
      </w:r>
    </w:p>
    <w:tbl>
      <w:tblPr>
        <w:tblW w:w="5090" w:type="dxa"/>
        <w:jc w:val="left"/>
        <w:tblInd w:w="0" w:type="dxa"/>
        <w:tblLayout w:type="fixed"/>
        <w:tblCellMar>
          <w:top w:w="0" w:type="dxa"/>
          <w:left w:w="0" w:type="dxa"/>
          <w:bottom w:w="0" w:type="dxa"/>
          <w:right w:w="0" w:type="dxa"/>
        </w:tblCellMar>
      </w:tblPr>
      <w:tblGrid>
        <w:gridCol w:w="3380"/>
        <w:gridCol w:w="140"/>
        <w:gridCol w:w="140"/>
        <w:gridCol w:w="1430"/>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to be paid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statement filing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​27,620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lineRule="auto" w:line="240" w:before="0" w:after="283"/>
              <w:ind w:left="288" w:right="0" w:hanging="0"/>
              <w:jc w:val="left"/>
              <w:rPr>
                <w:color w:val="000000"/>
              </w:rPr>
            </w:pPr>
            <w:r>
              <w:rPr>
                <w:color w:val="000000"/>
              </w:rPr>
              <w:t>   </w:t>
            </w:r>
            <w:r>
              <w:rPr>
                <w:rFonts w:ascii="Times New Roman;Times;serif" w:hAnsi="Times New Roman;Times;serif"/>
                <w:color w:val="000000"/>
                <w:sz w:val="20"/>
              </w:rPr>
              <w:t xml:space="preserve">(1)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15"/>
              </w:rPr>
            </w:pPr>
            <w:r>
              <w:rPr>
                <w:rFonts w:ascii="Times New Roman;Times;serif" w:hAnsi="Times New Roman;Times;serif"/>
                <w:color w:val="000000"/>
                <w:sz w:val="15"/>
              </w:rPr>
              <w:t>(1)</w:t>
            </w:r>
            <w:r>
              <w:rPr>
                <w:rFonts w:ascii="Times New Roman;Times;serif" w:hAnsi="Times New Roman;Times;serif"/>
                <w:color w:val="000000"/>
                <w:sz w:val="15"/>
              </w:rPr>
              <w:t xml:space="preserv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8" w:right="0" w:hanging="0"/>
              <w:jc w:val="left"/>
              <w:rPr>
                <w:rFonts w:ascii="Times New Roman;Times;serif" w:hAnsi="Times New Roman;Times;serif"/>
                <w:color w:val="000000"/>
                <w:sz w:val="15"/>
              </w:rPr>
            </w:pPr>
            <w:r>
              <w:rPr>
                <w:rFonts w:ascii="Times New Roman;Times;serif" w:hAnsi="Times New Roman;Times;serif"/>
                <w:color w:val="000000"/>
                <w:sz w:val="15"/>
              </w:rPr>
              <w:t>(1)</w:t>
            </w:r>
            <w:r>
              <w:rPr>
                <w:rFonts w:ascii="Times New Roman;Times;serif" w:hAnsi="Times New Roman;Times;serif"/>
                <w:color w:val="000000"/>
                <w:sz w:val="15"/>
              </w:rPr>
              <w:t xml:space="preserve">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fees and miscellaneous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15"/>
              </w:rPr>
            </w:pPr>
            <w:r>
              <w:rPr>
                <w:rFonts w:ascii="Times New Roman;Times;serif" w:hAnsi="Times New Roman;Times;serif"/>
                <w:color w:val="000000"/>
                <w:sz w:val="15"/>
              </w:rPr>
              <w:t>(1)</w:t>
            </w:r>
            <w:r>
              <w:rPr>
                <w:rFonts w:ascii="Times New Roman;Times;serif" w:hAnsi="Times New Roman;Times;serif"/>
                <w:color w:val="000000"/>
                <w:sz w:val="15"/>
              </w:rPr>
              <w:t xml:space="preserve"> </w:t>
            </w:r>
          </w:p>
        </w:tc>
      </w:tr>
      <w:tr>
        <w:trPr/>
        <w:tc>
          <w:tcPr>
            <w:tcW w:w="33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lineRule="auto" w:line="240"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$   (1)</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230"/>
        <w:gridCol w:w="50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0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of expenses are presently not known and cannot be estimated. </w:t>
            </w:r>
          </w:p>
        </w:tc>
      </w:tr>
    </w:tbl>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DGCL is amended to authorize corporate action further eliminating or limiting the personal liability of directors, then the liability of the directors will be eliminated or limited to the fullest extent permitted by the DGCL, as so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61800x1_s3_300-part2_pg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control persons, in the opinion of the SEC, such indemnification is against public policy as expressed in the Securities Act and is therefore unenforceable.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61800x1_s3_300-part2_pg3"/>
        <w:bookmarkEnd w:id="55"/>
        <w:r>
          <w:rPr>
            <w:rStyle w:val="InternetLink"/>
            <w:rFonts w:ascii="Times New Roman;Times;Serif" w:hAnsi="Times New Roman;Times;Serif"/>
            <w:b/>
            <w:caps w:val="false"/>
            <w:smallCaps w:val="false"/>
            <w:color w:val="000000"/>
            <w:sz w:val="16"/>
          </w:rPr>
          <w:t>TABLE OF CONTENTS</w:t>
        </w:r>
      </w:hyperlink>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list of exhibits filed as a part of this registration statement: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Exhibits </w:t>
      </w:r>
    </w:p>
    <w:tbl>
      <w:tblPr>
        <w:tblW w:w="10205" w:type="dxa"/>
        <w:jc w:val="left"/>
        <w:tblInd w:w="0" w:type="dxa"/>
        <w:tblLayout w:type="fixed"/>
        <w:tblCellMar>
          <w:top w:w="0" w:type="dxa"/>
          <w:left w:w="0" w:type="dxa"/>
          <w:bottom w:w="0" w:type="dxa"/>
          <w:right w:w="0" w:type="dxa"/>
        </w:tblCellMar>
      </w:tblPr>
      <w:tblGrid>
        <w:gridCol w:w="1190"/>
        <w:gridCol w:w="140"/>
        <w:gridCol w:w="140"/>
        <w:gridCol w:w="8735"/>
      </w:tblGrid>
      <w:tr>
        <w:trPr/>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0"/>
              <w:jc w:val="left"/>
              <w:rPr/>
            </w:pPr>
            <w:r>
              <w:rPr/>
              <w:t> </w:t>
            </w:r>
          </w:p>
        </w:tc>
      </w:tr>
      <w:tr>
        <w:trPr/>
        <w:tc>
          <w:tcPr>
            <w:tcW w:w="11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Underwriting Agreement </w:t>
            </w:r>
          </w:p>
        </w:tc>
      </w:tr>
      <w:tr>
        <w:trPr/>
        <w:tc>
          <w:tcPr>
            <w:tcW w:w="1190" w:type="dxa"/>
            <w:tcBorders/>
            <w:vAlign w:val="center"/>
          </w:tcPr>
          <w:p>
            <w:pPr>
              <w:pStyle w:val="TableContents"/>
              <w:bidi w:val="0"/>
              <w:spacing w:before="0" w:after="283"/>
              <w:ind w:left="0" w:right="0" w:hanging="0"/>
              <w:jc w:val="left"/>
              <w:rPr/>
            </w:pPr>
            <w:hyperlink r:id="rId8">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p>
        </w:tc>
      </w:tr>
      <w:tr>
        <w:trPr/>
        <w:tc>
          <w:tcPr>
            <w:tcW w:w="1190" w:type="dxa"/>
            <w:tcBorders/>
            <w:shd w:fill="CCEEFF" w:val="clear"/>
            <w:vAlign w:val="center"/>
          </w:tcPr>
          <w:p>
            <w:pPr>
              <w:pStyle w:val="TableContents"/>
              <w:bidi w:val="0"/>
              <w:spacing w:before="0" w:after="283"/>
              <w:ind w:left="0" w:right="0" w:hanging="0"/>
              <w:jc w:val="left"/>
              <w:rPr/>
            </w:pPr>
            <w:hyperlink r:id="rId9">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of Innventure, Inc. (incorporated by reference to Exhibit 3.2 to Innventure, Inc.’s Current Report on Form 8-K filed with the SEC on October 9, 2024) </w:t>
            </w:r>
          </w:p>
        </w:tc>
      </w:tr>
      <w:tr>
        <w:trPr/>
        <w:tc>
          <w:tcPr>
            <w:tcW w:w="1190" w:type="dxa"/>
            <w:tcBorders/>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Series B Preferred Stock of Innventure, Inc., filed with the Secretary of State of State of Delaware on October 2, 2024 (incorporated by reference to Exhibit 3.3 to Innventure, Inc.’s Quarterly Report on Form 10-Q filed with the SEC on May 15, 2025) </w:t>
            </w:r>
          </w:p>
        </w:tc>
      </w:tr>
      <w:tr>
        <w:trPr/>
        <w:tc>
          <w:tcPr>
            <w:tcW w:w="1190" w:type="dxa"/>
            <w:tcBorders/>
            <w:shd w:fill="CCEEFF" w:val="clear"/>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Series C Preferred Stock of Innventure, Inc., filed with the Secretary of State of Delaware on March 24, 2025 (incorporated by reference to Exhibit 3.1 to Innventure, Inc.’s Current Report on Form 8-K filed with the SEC on March 25, 2025) </w:t>
            </w:r>
          </w:p>
        </w:tc>
      </w:tr>
      <w:tr>
        <w:trPr/>
        <w:tc>
          <w:tcPr>
            <w:tcW w:w="1190" w:type="dxa"/>
            <w:tcBorders/>
            <w:vAlign w:val="center"/>
          </w:tcPr>
          <w:p>
            <w:pPr>
              <w:pStyle w:val="TableContents"/>
              <w:bidi w:val="0"/>
              <w:spacing w:before="0" w:after="283"/>
              <w:ind w:left="0" w:right="0" w:hanging="0"/>
              <w:jc w:val="left"/>
              <w:rPr/>
            </w:pPr>
            <w:hyperlink w:anchor="ny20061800x1_ex4-1.htm">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Debt Securities Indenture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Debt Securities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Preferred Stock Certificate of Amendment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Agreement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Certificate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Depositary Agreement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Depositary Receipt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Subscription Rights Certificate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Purchase Contract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Unit Agreement </w:t>
            </w:r>
          </w:p>
        </w:tc>
      </w:tr>
      <w:tr>
        <w:trPr/>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Unit Certificate </w:t>
            </w:r>
          </w:p>
        </w:tc>
      </w:tr>
      <w:tr>
        <w:trPr/>
        <w:tc>
          <w:tcPr>
            <w:tcW w:w="1190" w:type="dxa"/>
            <w:tcBorders/>
            <w:shd w:fill="CCEEFF" w:val="clear"/>
            <w:vAlign w:val="center"/>
          </w:tcPr>
          <w:p>
            <w:pPr>
              <w:pStyle w:val="TableContents"/>
              <w:bidi w:val="0"/>
              <w:spacing w:before="0" w:after="283"/>
              <w:ind w:left="0" w:right="0" w:hanging="0"/>
              <w:jc w:val="left"/>
              <w:rPr/>
            </w:pPr>
            <w:hyperlink w:anchor="ny20061800x1_ex5-1.htm">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Jones Day </w:t>
            </w:r>
          </w:p>
        </w:tc>
      </w:tr>
      <w:tr>
        <w:trPr/>
        <w:tc>
          <w:tcPr>
            <w:tcW w:w="1190" w:type="dxa"/>
            <w:tcBorders/>
            <w:vAlign w:val="center"/>
          </w:tcPr>
          <w:p>
            <w:pPr>
              <w:pStyle w:val="TableContents"/>
              <w:bidi w:val="0"/>
              <w:spacing w:before="0" w:after="283"/>
              <w:ind w:left="0" w:right="0" w:hanging="0"/>
              <w:jc w:val="left"/>
              <w:rPr/>
            </w:pPr>
            <w:hyperlink w:anchor="ny20061800x1_ex23-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Independent Registered Public Accounting Firm </w:t>
            </w:r>
          </w:p>
        </w:tc>
      </w:tr>
      <w:tr>
        <w:trPr/>
        <w:tc>
          <w:tcPr>
            <w:tcW w:w="1190" w:type="dxa"/>
            <w:tcBorders/>
            <w:shd w:fill="CCEEFF" w:val="clear"/>
            <w:vAlign w:val="center"/>
          </w:tcPr>
          <w:p>
            <w:pPr>
              <w:pStyle w:val="TableContents"/>
              <w:bidi w:val="0"/>
              <w:spacing w:before="0" w:after="283"/>
              <w:ind w:left="0" w:right="0" w:hanging="0"/>
              <w:jc w:val="left"/>
              <w:rPr/>
            </w:pPr>
            <w:hyperlink w:anchor="ny20061800x1_ex5-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Jones Day (included in Exhibit 5.1 hereto) </w:t>
            </w:r>
          </w:p>
        </w:tc>
      </w:tr>
      <w:tr>
        <w:trPr/>
        <w:tc>
          <w:tcPr>
            <w:tcW w:w="1190" w:type="dxa"/>
            <w:tcBorders/>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the signature page hereto) </w:t>
            </w:r>
          </w:p>
        </w:tc>
      </w:tr>
      <w:tr>
        <w:trPr/>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T-1 Statement of Eligibility under Trust Indenture Act of 1939 of Trustee under Debt Securities Indenture </w:t>
            </w:r>
          </w:p>
        </w:tc>
      </w:tr>
      <w:tr>
        <w:trPr/>
        <w:tc>
          <w:tcPr>
            <w:tcW w:w="1190" w:type="dxa"/>
            <w:tcBorders/>
            <w:vAlign w:val="center"/>
          </w:tcPr>
          <w:p>
            <w:pPr>
              <w:pStyle w:val="TableContents"/>
              <w:bidi w:val="0"/>
              <w:spacing w:before="0" w:after="283"/>
              <w:ind w:left="0" w:right="0" w:hanging="0"/>
              <w:jc w:val="left"/>
              <w:rPr/>
            </w:pPr>
            <w:hyperlink w:anchor="ny20061800x1_ex107.htm">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either by amendment or as an exhibit to a report filed under the Securities Exchange Act of 1934 and incorporated herein by reference.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in accordance with the requirements of Section 305(b)(2) of the Trust Indenture Act of 1939, as amended.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61800x1_s3_300-part2_pg4"/>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volume and price represent no more than 20 percent change in the maximum aggregate offering price set forth in the “Calculation of Registration Fee” table in the effective registration statement; and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80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of 1933 to any purchaser: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a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61800x1_s3_300-part2_pg5"/>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61800x1_s3_301-sig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Orlando, State of Florida, on December 23, 2025. </w:t>
      </w:r>
    </w:p>
    <w:tbl>
      <w:tblPr>
        <w:tblW w:w="4310"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30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INNVENTURE,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Gregory W. Haskell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Gregory W. Haskell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330" w:after="283"/>
        <w:jc w:val="center"/>
        <w:rPr>
          <w:rFonts w:ascii="Times New Roman;Times;serif" w:hAnsi="Times New Roman;Times;serif"/>
          <w:b/>
          <w:color w:val="000000"/>
          <w:sz w:val="20"/>
        </w:rPr>
      </w:pPr>
      <w:bookmarkStart w:id="59" w:name="tPOA"/>
      <w:bookmarkEnd w:id="59"/>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KNOW ALL PERSONS BY THESE PRESENTS, that each person whose signature appears below constitutes and appoints David Yablunosky and Suzanne Niemeyer,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9140" w:type="dxa"/>
        <w:jc w:val="left"/>
        <w:tblInd w:w="0" w:type="dxa"/>
        <w:tblLayout w:type="fixed"/>
        <w:tblCellMar>
          <w:top w:w="0" w:type="dxa"/>
          <w:left w:w="0" w:type="dxa"/>
          <w:bottom w:w="0" w:type="dxa"/>
          <w:right w:w="0" w:type="dxa"/>
        </w:tblCellMar>
      </w:tblPr>
      <w:tblGrid>
        <w:gridCol w:w="1910"/>
        <w:gridCol w:w="140"/>
        <w:gridCol w:w="140"/>
        <w:gridCol w:w="5015"/>
        <w:gridCol w:w="140"/>
        <w:gridCol w:w="140"/>
        <w:gridCol w:w="1655"/>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Gregory W. Haskell</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December 23, 2025</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Gregory W. Haskell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David Yablunosky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Financial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David Yablunosky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Otworth</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Chairman and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Otworth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Suzanne Niemeyer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General Counsel and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Suzanne Niemeyer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James O. Donnally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James O. Donnally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Bruce Brown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Bruce Brown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Elizabeth Williams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Elizabeth Williams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Daniel J. Hennessy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Daniel J. Hennessy</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Amalfitano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65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December 23, 2025</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Michael Amalfitano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jc w:val="left"/>
        <w:rPr/>
      </w:pPr>
      <w:r>
        <w:rPr/>
      </w:r>
      <w:bookmarkStart w:id="60" w:name="ny20061800x1_ex4-1.htm"/>
      <w:bookmarkStart w:id="61" w:name="ksny20061800x1_ex41"/>
      <w:bookmarkStart w:id="62" w:name="ny20061800x1_ex4-1.htm"/>
      <w:bookmarkStart w:id="63" w:name="ksny20061800x1_ex41"/>
      <w:bookmarkEnd w:id="62"/>
      <w:bookmarkEnd w:id="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INC.</w:t>
      </w:r>
    </w:p>
    <w:p>
      <w:pPr>
        <w:pStyle w:val="TextBody"/>
        <w:bidi w:val="0"/>
        <w:spacing w:before="0" w:after="0"/>
        <w:jc w:val="center"/>
        <w:rPr>
          <w:b/>
          <w:sz w:val="20"/>
        </w:rPr>
      </w:pPr>
      <w:r>
        <w:rPr>
          <w:b/>
          <w:sz w:val="20"/>
        </w:rPr>
      </w:r>
    </w:p>
    <w:p>
      <w:pPr>
        <w:pStyle w:val="HorizontalLine"/>
        <w:pBdr>
          <w:bottom w:val="single" w:sz="12" w:space="0" w:color="808080"/>
        </w:pBdr>
        <w:bidi w:val="0"/>
        <w:spacing w:before="120" w:after="12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INDENTURE</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as of [      ]</w:t>
      </w:r>
    </w:p>
    <w:p>
      <w:pPr>
        <w:pStyle w:val="TextBody"/>
        <w:bidi w:val="0"/>
        <w:spacing w:before="0" w:after="0"/>
        <w:jc w:val="center"/>
        <w:rPr>
          <w:b/>
          <w:sz w:val="20"/>
        </w:rPr>
      </w:pPr>
      <w:r>
        <w:rPr>
          <w:b/>
          <w:sz w:val="20"/>
        </w:rPr>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Trustee</w:t>
      </w:r>
    </w:p>
    <w:p>
      <w:pPr>
        <w:pStyle w:val="TextBody"/>
        <w:bidi w:val="0"/>
        <w:spacing w:before="0" w:after="0"/>
        <w:jc w:val="center"/>
        <w:rPr>
          <w:b/>
          <w:sz w:val="20"/>
        </w:rPr>
      </w:pPr>
      <w:r>
        <w:rPr>
          <w:b/>
          <w:sz w:val="20"/>
        </w:rPr>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CROSS-REFERENCE TABLE*</w:t>
      </w:r>
    </w:p>
    <w:p>
      <w:pPr>
        <w:pStyle w:val="Normal"/>
        <w:bidi w:val="0"/>
        <w:spacing w:before="0" w:after="0"/>
        <w:jc w:val="left"/>
        <w:rPr>
          <w:sz w:val="4"/>
          <w:szCs w:val="4"/>
        </w:rPr>
      </w:pPr>
      <w:r>
        <w:rPr>
          <w:sz w:val="4"/>
          <w:szCs w:val="4"/>
        </w:rPr>
      </w:r>
      <w:bookmarkStart w:id="64" w:name="z960daa3159e94b9994739b79a100c917"/>
      <w:bookmarkStart w:id="65" w:name="z960daa3159e94b9994739b79a100c917"/>
      <w:bookmarkEnd w:id="65"/>
    </w:p>
    <w:tbl>
      <w:tblPr>
        <w:tblW w:w="3159" w:type="dxa"/>
        <w:jc w:val="left"/>
        <w:tblInd w:w="0" w:type="dxa"/>
        <w:tblLayout w:type="fixed"/>
        <w:tblCellMar>
          <w:top w:w="0" w:type="dxa"/>
          <w:left w:w="0" w:type="dxa"/>
          <w:bottom w:w="28" w:type="dxa"/>
          <w:right w:w="0" w:type="dxa"/>
        </w:tblCellMar>
      </w:tblPr>
      <w:tblGrid>
        <w:gridCol w:w="1668"/>
        <w:gridCol w:w="76"/>
        <w:gridCol w:w="1415"/>
      </w:tblGrid>
      <w:tr>
        <w:trPr/>
        <w:tc>
          <w:tcPr>
            <w:tcW w:w="1668" w:type="dxa"/>
            <w:tcBorders>
              <w:bottom w:val="single" w:sz="12" w:space="0" w:color="000000"/>
            </w:tcBorders>
            <w:vAlign w:val="center"/>
          </w:tcPr>
          <w:p>
            <w:pPr>
              <w:pStyle w:val="TableContents"/>
              <w:bidi w:val="0"/>
              <w:spacing w:before="0" w:after="0"/>
              <w:jc w:val="center"/>
              <w:rPr>
                <w:b/>
                <w:i/>
                <w:sz w:val="20"/>
              </w:rPr>
            </w:pPr>
            <w:r>
              <w:rPr>
                <w:b/>
                <w:i/>
                <w:sz w:val="20"/>
              </w:rPr>
              <w:t>Trust Indenture</w:t>
            </w:r>
          </w:p>
          <w:p>
            <w:pPr>
              <w:pStyle w:val="TableContents"/>
              <w:bidi w:val="0"/>
              <w:spacing w:before="0" w:after="0"/>
              <w:jc w:val="center"/>
              <w:rPr>
                <w:b/>
                <w:i/>
                <w:sz w:val="20"/>
              </w:rPr>
            </w:pPr>
            <w:r>
              <w:rPr>
                <w:b/>
                <w:i/>
                <w:sz w:val="20"/>
              </w:rPr>
              <w:t>Act Section</w:t>
            </w:r>
          </w:p>
        </w:tc>
        <w:tc>
          <w:tcPr>
            <w:tcW w:w="76"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0"/>
              <w:jc w:val="center"/>
              <w:rPr>
                <w:b/>
                <w:i/>
                <w:sz w:val="20"/>
              </w:rPr>
            </w:pPr>
            <w:r>
              <w:rPr>
                <w:b/>
                <w:i/>
                <w:sz w:val="20"/>
              </w:rPr>
              <w:t>Indenture</w:t>
            </w:r>
          </w:p>
          <w:p>
            <w:pPr>
              <w:pStyle w:val="TableContents"/>
              <w:bidi w:val="0"/>
              <w:spacing w:before="0" w:after="0"/>
              <w:jc w:val="center"/>
              <w:rPr>
                <w:b/>
                <w:i/>
                <w:sz w:val="20"/>
              </w:rPr>
            </w:pPr>
            <w:r>
              <w:rPr>
                <w:b/>
                <w:i/>
                <w:sz w:val="20"/>
              </w:rPr>
              <w:t>Section</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310(a)(1)</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7.10</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(a)(2)</w:t>
            </w:r>
          </w:p>
        </w:tc>
        <w:tc>
          <w:tcPr>
            <w:tcW w:w="1415" w:type="dxa"/>
            <w:tcBorders/>
            <w:tcMar>
              <w:bottom w:w="0" w:type="dxa"/>
            </w:tcMar>
            <w:vAlign w:val="center"/>
          </w:tcPr>
          <w:p>
            <w:pPr>
              <w:pStyle w:val="TableContents"/>
              <w:bidi w:val="0"/>
              <w:spacing w:before="0" w:after="0"/>
              <w:jc w:val="right"/>
              <w:rPr>
                <w:sz w:val="20"/>
              </w:rPr>
            </w:pPr>
            <w:r>
              <w:rPr>
                <w:sz w:val="20"/>
              </w:rPr>
              <w:t>7.10</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(a)(3)</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(a)(4)</w:t>
            </w:r>
          </w:p>
        </w:tc>
        <w:tc>
          <w:tcPr>
            <w:tcW w:w="1415" w:type="dxa"/>
            <w:tcBorders/>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(a)(5)</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7.10</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(b)</w:t>
            </w:r>
          </w:p>
        </w:tc>
        <w:tc>
          <w:tcPr>
            <w:tcW w:w="1415" w:type="dxa"/>
            <w:tcBorders/>
            <w:tcMar>
              <w:bottom w:w="0" w:type="dxa"/>
            </w:tcMar>
            <w:vAlign w:val="center"/>
          </w:tcPr>
          <w:p>
            <w:pPr>
              <w:pStyle w:val="TableContents"/>
              <w:bidi w:val="0"/>
              <w:spacing w:before="0" w:after="0"/>
              <w:jc w:val="right"/>
              <w:rPr>
                <w:sz w:val="20"/>
              </w:rPr>
            </w:pPr>
            <w:r>
              <w:rPr>
                <w:sz w:val="20"/>
              </w:rPr>
              <w:t>7.10</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(c)</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311(a)</w:t>
            </w:r>
          </w:p>
        </w:tc>
        <w:tc>
          <w:tcPr>
            <w:tcW w:w="1415" w:type="dxa"/>
            <w:tcBorders/>
            <w:tcMar>
              <w:bottom w:w="0" w:type="dxa"/>
            </w:tcMar>
            <w:vAlign w:val="center"/>
          </w:tcPr>
          <w:p>
            <w:pPr>
              <w:pStyle w:val="TableContents"/>
              <w:bidi w:val="0"/>
              <w:spacing w:before="0" w:after="0"/>
              <w:jc w:val="right"/>
              <w:rPr>
                <w:sz w:val="20"/>
              </w:rPr>
            </w:pPr>
            <w:r>
              <w:rPr>
                <w:sz w:val="20"/>
              </w:rPr>
              <w:t>7.11</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7.11</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w:t>
            </w:r>
          </w:p>
        </w:tc>
        <w:tc>
          <w:tcPr>
            <w:tcW w:w="1415" w:type="dxa"/>
            <w:tcBorders/>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312(a)</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2.06</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(b)</w:t>
            </w:r>
          </w:p>
        </w:tc>
        <w:tc>
          <w:tcPr>
            <w:tcW w:w="1415" w:type="dxa"/>
            <w:tcBorders/>
            <w:tcMar>
              <w:bottom w:w="0" w:type="dxa"/>
            </w:tcMar>
            <w:vAlign w:val="center"/>
          </w:tcPr>
          <w:p>
            <w:pPr>
              <w:pStyle w:val="TableContents"/>
              <w:bidi w:val="0"/>
              <w:spacing w:before="0" w:after="0"/>
              <w:jc w:val="right"/>
              <w:rPr>
                <w:sz w:val="20"/>
              </w:rPr>
            </w:pPr>
            <w:r>
              <w:rPr>
                <w:sz w:val="20"/>
              </w:rPr>
              <w:t>11.03</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(c)</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11.03</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313(a)</w:t>
            </w:r>
          </w:p>
        </w:tc>
        <w:tc>
          <w:tcPr>
            <w:tcW w:w="1415" w:type="dxa"/>
            <w:tcBorders/>
            <w:tcMar>
              <w:bottom w:w="0" w:type="dxa"/>
            </w:tcMar>
            <w:vAlign w:val="center"/>
          </w:tcPr>
          <w:p>
            <w:pPr>
              <w:pStyle w:val="TableContents"/>
              <w:bidi w:val="0"/>
              <w:spacing w:before="0" w:after="0"/>
              <w:jc w:val="right"/>
              <w:rPr>
                <w:sz w:val="20"/>
              </w:rPr>
            </w:pPr>
            <w:r>
              <w:rPr>
                <w:sz w:val="20"/>
              </w:rPr>
              <w:t>7.06</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(b)(2)</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7.06; 7.07</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w:t>
            </w:r>
          </w:p>
        </w:tc>
        <w:tc>
          <w:tcPr>
            <w:tcW w:w="1415" w:type="dxa"/>
            <w:tcBorders/>
            <w:tcMar>
              <w:bottom w:w="0" w:type="dxa"/>
            </w:tcMar>
            <w:vAlign w:val="center"/>
          </w:tcPr>
          <w:p>
            <w:pPr>
              <w:pStyle w:val="TableContents"/>
              <w:bidi w:val="0"/>
              <w:spacing w:before="0" w:after="0"/>
              <w:jc w:val="right"/>
              <w:rPr>
                <w:sz w:val="20"/>
              </w:rPr>
            </w:pPr>
            <w:r>
              <w:rPr>
                <w:sz w:val="20"/>
              </w:rPr>
              <w:t>7.06; 11.02</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(d)</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7.06</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314(a)</w:t>
            </w:r>
          </w:p>
        </w:tc>
        <w:tc>
          <w:tcPr>
            <w:tcW w:w="1415" w:type="dxa"/>
            <w:tcBorders/>
            <w:tcMar>
              <w:bottom w:w="0" w:type="dxa"/>
            </w:tcMar>
            <w:vAlign w:val="center"/>
          </w:tcPr>
          <w:p>
            <w:pPr>
              <w:pStyle w:val="TableContents"/>
              <w:bidi w:val="0"/>
              <w:spacing w:before="0" w:after="0"/>
              <w:jc w:val="right"/>
              <w:rPr>
                <w:sz w:val="20"/>
              </w:rPr>
            </w:pPr>
            <w:r>
              <w:rPr>
                <w:sz w:val="20"/>
              </w:rPr>
              <w:t>4.03; 4.04; 11.05</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(c)(l)</w:t>
            </w:r>
          </w:p>
        </w:tc>
        <w:tc>
          <w:tcPr>
            <w:tcW w:w="1415" w:type="dxa"/>
            <w:tcBorders/>
            <w:tcMar>
              <w:bottom w:w="0" w:type="dxa"/>
            </w:tcMar>
            <w:vAlign w:val="center"/>
          </w:tcPr>
          <w:p>
            <w:pPr>
              <w:pStyle w:val="TableContents"/>
              <w:bidi w:val="0"/>
              <w:spacing w:before="0" w:after="0"/>
              <w:jc w:val="right"/>
              <w:rPr>
                <w:sz w:val="20"/>
              </w:rPr>
            </w:pPr>
            <w:r>
              <w:rPr>
                <w:sz w:val="20"/>
              </w:rPr>
              <w:t>11.04</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(c)(2)</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11.04</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(c)(3)</w:t>
            </w:r>
          </w:p>
        </w:tc>
        <w:tc>
          <w:tcPr>
            <w:tcW w:w="1415" w:type="dxa"/>
            <w:tcBorders/>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(d)</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(e)</w:t>
            </w:r>
          </w:p>
        </w:tc>
        <w:tc>
          <w:tcPr>
            <w:tcW w:w="1415" w:type="dxa"/>
            <w:tcBorders/>
            <w:tcMar>
              <w:bottom w:w="0" w:type="dxa"/>
            </w:tcMar>
            <w:vAlign w:val="center"/>
          </w:tcPr>
          <w:p>
            <w:pPr>
              <w:pStyle w:val="TableContents"/>
              <w:bidi w:val="0"/>
              <w:spacing w:before="0" w:after="0"/>
              <w:jc w:val="right"/>
              <w:rPr>
                <w:sz w:val="20"/>
              </w:rPr>
            </w:pPr>
            <w:r>
              <w:rPr>
                <w:sz w:val="20"/>
              </w:rPr>
              <w:t>11.05</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(f)</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315(a)</w:t>
            </w:r>
          </w:p>
        </w:tc>
        <w:tc>
          <w:tcPr>
            <w:tcW w:w="1415" w:type="dxa"/>
            <w:tcBorders/>
            <w:tcMar>
              <w:bottom w:w="0" w:type="dxa"/>
            </w:tcMar>
            <w:vAlign w:val="center"/>
          </w:tcPr>
          <w:p>
            <w:pPr>
              <w:pStyle w:val="TableContents"/>
              <w:bidi w:val="0"/>
              <w:spacing w:before="0" w:after="0"/>
              <w:jc w:val="right"/>
              <w:rPr>
                <w:sz w:val="20"/>
              </w:rPr>
            </w:pPr>
            <w:r>
              <w:rPr>
                <w:sz w:val="20"/>
              </w:rPr>
              <w:t>7.01</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7.05; 11.02</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w:t>
            </w:r>
          </w:p>
        </w:tc>
        <w:tc>
          <w:tcPr>
            <w:tcW w:w="1415" w:type="dxa"/>
            <w:tcBorders/>
            <w:tcMar>
              <w:bottom w:w="0" w:type="dxa"/>
            </w:tcMar>
            <w:vAlign w:val="center"/>
          </w:tcPr>
          <w:p>
            <w:pPr>
              <w:pStyle w:val="TableContents"/>
              <w:bidi w:val="0"/>
              <w:spacing w:before="0" w:after="0"/>
              <w:jc w:val="right"/>
              <w:rPr>
                <w:sz w:val="20"/>
              </w:rPr>
            </w:pPr>
            <w:r>
              <w:rPr>
                <w:sz w:val="20"/>
              </w:rPr>
              <w:t>7.01</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(d)</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7.01</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(e)</w:t>
            </w:r>
          </w:p>
        </w:tc>
        <w:tc>
          <w:tcPr>
            <w:tcW w:w="1415" w:type="dxa"/>
            <w:tcBorders/>
            <w:tcMar>
              <w:bottom w:w="0" w:type="dxa"/>
            </w:tcMar>
            <w:vAlign w:val="center"/>
          </w:tcPr>
          <w:p>
            <w:pPr>
              <w:pStyle w:val="TableContents"/>
              <w:bidi w:val="0"/>
              <w:spacing w:before="0" w:after="0"/>
              <w:jc w:val="right"/>
              <w:rPr>
                <w:sz w:val="20"/>
              </w:rPr>
            </w:pPr>
            <w:r>
              <w:rPr>
                <w:sz w:val="20"/>
              </w:rPr>
              <w:t>6.11</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316(a) (last sentence)</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2.10</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(a)(l)(A)</w:t>
            </w:r>
          </w:p>
        </w:tc>
        <w:tc>
          <w:tcPr>
            <w:tcW w:w="1415" w:type="dxa"/>
            <w:tcBorders/>
            <w:tcMar>
              <w:bottom w:w="0" w:type="dxa"/>
            </w:tcMar>
            <w:vAlign w:val="center"/>
          </w:tcPr>
          <w:p>
            <w:pPr>
              <w:pStyle w:val="TableContents"/>
              <w:bidi w:val="0"/>
              <w:spacing w:before="0" w:after="0"/>
              <w:jc w:val="right"/>
              <w:rPr>
                <w:sz w:val="20"/>
              </w:rPr>
            </w:pPr>
            <w:r>
              <w:rPr>
                <w:sz w:val="20"/>
              </w:rPr>
              <w:t>6.05</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(a)(l)(B)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6.04</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(a)(2)</w:t>
            </w:r>
          </w:p>
        </w:tc>
        <w:tc>
          <w:tcPr>
            <w:tcW w:w="1415" w:type="dxa"/>
            <w:tcBorders/>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6.07</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w:t>
            </w:r>
          </w:p>
        </w:tc>
        <w:tc>
          <w:tcPr>
            <w:tcW w:w="1415" w:type="dxa"/>
            <w:tcBorders/>
            <w:tcMar>
              <w:bottom w:w="0" w:type="dxa"/>
            </w:tcMar>
            <w:vAlign w:val="center"/>
          </w:tcPr>
          <w:p>
            <w:pPr>
              <w:pStyle w:val="TableContents"/>
              <w:bidi w:val="0"/>
              <w:spacing w:before="0" w:after="0"/>
              <w:jc w:val="right"/>
              <w:rPr>
                <w:sz w:val="20"/>
              </w:rPr>
            </w:pPr>
            <w:r>
              <w:rPr>
                <w:sz w:val="20"/>
              </w:rPr>
              <w:t>2.14</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317(a)(l)</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6.08</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(a)(2)</w:t>
            </w:r>
          </w:p>
        </w:tc>
        <w:tc>
          <w:tcPr>
            <w:tcW w:w="1415" w:type="dxa"/>
            <w:tcBorders/>
            <w:tcMar>
              <w:bottom w:w="0" w:type="dxa"/>
            </w:tcMar>
            <w:vAlign w:val="center"/>
          </w:tcPr>
          <w:p>
            <w:pPr>
              <w:pStyle w:val="TableContents"/>
              <w:bidi w:val="0"/>
              <w:spacing w:before="0" w:after="0"/>
              <w:jc w:val="right"/>
              <w:rPr>
                <w:sz w:val="20"/>
              </w:rPr>
            </w:pPr>
            <w:r>
              <w:rPr>
                <w:sz w:val="20"/>
              </w:rPr>
              <w:t>6.09</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2.05</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318(a)</w:t>
            </w:r>
          </w:p>
        </w:tc>
        <w:tc>
          <w:tcPr>
            <w:tcW w:w="1415" w:type="dxa"/>
            <w:tcBorders/>
            <w:tcMar>
              <w:bottom w:w="0" w:type="dxa"/>
            </w:tcMar>
            <w:vAlign w:val="center"/>
          </w:tcPr>
          <w:p>
            <w:pPr>
              <w:pStyle w:val="TableContents"/>
              <w:bidi w:val="0"/>
              <w:spacing w:before="0" w:after="0"/>
              <w:jc w:val="right"/>
              <w:rPr>
                <w:sz w:val="20"/>
              </w:rPr>
            </w:pPr>
            <w:r>
              <w:rPr>
                <w:sz w:val="20"/>
              </w:rPr>
              <w:t>11.01</w:t>
            </w:r>
          </w:p>
        </w:tc>
      </w:tr>
      <w:tr>
        <w:trPr/>
        <w:tc>
          <w:tcPr>
            <w:tcW w:w="1744" w:type="dxa"/>
            <w:gridSpan w:val="2"/>
            <w:tcBorders/>
            <w:shd w:fill="CCEEFF" w:val="clear"/>
            <w:tcMar>
              <w:bottom w:w="0" w:type="dxa"/>
            </w:tcMar>
            <w:vAlign w:val="center"/>
          </w:tcPr>
          <w:p>
            <w:pPr>
              <w:pStyle w:val="TableContents"/>
              <w:bidi w:val="0"/>
              <w:spacing w:before="0" w:after="0"/>
              <w:jc w:val="left"/>
              <w:rPr>
                <w:sz w:val="20"/>
              </w:rPr>
            </w:pPr>
            <w:r>
              <w:rPr>
                <w:sz w:val="20"/>
              </w:rPr>
              <w:t>(b)</w:t>
            </w:r>
          </w:p>
        </w:tc>
        <w:tc>
          <w:tcPr>
            <w:tcW w:w="1415" w:type="dxa"/>
            <w:tcBorders/>
            <w:shd w:fill="CCEEFF" w:val="clear"/>
            <w:tcMar>
              <w:bottom w:w="0" w:type="dxa"/>
            </w:tcMar>
            <w:vAlign w:val="center"/>
          </w:tcPr>
          <w:p>
            <w:pPr>
              <w:pStyle w:val="TableContents"/>
              <w:bidi w:val="0"/>
              <w:spacing w:before="0" w:after="0"/>
              <w:jc w:val="right"/>
              <w:rPr>
                <w:sz w:val="20"/>
              </w:rPr>
            </w:pPr>
            <w:r>
              <w:rPr>
                <w:sz w:val="20"/>
              </w:rPr>
              <w:t>N.A.</w:t>
            </w:r>
          </w:p>
        </w:tc>
      </w:tr>
      <w:tr>
        <w:trPr/>
        <w:tc>
          <w:tcPr>
            <w:tcW w:w="1744" w:type="dxa"/>
            <w:gridSpan w:val="2"/>
            <w:tcBorders/>
            <w:tcMar>
              <w:bottom w:w="0" w:type="dxa"/>
            </w:tcMar>
            <w:vAlign w:val="center"/>
          </w:tcPr>
          <w:p>
            <w:pPr>
              <w:pStyle w:val="TableContents"/>
              <w:bidi w:val="0"/>
              <w:spacing w:before="0" w:after="0"/>
              <w:jc w:val="left"/>
              <w:rPr>
                <w:sz w:val="20"/>
              </w:rPr>
            </w:pPr>
            <w:r>
              <w:rPr>
                <w:sz w:val="20"/>
              </w:rPr>
              <w:t>(c)</w:t>
            </w:r>
          </w:p>
        </w:tc>
        <w:tc>
          <w:tcPr>
            <w:tcW w:w="1415" w:type="dxa"/>
            <w:tcBorders/>
            <w:tcMar>
              <w:bottom w:w="0" w:type="dxa"/>
            </w:tcMar>
            <w:vAlign w:val="center"/>
          </w:tcPr>
          <w:p>
            <w:pPr>
              <w:pStyle w:val="TableContents"/>
              <w:bidi w:val="0"/>
              <w:spacing w:before="0" w:after="0"/>
              <w:jc w:val="right"/>
              <w:rPr>
                <w:sz w:val="20"/>
              </w:rPr>
            </w:pPr>
            <w:r>
              <w:rPr>
                <w:sz w:val="20"/>
              </w:rPr>
              <w:t>11.01</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N.A. means not applicable.</w:t>
      </w:r>
    </w:p>
    <w:p>
      <w:pPr>
        <w:pStyle w:val="Normal"/>
        <w:bidi w:val="0"/>
        <w:spacing w:before="0" w:after="0"/>
        <w:jc w:val="left"/>
        <w:rPr>
          <w:sz w:val="4"/>
          <w:szCs w:val="4"/>
        </w:rPr>
      </w:pPr>
      <w:r>
        <w:rPr>
          <w:sz w:val="4"/>
          <w:szCs w:val="4"/>
        </w:rPr>
      </w:r>
      <w:bookmarkStart w:id="66" w:name="zd0de971f42354ee08bf6f721953c8316"/>
      <w:bookmarkStart w:id="67" w:name="zd0de971f42354ee08bf6f721953c8316"/>
      <w:bookmarkEnd w:id="67"/>
    </w:p>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283"/>
              <w:jc w:val="left"/>
              <w:rPr>
                <w:sz w:val="20"/>
              </w:rPr>
            </w:pPr>
            <w:r>
              <w:rPr>
                <w:sz w:val="20"/>
              </w:rPr>
              <w:t>*</w:t>
            </w:r>
          </w:p>
        </w:tc>
        <w:tc>
          <w:tcPr>
            <w:tcW w:w="4535" w:type="dxa"/>
            <w:tcBorders/>
            <w:vAlign w:val="center"/>
          </w:tcPr>
          <w:p>
            <w:pPr>
              <w:pStyle w:val="TableContents"/>
              <w:bidi w:val="0"/>
              <w:spacing w:before="0" w:after="0"/>
              <w:jc w:val="left"/>
              <w:rPr>
                <w:sz w:val="20"/>
              </w:rPr>
            </w:pPr>
            <w:r>
              <w:rPr>
                <w:sz w:val="20"/>
              </w:rPr>
              <w:t>This Cross Reference Table is not part of this Indenture.</w:t>
            </w:r>
          </w:p>
        </w:tc>
      </w:tr>
    </w:tbl>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b/>
          <w:color w:val="000000"/>
          <w:sz w:val="20"/>
        </w:rPr>
      </w:pPr>
      <w:r>
        <w:rPr>
          <w:b/>
          <w:color w:val="000000"/>
          <w:sz w:val="20"/>
        </w:rPr>
      </w:r>
    </w:p>
    <w:p>
      <w:pPr>
        <w:pStyle w:val="Normal"/>
        <w:bidi w:val="0"/>
        <w:spacing w:before="0" w:after="0"/>
        <w:jc w:val="left"/>
        <w:rPr>
          <w:sz w:val="4"/>
          <w:szCs w:val="4"/>
        </w:rPr>
      </w:pPr>
      <w:r>
        <w:rPr>
          <w:sz w:val="4"/>
          <w:szCs w:val="4"/>
        </w:rPr>
      </w:r>
      <w:bookmarkStart w:id="68" w:name="z8a2c0d49afde4552af47251aaf4d7b85"/>
      <w:bookmarkStart w:id="69" w:name="z8a2c0d49afde4552af47251aaf4d7b85"/>
      <w:bookmarkEnd w:id="69"/>
    </w:p>
    <w:tbl>
      <w:tblPr>
        <w:tblW w:w="5850" w:type="dxa"/>
        <w:jc w:val="left"/>
        <w:tblInd w:w="0" w:type="dxa"/>
        <w:tblLayout w:type="fixed"/>
        <w:tblCellMar>
          <w:top w:w="0" w:type="dxa"/>
          <w:left w:w="0" w:type="dxa"/>
          <w:bottom w:w="0" w:type="dxa"/>
          <w:right w:w="0" w:type="dxa"/>
        </w:tblCellMar>
      </w:tblPr>
      <w:tblGrid>
        <w:gridCol w:w="995"/>
        <w:gridCol w:w="4730"/>
        <w:gridCol w:w="125"/>
      </w:tblGrid>
      <w:tr>
        <w:trPr/>
        <w:tc>
          <w:tcPr>
            <w:tcW w:w="995" w:type="dxa"/>
            <w:tcBorders/>
            <w:shd w:fill="CCEEFF" w:val="clear"/>
            <w:vAlign w:val="center"/>
          </w:tcPr>
          <w:p>
            <w:pPr>
              <w:pStyle w:val="TableContents"/>
              <w:bidi w:val="0"/>
              <w:spacing w:before="0" w:after="0"/>
              <w:jc w:val="left"/>
              <w:rPr>
                <w:sz w:val="20"/>
              </w:rPr>
            </w:pPr>
            <w:r>
              <w:rPr>
                <w:sz w:val="20"/>
              </w:rPr>
              <w:t>ARTICLE 1</w:t>
            </w:r>
          </w:p>
        </w:tc>
        <w:tc>
          <w:tcPr>
            <w:tcW w:w="4730" w:type="dxa"/>
            <w:tcBorders/>
            <w:shd w:fill="CCEEFF" w:val="clear"/>
            <w:vAlign w:val="center"/>
          </w:tcPr>
          <w:p>
            <w:pPr>
              <w:pStyle w:val="TableContents"/>
              <w:bidi w:val="0"/>
              <w:spacing w:before="0" w:after="0"/>
              <w:jc w:val="left"/>
              <w:rPr>
                <w:sz w:val="20"/>
              </w:rPr>
            </w:pPr>
            <w:r>
              <w:rPr>
                <w:sz w:val="20"/>
              </w:rPr>
              <w:t>DEFINITIONS AND INCORPORATION BY REFERENCE</w:t>
            </w:r>
          </w:p>
        </w:tc>
        <w:tc>
          <w:tcPr>
            <w:tcW w:w="125" w:type="dxa"/>
            <w:tcBorders/>
            <w:shd w:fill="CCEEFF" w:val="clear"/>
            <w:vAlign w:val="center"/>
          </w:tcPr>
          <w:p>
            <w:pPr>
              <w:pStyle w:val="TableContents"/>
              <w:bidi w:val="0"/>
              <w:spacing w:before="0" w:after="0"/>
              <w:jc w:val="right"/>
              <w:rPr>
                <w:sz w:val="20"/>
              </w:rPr>
            </w:pPr>
            <w:r>
              <w:rPr>
                <w:sz w:val="20"/>
              </w:rPr>
              <w:t>1</w:t>
            </w:r>
          </w:p>
        </w:tc>
      </w:tr>
    </w:tbl>
    <w:tbl>
      <w:tblPr>
        <w:tblW w:w="5295" w:type="dxa"/>
        <w:jc w:val="left"/>
        <w:tblInd w:w="0" w:type="dxa"/>
        <w:tblLayout w:type="fixed"/>
        <w:tblCellMar>
          <w:top w:w="0" w:type="dxa"/>
          <w:left w:w="0" w:type="dxa"/>
          <w:bottom w:w="0" w:type="dxa"/>
          <w:right w:w="0" w:type="dxa"/>
        </w:tblCellMar>
      </w:tblPr>
      <w:tblGrid>
        <w:gridCol w:w="60"/>
        <w:gridCol w:w="1040"/>
        <w:gridCol w:w="4070"/>
        <w:gridCol w:w="125"/>
      </w:tblGrid>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1.01</w:t>
            </w:r>
          </w:p>
        </w:tc>
        <w:tc>
          <w:tcPr>
            <w:tcW w:w="4070" w:type="dxa"/>
            <w:tcBorders/>
            <w:vAlign w:val="center"/>
          </w:tcPr>
          <w:p>
            <w:pPr>
              <w:pStyle w:val="TableContents"/>
              <w:bidi w:val="0"/>
              <w:spacing w:before="0" w:after="0"/>
              <w:jc w:val="left"/>
              <w:rPr>
                <w:sz w:val="20"/>
              </w:rPr>
            </w:pPr>
            <w:r>
              <w:rPr>
                <w:sz w:val="20"/>
              </w:rPr>
              <w:t>Definitions</w:t>
            </w:r>
          </w:p>
        </w:tc>
        <w:tc>
          <w:tcPr>
            <w:tcW w:w="125" w:type="dxa"/>
            <w:tcBorders/>
            <w:vAlign w:val="center"/>
          </w:tcPr>
          <w:p>
            <w:pPr>
              <w:pStyle w:val="TableContents"/>
              <w:bidi w:val="0"/>
              <w:spacing w:before="0" w:after="0"/>
              <w:jc w:val="right"/>
              <w:rPr>
                <w:sz w:val="20"/>
              </w:rPr>
            </w:pPr>
            <w:r>
              <w:rPr>
                <w:sz w:val="20"/>
              </w:rPr>
              <w:t>1</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1.02</w:t>
            </w:r>
          </w:p>
        </w:tc>
        <w:tc>
          <w:tcPr>
            <w:tcW w:w="4070" w:type="dxa"/>
            <w:tcBorders/>
            <w:shd w:fill="CCEEFF" w:val="clear"/>
            <w:vAlign w:val="center"/>
          </w:tcPr>
          <w:p>
            <w:pPr>
              <w:pStyle w:val="TableContents"/>
              <w:bidi w:val="0"/>
              <w:spacing w:before="0" w:after="0"/>
              <w:jc w:val="left"/>
              <w:rPr>
                <w:sz w:val="20"/>
              </w:rPr>
            </w:pPr>
            <w:r>
              <w:rPr>
                <w:sz w:val="20"/>
              </w:rPr>
              <w:t>Other Definitions</w:t>
            </w:r>
          </w:p>
        </w:tc>
        <w:tc>
          <w:tcPr>
            <w:tcW w:w="125" w:type="dxa"/>
            <w:tcBorders/>
            <w:shd w:fill="CCEEFF" w:val="clear"/>
            <w:vAlign w:val="center"/>
          </w:tcPr>
          <w:p>
            <w:pPr>
              <w:pStyle w:val="TableContents"/>
              <w:bidi w:val="0"/>
              <w:spacing w:before="0" w:after="0"/>
              <w:jc w:val="right"/>
              <w:rPr>
                <w:sz w:val="20"/>
              </w:rPr>
            </w:pPr>
            <w:r>
              <w:rPr>
                <w:sz w:val="20"/>
              </w:rPr>
              <w:t>5</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1.03</w:t>
            </w:r>
          </w:p>
        </w:tc>
        <w:tc>
          <w:tcPr>
            <w:tcW w:w="4070" w:type="dxa"/>
            <w:tcBorders/>
            <w:vAlign w:val="center"/>
          </w:tcPr>
          <w:p>
            <w:pPr>
              <w:pStyle w:val="TableContents"/>
              <w:bidi w:val="0"/>
              <w:spacing w:before="0" w:after="0"/>
              <w:jc w:val="left"/>
              <w:rPr>
                <w:sz w:val="20"/>
              </w:rPr>
            </w:pPr>
            <w:r>
              <w:rPr>
                <w:sz w:val="20"/>
              </w:rPr>
              <w:t>Incorporation by Reference of Trust Indenture Act</w:t>
            </w:r>
          </w:p>
        </w:tc>
        <w:tc>
          <w:tcPr>
            <w:tcW w:w="125" w:type="dxa"/>
            <w:tcBorders/>
            <w:vAlign w:val="center"/>
          </w:tcPr>
          <w:p>
            <w:pPr>
              <w:pStyle w:val="TableContents"/>
              <w:bidi w:val="0"/>
              <w:spacing w:before="0" w:after="0"/>
              <w:jc w:val="right"/>
              <w:rPr>
                <w:sz w:val="20"/>
              </w:rPr>
            </w:pPr>
            <w:r>
              <w:rPr>
                <w:sz w:val="20"/>
              </w:rPr>
              <w:t>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1.04</w:t>
            </w:r>
          </w:p>
        </w:tc>
        <w:tc>
          <w:tcPr>
            <w:tcW w:w="4070" w:type="dxa"/>
            <w:tcBorders/>
            <w:shd w:fill="CCEEFF" w:val="clear"/>
            <w:vAlign w:val="center"/>
          </w:tcPr>
          <w:p>
            <w:pPr>
              <w:pStyle w:val="TableContents"/>
              <w:bidi w:val="0"/>
              <w:spacing w:before="0" w:after="0"/>
              <w:jc w:val="left"/>
              <w:rPr>
                <w:sz w:val="20"/>
              </w:rPr>
            </w:pPr>
            <w:r>
              <w:rPr>
                <w:sz w:val="20"/>
              </w:rPr>
              <w:t>Rules of Construction</w:t>
            </w:r>
          </w:p>
        </w:tc>
        <w:tc>
          <w:tcPr>
            <w:tcW w:w="125" w:type="dxa"/>
            <w:tcBorders/>
            <w:shd w:fill="CCEEFF" w:val="clear"/>
            <w:vAlign w:val="center"/>
          </w:tcPr>
          <w:p>
            <w:pPr>
              <w:pStyle w:val="TableContents"/>
              <w:bidi w:val="0"/>
              <w:spacing w:before="0" w:after="0"/>
              <w:jc w:val="right"/>
              <w:rPr>
                <w:sz w:val="20"/>
              </w:rPr>
            </w:pPr>
            <w:r>
              <w:rPr>
                <w:sz w:val="20"/>
              </w:rPr>
              <w:t>5</w:t>
            </w:r>
          </w:p>
        </w:tc>
      </w:tr>
    </w:tbl>
    <w:tbl>
      <w:tblPr>
        <w:tblW w:w="2175" w:type="dxa"/>
        <w:jc w:val="left"/>
        <w:tblInd w:w="0" w:type="dxa"/>
        <w:tblLayout w:type="fixed"/>
        <w:tblCellMar>
          <w:top w:w="0" w:type="dxa"/>
          <w:left w:w="0" w:type="dxa"/>
          <w:bottom w:w="0" w:type="dxa"/>
          <w:right w:w="0" w:type="dxa"/>
        </w:tblCellMar>
      </w:tblPr>
      <w:tblGrid>
        <w:gridCol w:w="995"/>
        <w:gridCol w:w="1055"/>
        <w:gridCol w:w="125"/>
      </w:tblGrid>
      <w:tr>
        <w:trPr/>
        <w:tc>
          <w:tcPr>
            <w:tcW w:w="9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sz w:val="20"/>
              </w:rPr>
            </w:pPr>
            <w:r>
              <w:rPr>
                <w:sz w:val="20"/>
              </w:rPr>
              <w:t>ARTICLE 2</w:t>
            </w:r>
          </w:p>
        </w:tc>
        <w:tc>
          <w:tcPr>
            <w:tcW w:w="1055" w:type="dxa"/>
            <w:tcBorders/>
            <w:shd w:fill="CCEEFF" w:val="clear"/>
            <w:vAlign w:val="center"/>
          </w:tcPr>
          <w:p>
            <w:pPr>
              <w:pStyle w:val="TableContents"/>
              <w:bidi w:val="0"/>
              <w:spacing w:before="0" w:after="283"/>
              <w:jc w:val="left"/>
              <w:rPr>
                <w:sz w:val="20"/>
              </w:rPr>
            </w:pPr>
            <w:r>
              <w:rPr>
                <w:sz w:val="20"/>
              </w:rPr>
              <w:t>THE NOTES</w:t>
            </w:r>
          </w:p>
        </w:tc>
        <w:tc>
          <w:tcPr>
            <w:tcW w:w="125" w:type="dxa"/>
            <w:tcBorders/>
            <w:shd w:fill="CCEEFF" w:val="clear"/>
            <w:vAlign w:val="center"/>
          </w:tcPr>
          <w:p>
            <w:pPr>
              <w:pStyle w:val="TableContents"/>
              <w:bidi w:val="0"/>
              <w:spacing w:before="0" w:after="283"/>
              <w:jc w:val="right"/>
              <w:rPr>
                <w:sz w:val="20"/>
              </w:rPr>
            </w:pPr>
            <w:r>
              <w:rPr>
                <w:sz w:val="20"/>
              </w:rPr>
              <w:t>6</w:t>
            </w:r>
          </w:p>
        </w:tc>
      </w:tr>
    </w:tbl>
    <w:tbl>
      <w:tblPr>
        <w:tblW w:w="4740" w:type="dxa"/>
        <w:jc w:val="left"/>
        <w:tblInd w:w="0" w:type="dxa"/>
        <w:tblLayout w:type="fixed"/>
        <w:tblCellMar>
          <w:top w:w="0" w:type="dxa"/>
          <w:left w:w="0" w:type="dxa"/>
          <w:bottom w:w="0" w:type="dxa"/>
          <w:right w:w="0" w:type="dxa"/>
        </w:tblCellMar>
      </w:tblPr>
      <w:tblGrid>
        <w:gridCol w:w="75"/>
        <w:gridCol w:w="1040"/>
        <w:gridCol w:w="3380"/>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2.01</w:t>
            </w:r>
          </w:p>
        </w:tc>
        <w:tc>
          <w:tcPr>
            <w:tcW w:w="3380" w:type="dxa"/>
            <w:tcBorders/>
            <w:vAlign w:val="center"/>
          </w:tcPr>
          <w:p>
            <w:pPr>
              <w:pStyle w:val="TableContents"/>
              <w:bidi w:val="0"/>
              <w:spacing w:before="0" w:after="0"/>
              <w:jc w:val="left"/>
              <w:rPr>
                <w:sz w:val="20"/>
              </w:rPr>
            </w:pPr>
            <w:r>
              <w:rPr>
                <w:sz w:val="20"/>
              </w:rPr>
              <w:t>Issuable in Series</w:t>
            </w:r>
          </w:p>
        </w:tc>
        <w:tc>
          <w:tcPr>
            <w:tcW w:w="245" w:type="dxa"/>
            <w:tcBorders/>
            <w:vAlign w:val="center"/>
          </w:tcPr>
          <w:p>
            <w:pPr>
              <w:pStyle w:val="TableContents"/>
              <w:bidi w:val="0"/>
              <w:spacing w:before="0" w:after="0"/>
              <w:jc w:val="right"/>
              <w:rPr>
                <w:sz w:val="20"/>
              </w:rPr>
            </w:pPr>
            <w:r>
              <w:rPr>
                <w:sz w:val="20"/>
              </w:rPr>
              <w:t>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2.02</w:t>
            </w:r>
          </w:p>
        </w:tc>
        <w:tc>
          <w:tcPr>
            <w:tcW w:w="3380" w:type="dxa"/>
            <w:tcBorders/>
            <w:shd w:fill="CCEEFF" w:val="clear"/>
            <w:vAlign w:val="center"/>
          </w:tcPr>
          <w:p>
            <w:pPr>
              <w:pStyle w:val="TableContents"/>
              <w:bidi w:val="0"/>
              <w:spacing w:before="0" w:after="0"/>
              <w:jc w:val="left"/>
              <w:rPr>
                <w:sz w:val="20"/>
              </w:rPr>
            </w:pPr>
            <w:r>
              <w:rPr>
                <w:sz w:val="20"/>
              </w:rPr>
              <w:t>Establishment of Terms of Series of Notes</w:t>
            </w:r>
          </w:p>
        </w:tc>
        <w:tc>
          <w:tcPr>
            <w:tcW w:w="245" w:type="dxa"/>
            <w:tcBorders/>
            <w:shd w:fill="CCEEFF" w:val="clear"/>
            <w:vAlign w:val="center"/>
          </w:tcPr>
          <w:p>
            <w:pPr>
              <w:pStyle w:val="TableContents"/>
              <w:bidi w:val="0"/>
              <w:spacing w:before="0" w:after="0"/>
              <w:jc w:val="right"/>
              <w:rPr>
                <w:sz w:val="20"/>
              </w:rPr>
            </w:pPr>
            <w:r>
              <w:rPr>
                <w:sz w:val="20"/>
              </w:rPr>
              <w:t>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2.03</w:t>
            </w:r>
          </w:p>
        </w:tc>
        <w:tc>
          <w:tcPr>
            <w:tcW w:w="3380" w:type="dxa"/>
            <w:tcBorders/>
            <w:vAlign w:val="center"/>
          </w:tcPr>
          <w:p>
            <w:pPr>
              <w:pStyle w:val="TableContents"/>
              <w:bidi w:val="0"/>
              <w:spacing w:before="0" w:after="0"/>
              <w:jc w:val="left"/>
              <w:rPr>
                <w:sz w:val="20"/>
              </w:rPr>
            </w:pPr>
            <w:r>
              <w:rPr>
                <w:sz w:val="20"/>
              </w:rPr>
              <w:t>Execution and Authentication</w:t>
            </w:r>
          </w:p>
        </w:tc>
        <w:tc>
          <w:tcPr>
            <w:tcW w:w="245" w:type="dxa"/>
            <w:tcBorders/>
            <w:vAlign w:val="center"/>
          </w:tcPr>
          <w:p>
            <w:pPr>
              <w:pStyle w:val="TableContents"/>
              <w:bidi w:val="0"/>
              <w:spacing w:before="0" w:after="0"/>
              <w:jc w:val="right"/>
              <w:rPr>
                <w:sz w:val="20"/>
              </w:rPr>
            </w:pPr>
            <w:r>
              <w:rPr>
                <w:sz w:val="20"/>
              </w:rPr>
              <w:t>7</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2.04</w:t>
            </w:r>
          </w:p>
        </w:tc>
        <w:tc>
          <w:tcPr>
            <w:tcW w:w="3380" w:type="dxa"/>
            <w:tcBorders/>
            <w:shd w:fill="CCEEFF" w:val="clear"/>
            <w:vAlign w:val="center"/>
          </w:tcPr>
          <w:p>
            <w:pPr>
              <w:pStyle w:val="TableContents"/>
              <w:bidi w:val="0"/>
              <w:spacing w:before="0" w:after="0"/>
              <w:jc w:val="left"/>
              <w:rPr>
                <w:sz w:val="20"/>
              </w:rPr>
            </w:pPr>
            <w:r>
              <w:rPr>
                <w:sz w:val="20"/>
              </w:rPr>
              <w:t>Registrar and Paying Agent</w:t>
            </w:r>
          </w:p>
        </w:tc>
        <w:tc>
          <w:tcPr>
            <w:tcW w:w="245" w:type="dxa"/>
            <w:tcBorders/>
            <w:shd w:fill="CCEEFF" w:val="clear"/>
            <w:vAlign w:val="center"/>
          </w:tcPr>
          <w:p>
            <w:pPr>
              <w:pStyle w:val="TableContents"/>
              <w:bidi w:val="0"/>
              <w:spacing w:before="0" w:after="0"/>
              <w:jc w:val="right"/>
              <w:rPr>
                <w:sz w:val="20"/>
              </w:rPr>
            </w:pPr>
            <w:r>
              <w:rPr>
                <w:sz w:val="20"/>
              </w:rPr>
              <w:t>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2.05</w:t>
            </w:r>
          </w:p>
        </w:tc>
        <w:tc>
          <w:tcPr>
            <w:tcW w:w="3380" w:type="dxa"/>
            <w:tcBorders/>
            <w:vAlign w:val="center"/>
          </w:tcPr>
          <w:p>
            <w:pPr>
              <w:pStyle w:val="TableContents"/>
              <w:bidi w:val="0"/>
              <w:spacing w:before="0" w:after="0"/>
              <w:jc w:val="left"/>
              <w:rPr>
                <w:sz w:val="20"/>
              </w:rPr>
            </w:pPr>
            <w:r>
              <w:rPr>
                <w:sz w:val="20"/>
              </w:rPr>
              <w:t>Paying Agent to Hold Money in Trust</w:t>
            </w:r>
          </w:p>
        </w:tc>
        <w:tc>
          <w:tcPr>
            <w:tcW w:w="245" w:type="dxa"/>
            <w:tcBorders/>
            <w:vAlign w:val="center"/>
          </w:tcPr>
          <w:p>
            <w:pPr>
              <w:pStyle w:val="TableContents"/>
              <w:bidi w:val="0"/>
              <w:spacing w:before="0" w:after="0"/>
              <w:jc w:val="right"/>
              <w:rPr>
                <w:sz w:val="20"/>
              </w:rPr>
            </w:pPr>
            <w:r>
              <w:rPr>
                <w:sz w:val="20"/>
              </w:rPr>
              <w:t>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2.06</w:t>
            </w:r>
          </w:p>
        </w:tc>
        <w:tc>
          <w:tcPr>
            <w:tcW w:w="3380" w:type="dxa"/>
            <w:tcBorders/>
            <w:shd w:fill="CCEEFF" w:val="clear"/>
            <w:vAlign w:val="center"/>
          </w:tcPr>
          <w:p>
            <w:pPr>
              <w:pStyle w:val="TableContents"/>
              <w:bidi w:val="0"/>
              <w:spacing w:before="0" w:after="0"/>
              <w:jc w:val="left"/>
              <w:rPr>
                <w:sz w:val="20"/>
              </w:rPr>
            </w:pPr>
            <w:r>
              <w:rPr>
                <w:sz w:val="20"/>
              </w:rPr>
              <w:t>Holder Lists</w:t>
            </w:r>
          </w:p>
        </w:tc>
        <w:tc>
          <w:tcPr>
            <w:tcW w:w="245" w:type="dxa"/>
            <w:tcBorders/>
            <w:shd w:fill="CCEEFF" w:val="clear"/>
            <w:vAlign w:val="center"/>
          </w:tcPr>
          <w:p>
            <w:pPr>
              <w:pStyle w:val="TableContents"/>
              <w:bidi w:val="0"/>
              <w:spacing w:before="0" w:after="0"/>
              <w:jc w:val="right"/>
              <w:rPr>
                <w:sz w:val="20"/>
              </w:rPr>
            </w:pPr>
            <w:r>
              <w:rPr>
                <w:sz w:val="20"/>
              </w:rPr>
              <w:t>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2.07</w:t>
            </w:r>
          </w:p>
        </w:tc>
        <w:tc>
          <w:tcPr>
            <w:tcW w:w="3380" w:type="dxa"/>
            <w:tcBorders/>
            <w:vAlign w:val="center"/>
          </w:tcPr>
          <w:p>
            <w:pPr>
              <w:pStyle w:val="TableContents"/>
              <w:bidi w:val="0"/>
              <w:spacing w:before="0" w:after="0"/>
              <w:jc w:val="left"/>
              <w:rPr>
                <w:sz w:val="20"/>
              </w:rPr>
            </w:pPr>
            <w:r>
              <w:rPr>
                <w:sz w:val="20"/>
              </w:rPr>
              <w:t>Transfer and Exchange</w:t>
            </w:r>
          </w:p>
        </w:tc>
        <w:tc>
          <w:tcPr>
            <w:tcW w:w="245" w:type="dxa"/>
            <w:tcBorders/>
            <w:vAlign w:val="center"/>
          </w:tcPr>
          <w:p>
            <w:pPr>
              <w:pStyle w:val="TableContents"/>
              <w:bidi w:val="0"/>
              <w:spacing w:before="0" w:after="0"/>
              <w:jc w:val="right"/>
              <w:rPr>
                <w:sz w:val="20"/>
              </w:rPr>
            </w:pPr>
            <w:r>
              <w:rPr>
                <w:sz w:val="20"/>
              </w:rPr>
              <w:t>9</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2.08</w:t>
            </w:r>
          </w:p>
        </w:tc>
        <w:tc>
          <w:tcPr>
            <w:tcW w:w="3380" w:type="dxa"/>
            <w:tcBorders/>
            <w:shd w:fill="CCEEFF" w:val="clear"/>
            <w:vAlign w:val="center"/>
          </w:tcPr>
          <w:p>
            <w:pPr>
              <w:pStyle w:val="TableContents"/>
              <w:bidi w:val="0"/>
              <w:spacing w:before="0" w:after="0"/>
              <w:jc w:val="left"/>
              <w:rPr>
                <w:sz w:val="20"/>
              </w:rPr>
            </w:pPr>
            <w:r>
              <w:rPr>
                <w:sz w:val="20"/>
              </w:rPr>
              <w:t>Replacement Notes</w:t>
            </w:r>
          </w:p>
        </w:tc>
        <w:tc>
          <w:tcPr>
            <w:tcW w:w="245" w:type="dxa"/>
            <w:tcBorders/>
            <w:shd w:fill="CCEEFF" w:val="clear"/>
            <w:vAlign w:val="center"/>
          </w:tcPr>
          <w:p>
            <w:pPr>
              <w:pStyle w:val="TableContents"/>
              <w:bidi w:val="0"/>
              <w:spacing w:before="0" w:after="0"/>
              <w:jc w:val="right"/>
              <w:rPr>
                <w:sz w:val="20"/>
              </w:rPr>
            </w:pPr>
            <w:r>
              <w:rPr>
                <w:sz w:val="20"/>
              </w:rPr>
              <w:t>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2.09</w:t>
            </w:r>
          </w:p>
        </w:tc>
        <w:tc>
          <w:tcPr>
            <w:tcW w:w="3380" w:type="dxa"/>
            <w:tcBorders/>
            <w:vAlign w:val="center"/>
          </w:tcPr>
          <w:p>
            <w:pPr>
              <w:pStyle w:val="TableContents"/>
              <w:bidi w:val="0"/>
              <w:spacing w:before="0" w:after="0"/>
              <w:jc w:val="left"/>
              <w:rPr>
                <w:sz w:val="20"/>
              </w:rPr>
            </w:pPr>
            <w:r>
              <w:rPr>
                <w:sz w:val="20"/>
              </w:rPr>
              <w:t>Outstanding Notes</w:t>
            </w:r>
          </w:p>
        </w:tc>
        <w:tc>
          <w:tcPr>
            <w:tcW w:w="245" w:type="dxa"/>
            <w:tcBorders/>
            <w:vAlign w:val="center"/>
          </w:tcPr>
          <w:p>
            <w:pPr>
              <w:pStyle w:val="TableContents"/>
              <w:bidi w:val="0"/>
              <w:spacing w:before="0" w:after="0"/>
              <w:jc w:val="right"/>
              <w:rPr>
                <w:sz w:val="20"/>
              </w:rPr>
            </w:pPr>
            <w:r>
              <w:rPr>
                <w:sz w:val="20"/>
              </w:rPr>
              <w:t>9</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2.10</w:t>
            </w:r>
          </w:p>
        </w:tc>
        <w:tc>
          <w:tcPr>
            <w:tcW w:w="3380" w:type="dxa"/>
            <w:tcBorders/>
            <w:shd w:fill="CCEEFF" w:val="clear"/>
            <w:vAlign w:val="center"/>
          </w:tcPr>
          <w:p>
            <w:pPr>
              <w:pStyle w:val="TableContents"/>
              <w:bidi w:val="0"/>
              <w:spacing w:before="0" w:after="0"/>
              <w:jc w:val="left"/>
              <w:rPr>
                <w:sz w:val="20"/>
              </w:rPr>
            </w:pPr>
            <w:r>
              <w:rPr>
                <w:sz w:val="20"/>
              </w:rPr>
              <w:t>Treasury Notes</w:t>
            </w:r>
          </w:p>
        </w:tc>
        <w:tc>
          <w:tcPr>
            <w:tcW w:w="245" w:type="dxa"/>
            <w:tcBorders/>
            <w:shd w:fill="CCEEFF" w:val="clear"/>
            <w:vAlign w:val="center"/>
          </w:tcPr>
          <w:p>
            <w:pPr>
              <w:pStyle w:val="TableContents"/>
              <w:bidi w:val="0"/>
              <w:spacing w:before="0" w:after="0"/>
              <w:jc w:val="right"/>
              <w:rPr>
                <w:sz w:val="20"/>
              </w:rPr>
            </w:pPr>
            <w:r>
              <w:rPr>
                <w:sz w:val="20"/>
              </w:rPr>
              <w:t>10</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2.11</w:t>
            </w:r>
          </w:p>
        </w:tc>
        <w:tc>
          <w:tcPr>
            <w:tcW w:w="3380" w:type="dxa"/>
            <w:tcBorders/>
            <w:vAlign w:val="center"/>
          </w:tcPr>
          <w:p>
            <w:pPr>
              <w:pStyle w:val="TableContents"/>
              <w:bidi w:val="0"/>
              <w:spacing w:before="0" w:after="0"/>
              <w:jc w:val="left"/>
              <w:rPr>
                <w:sz w:val="20"/>
              </w:rPr>
            </w:pPr>
            <w:r>
              <w:rPr>
                <w:sz w:val="20"/>
              </w:rPr>
              <w:t>Temporary Notes</w:t>
            </w:r>
          </w:p>
        </w:tc>
        <w:tc>
          <w:tcPr>
            <w:tcW w:w="245" w:type="dxa"/>
            <w:tcBorders/>
            <w:vAlign w:val="center"/>
          </w:tcPr>
          <w:p>
            <w:pPr>
              <w:pStyle w:val="TableContents"/>
              <w:bidi w:val="0"/>
              <w:spacing w:before="0" w:after="0"/>
              <w:jc w:val="right"/>
              <w:rPr>
                <w:sz w:val="20"/>
              </w:rPr>
            </w:pPr>
            <w:r>
              <w:rPr>
                <w:sz w:val="20"/>
              </w:rPr>
              <w:t>10</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2.12</w:t>
            </w:r>
          </w:p>
        </w:tc>
        <w:tc>
          <w:tcPr>
            <w:tcW w:w="3380" w:type="dxa"/>
            <w:tcBorders/>
            <w:shd w:fill="CCEEFF" w:val="clear"/>
            <w:vAlign w:val="center"/>
          </w:tcPr>
          <w:p>
            <w:pPr>
              <w:pStyle w:val="TableContents"/>
              <w:bidi w:val="0"/>
              <w:spacing w:before="0" w:after="0"/>
              <w:jc w:val="left"/>
              <w:rPr>
                <w:sz w:val="20"/>
              </w:rPr>
            </w:pPr>
            <w:r>
              <w:rPr>
                <w:sz w:val="20"/>
              </w:rPr>
              <w:t>Cancellation</w:t>
            </w:r>
          </w:p>
        </w:tc>
        <w:tc>
          <w:tcPr>
            <w:tcW w:w="245" w:type="dxa"/>
            <w:tcBorders/>
            <w:shd w:fill="CCEEFF" w:val="clear"/>
            <w:vAlign w:val="center"/>
          </w:tcPr>
          <w:p>
            <w:pPr>
              <w:pStyle w:val="TableContents"/>
              <w:bidi w:val="0"/>
              <w:spacing w:before="0" w:after="0"/>
              <w:jc w:val="right"/>
              <w:rPr>
                <w:sz w:val="20"/>
              </w:rPr>
            </w:pPr>
            <w:r>
              <w:rPr>
                <w:sz w:val="20"/>
              </w:rPr>
              <w:t>10</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2.13</w:t>
            </w:r>
          </w:p>
        </w:tc>
        <w:tc>
          <w:tcPr>
            <w:tcW w:w="3380" w:type="dxa"/>
            <w:tcBorders/>
            <w:vAlign w:val="center"/>
          </w:tcPr>
          <w:p>
            <w:pPr>
              <w:pStyle w:val="TableContents"/>
              <w:bidi w:val="0"/>
              <w:spacing w:before="0" w:after="0"/>
              <w:jc w:val="left"/>
              <w:rPr>
                <w:sz w:val="20"/>
              </w:rPr>
            </w:pPr>
            <w:r>
              <w:rPr>
                <w:sz w:val="20"/>
              </w:rPr>
              <w:t>Defaulted Interest</w:t>
            </w:r>
          </w:p>
        </w:tc>
        <w:tc>
          <w:tcPr>
            <w:tcW w:w="245" w:type="dxa"/>
            <w:tcBorders/>
            <w:vAlign w:val="center"/>
          </w:tcPr>
          <w:p>
            <w:pPr>
              <w:pStyle w:val="TableContents"/>
              <w:bidi w:val="0"/>
              <w:spacing w:before="0" w:after="0"/>
              <w:jc w:val="right"/>
              <w:rPr>
                <w:sz w:val="20"/>
              </w:rPr>
            </w:pPr>
            <w:r>
              <w:rPr>
                <w:sz w:val="20"/>
              </w:rPr>
              <w:t>10</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2.14</w:t>
            </w:r>
          </w:p>
        </w:tc>
        <w:tc>
          <w:tcPr>
            <w:tcW w:w="3380" w:type="dxa"/>
            <w:tcBorders/>
            <w:shd w:fill="CCEEFF" w:val="clear"/>
            <w:vAlign w:val="center"/>
          </w:tcPr>
          <w:p>
            <w:pPr>
              <w:pStyle w:val="TableContents"/>
              <w:bidi w:val="0"/>
              <w:spacing w:before="0" w:after="0"/>
              <w:jc w:val="left"/>
              <w:rPr>
                <w:sz w:val="20"/>
              </w:rPr>
            </w:pPr>
            <w:r>
              <w:rPr>
                <w:sz w:val="20"/>
              </w:rPr>
              <w:t>Global Notes</w:t>
            </w:r>
          </w:p>
        </w:tc>
        <w:tc>
          <w:tcPr>
            <w:tcW w:w="245" w:type="dxa"/>
            <w:tcBorders/>
            <w:shd w:fill="CCEEFF" w:val="clear"/>
            <w:vAlign w:val="center"/>
          </w:tcPr>
          <w:p>
            <w:pPr>
              <w:pStyle w:val="TableContents"/>
              <w:bidi w:val="0"/>
              <w:spacing w:before="0" w:after="0"/>
              <w:jc w:val="right"/>
              <w:rPr>
                <w:sz w:val="20"/>
              </w:rPr>
            </w:pPr>
            <w:r>
              <w:rPr>
                <w:sz w:val="20"/>
              </w:rPr>
              <w:t>11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2.15</w:t>
            </w:r>
          </w:p>
        </w:tc>
        <w:tc>
          <w:tcPr>
            <w:tcW w:w="3380" w:type="dxa"/>
            <w:tcBorders/>
            <w:vAlign w:val="center"/>
          </w:tcPr>
          <w:p>
            <w:pPr>
              <w:pStyle w:val="TableContents"/>
              <w:bidi w:val="0"/>
              <w:spacing w:before="0" w:after="0"/>
              <w:jc w:val="left"/>
              <w:rPr>
                <w:sz w:val="20"/>
              </w:rPr>
            </w:pPr>
            <w:r>
              <w:rPr>
                <w:sz w:val="20"/>
              </w:rPr>
              <w:t>CUSIP Number</w:t>
            </w:r>
          </w:p>
        </w:tc>
        <w:tc>
          <w:tcPr>
            <w:tcW w:w="245" w:type="dxa"/>
            <w:tcBorders/>
            <w:vAlign w:val="center"/>
          </w:tcPr>
          <w:p>
            <w:pPr>
              <w:pStyle w:val="TableContents"/>
              <w:bidi w:val="0"/>
              <w:spacing w:before="0" w:after="0"/>
              <w:jc w:val="right"/>
              <w:rPr>
                <w:sz w:val="20"/>
              </w:rPr>
            </w:pPr>
            <w:r>
              <w:rPr>
                <w:sz w:val="20"/>
              </w:rPr>
              <w:t>12</w:t>
            </w:r>
          </w:p>
        </w:tc>
      </w:tr>
    </w:tbl>
    <w:tbl>
      <w:tblPr>
        <w:tblW w:w="4275" w:type="dxa"/>
        <w:jc w:val="left"/>
        <w:tblInd w:w="0" w:type="dxa"/>
        <w:tblLayout w:type="fixed"/>
        <w:tblCellMar>
          <w:top w:w="0" w:type="dxa"/>
          <w:left w:w="0" w:type="dxa"/>
          <w:bottom w:w="0" w:type="dxa"/>
          <w:right w:w="0" w:type="dxa"/>
        </w:tblCellMar>
      </w:tblPr>
      <w:tblGrid>
        <w:gridCol w:w="995"/>
        <w:gridCol w:w="3050"/>
        <w:gridCol w:w="230"/>
      </w:tblGrid>
      <w:tr>
        <w:trPr/>
        <w:tc>
          <w:tcPr>
            <w:tcW w:w="995"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ARTICLE 3</w:t>
            </w:r>
          </w:p>
        </w:tc>
        <w:tc>
          <w:tcPr>
            <w:tcW w:w="3050" w:type="dxa"/>
            <w:tcBorders/>
            <w:vAlign w:val="center"/>
          </w:tcPr>
          <w:p>
            <w:pPr>
              <w:pStyle w:val="TableContents"/>
              <w:bidi w:val="0"/>
              <w:spacing w:before="0" w:after="283"/>
              <w:jc w:val="left"/>
              <w:rPr>
                <w:sz w:val="20"/>
              </w:rPr>
            </w:pPr>
            <w:r>
              <w:rPr>
                <w:sz w:val="20"/>
              </w:rPr>
              <w:t>REDEMPTION AND PREPAYMENT</w:t>
            </w:r>
          </w:p>
        </w:tc>
        <w:tc>
          <w:tcPr>
            <w:tcW w:w="230" w:type="dxa"/>
            <w:tcBorders/>
            <w:vAlign w:val="center"/>
          </w:tcPr>
          <w:p>
            <w:pPr>
              <w:pStyle w:val="TableContents"/>
              <w:bidi w:val="0"/>
              <w:spacing w:before="0" w:after="283"/>
              <w:jc w:val="right"/>
              <w:rPr>
                <w:sz w:val="20"/>
              </w:rPr>
            </w:pPr>
            <w:r>
              <w:rPr>
                <w:sz w:val="20"/>
              </w:rPr>
              <w:t>12</w:t>
            </w:r>
          </w:p>
        </w:tc>
      </w:tr>
    </w:tbl>
    <w:tbl>
      <w:tblPr>
        <w:tblW w:w="4245" w:type="dxa"/>
        <w:jc w:val="left"/>
        <w:tblInd w:w="0" w:type="dxa"/>
        <w:tblLayout w:type="fixed"/>
        <w:tblCellMar>
          <w:top w:w="0" w:type="dxa"/>
          <w:left w:w="0" w:type="dxa"/>
          <w:bottom w:w="0" w:type="dxa"/>
          <w:right w:w="0" w:type="dxa"/>
        </w:tblCellMar>
      </w:tblPr>
      <w:tblGrid>
        <w:gridCol w:w="75"/>
        <w:gridCol w:w="1040"/>
        <w:gridCol w:w="2885"/>
        <w:gridCol w:w="245"/>
      </w:tblGrid>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3.01</w:t>
            </w:r>
          </w:p>
        </w:tc>
        <w:tc>
          <w:tcPr>
            <w:tcW w:w="2885" w:type="dxa"/>
            <w:tcBorders/>
            <w:shd w:fill="CCEEFF" w:val="clear"/>
            <w:vAlign w:val="center"/>
          </w:tcPr>
          <w:p>
            <w:pPr>
              <w:pStyle w:val="TableContents"/>
              <w:bidi w:val="0"/>
              <w:spacing w:before="0" w:after="0"/>
              <w:jc w:val="left"/>
              <w:rPr>
                <w:sz w:val="20"/>
              </w:rPr>
            </w:pPr>
            <w:r>
              <w:rPr>
                <w:sz w:val="20"/>
              </w:rPr>
              <w:t>Notice to Trustee</w:t>
            </w:r>
          </w:p>
        </w:tc>
        <w:tc>
          <w:tcPr>
            <w:tcW w:w="245" w:type="dxa"/>
            <w:tcBorders/>
            <w:shd w:fill="CCEEFF" w:val="clear"/>
            <w:vAlign w:val="center"/>
          </w:tcPr>
          <w:p>
            <w:pPr>
              <w:pStyle w:val="TableContents"/>
              <w:bidi w:val="0"/>
              <w:spacing w:before="0" w:after="0"/>
              <w:jc w:val="right"/>
              <w:rPr>
                <w:sz w:val="20"/>
              </w:rPr>
            </w:pPr>
            <w:r>
              <w:rPr>
                <w:sz w:val="20"/>
              </w:rPr>
              <w:t>12</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3.02</w:t>
            </w:r>
          </w:p>
        </w:tc>
        <w:tc>
          <w:tcPr>
            <w:tcW w:w="2885" w:type="dxa"/>
            <w:tcBorders/>
            <w:vAlign w:val="center"/>
          </w:tcPr>
          <w:p>
            <w:pPr>
              <w:pStyle w:val="TableContents"/>
              <w:bidi w:val="0"/>
              <w:spacing w:before="0" w:after="0"/>
              <w:jc w:val="left"/>
              <w:rPr>
                <w:sz w:val="20"/>
              </w:rPr>
            </w:pPr>
            <w:r>
              <w:rPr>
                <w:sz w:val="20"/>
              </w:rPr>
              <w:t>Selection of Notes to Be Redeemed</w:t>
            </w:r>
          </w:p>
        </w:tc>
        <w:tc>
          <w:tcPr>
            <w:tcW w:w="245" w:type="dxa"/>
            <w:tcBorders/>
            <w:vAlign w:val="center"/>
          </w:tcPr>
          <w:p>
            <w:pPr>
              <w:pStyle w:val="TableContents"/>
              <w:bidi w:val="0"/>
              <w:spacing w:before="0" w:after="0"/>
              <w:jc w:val="right"/>
              <w:rPr>
                <w:sz w:val="20"/>
              </w:rPr>
            </w:pPr>
            <w:r>
              <w:rPr>
                <w:sz w:val="20"/>
              </w:rPr>
              <w:t>12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3.03</w:t>
            </w:r>
          </w:p>
        </w:tc>
        <w:tc>
          <w:tcPr>
            <w:tcW w:w="2885" w:type="dxa"/>
            <w:tcBorders/>
            <w:shd w:fill="CCEEFF" w:val="clear"/>
            <w:vAlign w:val="center"/>
          </w:tcPr>
          <w:p>
            <w:pPr>
              <w:pStyle w:val="TableContents"/>
              <w:bidi w:val="0"/>
              <w:spacing w:before="0" w:after="0"/>
              <w:jc w:val="left"/>
              <w:rPr>
                <w:sz w:val="20"/>
              </w:rPr>
            </w:pPr>
            <w:r>
              <w:rPr>
                <w:sz w:val="20"/>
              </w:rPr>
              <w:t>Notice of Redemption</w:t>
            </w:r>
          </w:p>
        </w:tc>
        <w:tc>
          <w:tcPr>
            <w:tcW w:w="245" w:type="dxa"/>
            <w:tcBorders/>
            <w:shd w:fill="CCEEFF" w:val="clear"/>
            <w:vAlign w:val="center"/>
          </w:tcPr>
          <w:p>
            <w:pPr>
              <w:pStyle w:val="TableContents"/>
              <w:bidi w:val="0"/>
              <w:spacing w:before="0" w:after="0"/>
              <w:jc w:val="right"/>
              <w:rPr>
                <w:sz w:val="20"/>
              </w:rPr>
            </w:pPr>
            <w:r>
              <w:rPr>
                <w:sz w:val="20"/>
              </w:rPr>
              <w:t>12</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3.04</w:t>
            </w:r>
          </w:p>
        </w:tc>
        <w:tc>
          <w:tcPr>
            <w:tcW w:w="2885" w:type="dxa"/>
            <w:tcBorders/>
            <w:vAlign w:val="center"/>
          </w:tcPr>
          <w:p>
            <w:pPr>
              <w:pStyle w:val="TableContents"/>
              <w:bidi w:val="0"/>
              <w:spacing w:before="0" w:after="0"/>
              <w:jc w:val="left"/>
              <w:rPr>
                <w:sz w:val="20"/>
              </w:rPr>
            </w:pPr>
            <w:r>
              <w:rPr>
                <w:sz w:val="20"/>
              </w:rPr>
              <w:t>Effect of Notice of Redemption</w:t>
            </w:r>
          </w:p>
        </w:tc>
        <w:tc>
          <w:tcPr>
            <w:tcW w:w="245" w:type="dxa"/>
            <w:tcBorders/>
            <w:vAlign w:val="center"/>
          </w:tcPr>
          <w:p>
            <w:pPr>
              <w:pStyle w:val="TableContents"/>
              <w:bidi w:val="0"/>
              <w:spacing w:before="0" w:after="0"/>
              <w:jc w:val="right"/>
              <w:rPr>
                <w:sz w:val="20"/>
              </w:rPr>
            </w:pPr>
            <w:r>
              <w:rPr>
                <w:sz w:val="20"/>
              </w:rPr>
              <w:t>13</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3.05</w:t>
            </w:r>
          </w:p>
        </w:tc>
        <w:tc>
          <w:tcPr>
            <w:tcW w:w="2885" w:type="dxa"/>
            <w:tcBorders/>
            <w:shd w:fill="CCEEFF" w:val="clear"/>
            <w:vAlign w:val="center"/>
          </w:tcPr>
          <w:p>
            <w:pPr>
              <w:pStyle w:val="TableContents"/>
              <w:bidi w:val="0"/>
              <w:spacing w:before="0" w:after="0"/>
              <w:jc w:val="left"/>
              <w:rPr>
                <w:sz w:val="20"/>
              </w:rPr>
            </w:pPr>
            <w:r>
              <w:rPr>
                <w:sz w:val="20"/>
              </w:rPr>
              <w:t>Deposit of Redemption Price</w:t>
            </w:r>
          </w:p>
        </w:tc>
        <w:tc>
          <w:tcPr>
            <w:tcW w:w="245" w:type="dxa"/>
            <w:tcBorders/>
            <w:shd w:fill="CCEEFF" w:val="clear"/>
            <w:vAlign w:val="center"/>
          </w:tcPr>
          <w:p>
            <w:pPr>
              <w:pStyle w:val="TableContents"/>
              <w:bidi w:val="0"/>
              <w:spacing w:before="0" w:after="0"/>
              <w:jc w:val="right"/>
              <w:rPr>
                <w:sz w:val="20"/>
              </w:rPr>
            </w:pPr>
            <w:r>
              <w:rPr>
                <w:sz w:val="20"/>
              </w:rPr>
              <w:t>13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3.06</w:t>
            </w:r>
          </w:p>
        </w:tc>
        <w:tc>
          <w:tcPr>
            <w:tcW w:w="2885" w:type="dxa"/>
            <w:tcBorders/>
            <w:vAlign w:val="center"/>
          </w:tcPr>
          <w:p>
            <w:pPr>
              <w:pStyle w:val="TableContents"/>
              <w:bidi w:val="0"/>
              <w:spacing w:before="0" w:after="0"/>
              <w:jc w:val="left"/>
              <w:rPr>
                <w:sz w:val="20"/>
              </w:rPr>
            </w:pPr>
            <w:r>
              <w:rPr>
                <w:sz w:val="20"/>
              </w:rPr>
              <w:t>Notes Redeemed in Part</w:t>
            </w:r>
          </w:p>
        </w:tc>
        <w:tc>
          <w:tcPr>
            <w:tcW w:w="245" w:type="dxa"/>
            <w:tcBorders/>
            <w:vAlign w:val="center"/>
          </w:tcPr>
          <w:p>
            <w:pPr>
              <w:pStyle w:val="TableContents"/>
              <w:bidi w:val="0"/>
              <w:spacing w:before="0" w:after="0"/>
              <w:jc w:val="right"/>
              <w:rPr>
                <w:sz w:val="20"/>
              </w:rPr>
            </w:pPr>
            <w:r>
              <w:rPr>
                <w:sz w:val="20"/>
              </w:rPr>
              <w:t>13</w:t>
            </w:r>
          </w:p>
        </w:tc>
      </w:tr>
    </w:tbl>
    <w:tbl>
      <w:tblPr>
        <w:tblW w:w="2400" w:type="dxa"/>
        <w:jc w:val="left"/>
        <w:tblInd w:w="0" w:type="dxa"/>
        <w:tblLayout w:type="fixed"/>
        <w:tblCellMar>
          <w:top w:w="0" w:type="dxa"/>
          <w:left w:w="0" w:type="dxa"/>
          <w:bottom w:w="0" w:type="dxa"/>
          <w:right w:w="0" w:type="dxa"/>
        </w:tblCellMar>
      </w:tblPr>
      <w:tblGrid>
        <w:gridCol w:w="995"/>
        <w:gridCol w:w="1175"/>
        <w:gridCol w:w="230"/>
      </w:tblGrid>
      <w:tr>
        <w:trPr/>
        <w:tc>
          <w:tcPr>
            <w:tcW w:w="99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ARTICLE 4</w:t>
            </w:r>
          </w:p>
        </w:tc>
        <w:tc>
          <w:tcPr>
            <w:tcW w:w="1175" w:type="dxa"/>
            <w:tcBorders/>
            <w:vAlign w:val="center"/>
          </w:tcPr>
          <w:p>
            <w:pPr>
              <w:pStyle w:val="TableContents"/>
              <w:bidi w:val="0"/>
              <w:spacing w:before="0" w:after="283"/>
              <w:jc w:val="left"/>
              <w:rPr>
                <w:sz w:val="20"/>
              </w:rPr>
            </w:pPr>
            <w:r>
              <w:rPr>
                <w:sz w:val="20"/>
              </w:rPr>
              <w:t>COVENANTS</w:t>
            </w:r>
          </w:p>
        </w:tc>
        <w:tc>
          <w:tcPr>
            <w:tcW w:w="230" w:type="dxa"/>
            <w:tcBorders/>
            <w:vAlign w:val="center"/>
          </w:tcPr>
          <w:p>
            <w:pPr>
              <w:pStyle w:val="TableContents"/>
              <w:bidi w:val="0"/>
              <w:spacing w:before="0" w:after="283"/>
              <w:jc w:val="right"/>
              <w:rPr>
                <w:sz w:val="20"/>
              </w:rPr>
            </w:pPr>
            <w:r>
              <w:rPr>
                <w:sz w:val="20"/>
              </w:rPr>
              <w:t>14</w:t>
            </w:r>
          </w:p>
        </w:tc>
      </w:tr>
    </w:tbl>
    <w:tbl>
      <w:tblPr>
        <w:tblW w:w="4080" w:type="dxa"/>
        <w:jc w:val="left"/>
        <w:tblInd w:w="0" w:type="dxa"/>
        <w:tblLayout w:type="fixed"/>
        <w:tblCellMar>
          <w:top w:w="0" w:type="dxa"/>
          <w:left w:w="0" w:type="dxa"/>
          <w:bottom w:w="0" w:type="dxa"/>
          <w:right w:w="0" w:type="dxa"/>
        </w:tblCellMar>
      </w:tblPr>
      <w:tblGrid>
        <w:gridCol w:w="75"/>
        <w:gridCol w:w="1040"/>
        <w:gridCol w:w="2720"/>
        <w:gridCol w:w="245"/>
      </w:tblGrid>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4.01</w:t>
            </w:r>
          </w:p>
        </w:tc>
        <w:tc>
          <w:tcPr>
            <w:tcW w:w="2720" w:type="dxa"/>
            <w:tcBorders/>
            <w:shd w:fill="CCEEFF" w:val="clear"/>
            <w:vAlign w:val="center"/>
          </w:tcPr>
          <w:p>
            <w:pPr>
              <w:pStyle w:val="TableContents"/>
              <w:bidi w:val="0"/>
              <w:spacing w:before="0" w:after="0"/>
              <w:jc w:val="left"/>
              <w:rPr>
                <w:sz w:val="20"/>
              </w:rPr>
            </w:pPr>
            <w:r>
              <w:rPr>
                <w:sz w:val="20"/>
              </w:rPr>
              <w:t>Payment of Principal and Interest</w:t>
            </w:r>
          </w:p>
        </w:tc>
        <w:tc>
          <w:tcPr>
            <w:tcW w:w="245" w:type="dxa"/>
            <w:tcBorders/>
            <w:shd w:fill="CCEEFF" w:val="clear"/>
            <w:vAlign w:val="center"/>
          </w:tcPr>
          <w:p>
            <w:pPr>
              <w:pStyle w:val="TableContents"/>
              <w:bidi w:val="0"/>
              <w:spacing w:before="0" w:after="0"/>
              <w:jc w:val="right"/>
              <w:rPr>
                <w:sz w:val="20"/>
              </w:rPr>
            </w:pPr>
            <w:r>
              <w:rPr>
                <w:sz w:val="20"/>
              </w:rPr>
              <w:t>14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4.02</w:t>
            </w:r>
          </w:p>
        </w:tc>
        <w:tc>
          <w:tcPr>
            <w:tcW w:w="2720" w:type="dxa"/>
            <w:tcBorders/>
            <w:vAlign w:val="center"/>
          </w:tcPr>
          <w:p>
            <w:pPr>
              <w:pStyle w:val="TableContents"/>
              <w:bidi w:val="0"/>
              <w:spacing w:before="0" w:after="0"/>
              <w:jc w:val="left"/>
              <w:rPr>
                <w:sz w:val="20"/>
              </w:rPr>
            </w:pPr>
            <w:r>
              <w:rPr>
                <w:sz w:val="20"/>
              </w:rPr>
              <w:t>Maintenance of Office or Agency</w:t>
            </w:r>
          </w:p>
        </w:tc>
        <w:tc>
          <w:tcPr>
            <w:tcW w:w="245" w:type="dxa"/>
            <w:tcBorders/>
            <w:vAlign w:val="center"/>
          </w:tcPr>
          <w:p>
            <w:pPr>
              <w:pStyle w:val="TableContents"/>
              <w:bidi w:val="0"/>
              <w:spacing w:before="0" w:after="0"/>
              <w:jc w:val="right"/>
              <w:rPr>
                <w:sz w:val="20"/>
              </w:rPr>
            </w:pPr>
            <w:r>
              <w:rPr>
                <w:sz w:val="20"/>
              </w:rPr>
              <w:t>14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4.03</w:t>
            </w:r>
          </w:p>
        </w:tc>
        <w:tc>
          <w:tcPr>
            <w:tcW w:w="2720" w:type="dxa"/>
            <w:tcBorders/>
            <w:shd w:fill="CCEEFF" w:val="clear"/>
            <w:vAlign w:val="center"/>
          </w:tcPr>
          <w:p>
            <w:pPr>
              <w:pStyle w:val="TableContents"/>
              <w:bidi w:val="0"/>
              <w:spacing w:before="0" w:after="0"/>
              <w:jc w:val="left"/>
              <w:rPr>
                <w:sz w:val="20"/>
              </w:rPr>
            </w:pPr>
            <w:r>
              <w:rPr>
                <w:sz w:val="20"/>
              </w:rPr>
              <w:t>Reports</w:t>
            </w:r>
          </w:p>
        </w:tc>
        <w:tc>
          <w:tcPr>
            <w:tcW w:w="245" w:type="dxa"/>
            <w:tcBorders/>
            <w:shd w:fill="CCEEFF" w:val="clear"/>
            <w:vAlign w:val="center"/>
          </w:tcPr>
          <w:p>
            <w:pPr>
              <w:pStyle w:val="TableContents"/>
              <w:bidi w:val="0"/>
              <w:spacing w:before="0" w:after="0"/>
              <w:jc w:val="right"/>
              <w:rPr>
                <w:sz w:val="20"/>
              </w:rPr>
            </w:pPr>
            <w:r>
              <w:rPr>
                <w:sz w:val="20"/>
              </w:rPr>
              <w:t>14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4.04</w:t>
            </w:r>
          </w:p>
        </w:tc>
        <w:tc>
          <w:tcPr>
            <w:tcW w:w="2720" w:type="dxa"/>
            <w:tcBorders/>
            <w:vAlign w:val="center"/>
          </w:tcPr>
          <w:p>
            <w:pPr>
              <w:pStyle w:val="TableContents"/>
              <w:bidi w:val="0"/>
              <w:spacing w:before="0" w:after="0"/>
              <w:jc w:val="left"/>
              <w:rPr>
                <w:sz w:val="20"/>
              </w:rPr>
            </w:pPr>
            <w:r>
              <w:rPr>
                <w:sz w:val="20"/>
              </w:rPr>
              <w:t>Compliance Certificate</w:t>
            </w:r>
          </w:p>
        </w:tc>
        <w:tc>
          <w:tcPr>
            <w:tcW w:w="245" w:type="dxa"/>
            <w:tcBorders/>
            <w:vAlign w:val="center"/>
          </w:tcPr>
          <w:p>
            <w:pPr>
              <w:pStyle w:val="TableContents"/>
              <w:bidi w:val="0"/>
              <w:spacing w:before="0" w:after="0"/>
              <w:jc w:val="right"/>
              <w:rPr>
                <w:sz w:val="20"/>
              </w:rPr>
            </w:pPr>
            <w:r>
              <w:rPr>
                <w:sz w:val="20"/>
              </w:rPr>
              <w:t>14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4.05</w:t>
            </w:r>
          </w:p>
        </w:tc>
        <w:tc>
          <w:tcPr>
            <w:tcW w:w="2720" w:type="dxa"/>
            <w:tcBorders/>
            <w:shd w:fill="CCEEFF" w:val="clear"/>
            <w:vAlign w:val="center"/>
          </w:tcPr>
          <w:p>
            <w:pPr>
              <w:pStyle w:val="TableContents"/>
              <w:bidi w:val="0"/>
              <w:spacing w:before="0" w:after="0"/>
              <w:jc w:val="left"/>
              <w:rPr>
                <w:sz w:val="20"/>
              </w:rPr>
            </w:pPr>
            <w:r>
              <w:rPr>
                <w:sz w:val="20"/>
              </w:rPr>
              <w:t>Taxes</w:t>
            </w:r>
          </w:p>
        </w:tc>
        <w:tc>
          <w:tcPr>
            <w:tcW w:w="245" w:type="dxa"/>
            <w:tcBorders/>
            <w:shd w:fill="CCEEFF" w:val="clear"/>
            <w:vAlign w:val="center"/>
          </w:tcPr>
          <w:p>
            <w:pPr>
              <w:pStyle w:val="TableContents"/>
              <w:bidi w:val="0"/>
              <w:spacing w:before="0" w:after="0"/>
              <w:jc w:val="right"/>
              <w:rPr>
                <w:sz w:val="20"/>
              </w:rPr>
            </w:pPr>
            <w:r>
              <w:rPr>
                <w:sz w:val="20"/>
              </w:rPr>
              <w:t>14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4.06</w:t>
            </w:r>
          </w:p>
        </w:tc>
        <w:tc>
          <w:tcPr>
            <w:tcW w:w="2720" w:type="dxa"/>
            <w:tcBorders/>
            <w:vAlign w:val="center"/>
          </w:tcPr>
          <w:p>
            <w:pPr>
              <w:pStyle w:val="TableContents"/>
              <w:bidi w:val="0"/>
              <w:spacing w:before="0" w:after="0"/>
              <w:jc w:val="left"/>
              <w:rPr>
                <w:sz w:val="20"/>
              </w:rPr>
            </w:pPr>
            <w:r>
              <w:rPr>
                <w:sz w:val="20"/>
              </w:rPr>
              <w:t>Stay, Extension and Usury Laws</w:t>
            </w:r>
          </w:p>
        </w:tc>
        <w:tc>
          <w:tcPr>
            <w:tcW w:w="245" w:type="dxa"/>
            <w:tcBorders/>
            <w:vAlign w:val="center"/>
          </w:tcPr>
          <w:p>
            <w:pPr>
              <w:pStyle w:val="TableContents"/>
              <w:bidi w:val="0"/>
              <w:spacing w:before="0" w:after="0"/>
              <w:jc w:val="right"/>
              <w:rPr>
                <w:sz w:val="20"/>
              </w:rPr>
            </w:pPr>
            <w:r>
              <w:rPr>
                <w:sz w:val="20"/>
              </w:rPr>
              <w:t>15</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4.07</w:t>
            </w:r>
          </w:p>
        </w:tc>
        <w:tc>
          <w:tcPr>
            <w:tcW w:w="2720" w:type="dxa"/>
            <w:tcBorders/>
            <w:shd w:fill="CCEEFF" w:val="clear"/>
            <w:vAlign w:val="center"/>
          </w:tcPr>
          <w:p>
            <w:pPr>
              <w:pStyle w:val="TableContents"/>
              <w:bidi w:val="0"/>
              <w:spacing w:before="0" w:after="0"/>
              <w:jc w:val="left"/>
              <w:rPr>
                <w:sz w:val="20"/>
              </w:rPr>
            </w:pPr>
            <w:r>
              <w:rPr>
                <w:sz w:val="20"/>
              </w:rPr>
              <w:t>Corporate Existence</w:t>
            </w:r>
          </w:p>
        </w:tc>
        <w:tc>
          <w:tcPr>
            <w:tcW w:w="245" w:type="dxa"/>
            <w:tcBorders/>
            <w:shd w:fill="CCEEFF" w:val="clear"/>
            <w:vAlign w:val="center"/>
          </w:tcPr>
          <w:p>
            <w:pPr>
              <w:pStyle w:val="TableContents"/>
              <w:bidi w:val="0"/>
              <w:spacing w:before="0" w:after="0"/>
              <w:jc w:val="right"/>
              <w:rPr>
                <w:sz w:val="20"/>
              </w:rPr>
            </w:pPr>
            <w:r>
              <w:rPr>
                <w:sz w:val="20"/>
              </w:rPr>
              <w:t>15</w:t>
            </w:r>
          </w:p>
        </w:tc>
      </w:tr>
    </w:tbl>
    <w:tbl>
      <w:tblPr>
        <w:tblW w:w="2460" w:type="dxa"/>
        <w:jc w:val="left"/>
        <w:tblInd w:w="0" w:type="dxa"/>
        <w:tblLayout w:type="fixed"/>
        <w:tblCellMar>
          <w:top w:w="0" w:type="dxa"/>
          <w:left w:w="0" w:type="dxa"/>
          <w:bottom w:w="0" w:type="dxa"/>
          <w:right w:w="0" w:type="dxa"/>
        </w:tblCellMar>
      </w:tblPr>
      <w:tblGrid>
        <w:gridCol w:w="995"/>
        <w:gridCol w:w="1235"/>
        <w:gridCol w:w="230"/>
      </w:tblGrid>
      <w:tr>
        <w:trPr/>
        <w:tc>
          <w:tcPr>
            <w:tcW w:w="99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sz w:val="20"/>
              </w:rPr>
            </w:pPr>
            <w:r>
              <w:rPr>
                <w:sz w:val="20"/>
              </w:rPr>
              <w:t>ARTICLE 5</w:t>
            </w:r>
          </w:p>
        </w:tc>
        <w:tc>
          <w:tcPr>
            <w:tcW w:w="1235" w:type="dxa"/>
            <w:tcBorders/>
            <w:shd w:fill="CCEEFF" w:val="clear"/>
            <w:vAlign w:val="center"/>
          </w:tcPr>
          <w:p>
            <w:pPr>
              <w:pStyle w:val="TableContents"/>
              <w:bidi w:val="0"/>
              <w:spacing w:before="0" w:after="283"/>
              <w:jc w:val="left"/>
              <w:rPr>
                <w:sz w:val="20"/>
              </w:rPr>
            </w:pPr>
            <w:r>
              <w:rPr>
                <w:sz w:val="20"/>
              </w:rPr>
              <w:t>SUCCESSORS</w:t>
            </w:r>
          </w:p>
        </w:tc>
        <w:tc>
          <w:tcPr>
            <w:tcW w:w="230" w:type="dxa"/>
            <w:tcBorders/>
            <w:shd w:fill="CCEEFF" w:val="clear"/>
            <w:vAlign w:val="center"/>
          </w:tcPr>
          <w:p>
            <w:pPr>
              <w:pStyle w:val="TableContents"/>
              <w:bidi w:val="0"/>
              <w:spacing w:before="0" w:after="283"/>
              <w:jc w:val="right"/>
              <w:rPr>
                <w:sz w:val="20"/>
              </w:rPr>
            </w:pPr>
            <w:r>
              <w:rPr>
                <w:sz w:val="20"/>
              </w:rPr>
              <w:t>15</w:t>
            </w:r>
          </w:p>
        </w:tc>
      </w:tr>
    </w:tbl>
    <w:tbl>
      <w:tblPr>
        <w:tblW w:w="4635" w:type="dxa"/>
        <w:jc w:val="left"/>
        <w:tblInd w:w="0" w:type="dxa"/>
        <w:tblLayout w:type="fixed"/>
        <w:tblCellMar>
          <w:top w:w="0" w:type="dxa"/>
          <w:left w:w="0" w:type="dxa"/>
          <w:bottom w:w="0" w:type="dxa"/>
          <w:right w:w="0" w:type="dxa"/>
        </w:tblCellMar>
      </w:tblPr>
      <w:tblGrid>
        <w:gridCol w:w="75"/>
        <w:gridCol w:w="1040"/>
        <w:gridCol w:w="3275"/>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5.01</w:t>
            </w:r>
          </w:p>
        </w:tc>
        <w:tc>
          <w:tcPr>
            <w:tcW w:w="3275" w:type="dxa"/>
            <w:tcBorders/>
            <w:vAlign w:val="center"/>
          </w:tcPr>
          <w:p>
            <w:pPr>
              <w:pStyle w:val="TableContents"/>
              <w:bidi w:val="0"/>
              <w:spacing w:before="0" w:after="0"/>
              <w:jc w:val="left"/>
              <w:rPr>
                <w:sz w:val="20"/>
              </w:rPr>
            </w:pPr>
            <w:r>
              <w:rPr>
                <w:sz w:val="20"/>
              </w:rPr>
              <w:t>Merger, Consolidation, or Sale of Assets</w:t>
            </w:r>
          </w:p>
        </w:tc>
        <w:tc>
          <w:tcPr>
            <w:tcW w:w="245" w:type="dxa"/>
            <w:tcBorders/>
            <w:vAlign w:val="center"/>
          </w:tcPr>
          <w:p>
            <w:pPr>
              <w:pStyle w:val="TableContents"/>
              <w:bidi w:val="0"/>
              <w:spacing w:before="0" w:after="0"/>
              <w:jc w:val="right"/>
              <w:rPr>
                <w:sz w:val="20"/>
              </w:rPr>
            </w:pPr>
            <w:r>
              <w:rPr>
                <w:sz w:val="20"/>
              </w:rPr>
              <w:t>15</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5.02</w:t>
            </w:r>
          </w:p>
        </w:tc>
        <w:tc>
          <w:tcPr>
            <w:tcW w:w="3275" w:type="dxa"/>
            <w:tcBorders/>
            <w:shd w:fill="CCEEFF" w:val="clear"/>
            <w:vAlign w:val="center"/>
          </w:tcPr>
          <w:p>
            <w:pPr>
              <w:pStyle w:val="TableContents"/>
              <w:bidi w:val="0"/>
              <w:spacing w:before="0" w:after="0"/>
              <w:jc w:val="left"/>
              <w:rPr>
                <w:sz w:val="20"/>
              </w:rPr>
            </w:pPr>
            <w:r>
              <w:rPr>
                <w:sz w:val="20"/>
              </w:rPr>
              <w:t>Successor Corporation Substituted</w:t>
            </w:r>
          </w:p>
        </w:tc>
        <w:tc>
          <w:tcPr>
            <w:tcW w:w="245" w:type="dxa"/>
            <w:tcBorders/>
            <w:shd w:fill="CCEEFF" w:val="clear"/>
            <w:vAlign w:val="center"/>
          </w:tcPr>
          <w:p>
            <w:pPr>
              <w:pStyle w:val="TableContents"/>
              <w:bidi w:val="0"/>
              <w:spacing w:before="0" w:after="0"/>
              <w:jc w:val="right"/>
              <w:rPr>
                <w:sz w:val="20"/>
              </w:rPr>
            </w:pPr>
            <w:r>
              <w:rPr>
                <w:sz w:val="20"/>
              </w:rPr>
              <w:t>16</w:t>
            </w:r>
          </w:p>
        </w:tc>
      </w:tr>
    </w:tbl>
    <w:tbl>
      <w:tblPr>
        <w:tblW w:w="3690" w:type="dxa"/>
        <w:jc w:val="left"/>
        <w:tblInd w:w="0" w:type="dxa"/>
        <w:tblLayout w:type="fixed"/>
        <w:tblCellMar>
          <w:top w:w="0" w:type="dxa"/>
          <w:left w:w="0" w:type="dxa"/>
          <w:bottom w:w="0" w:type="dxa"/>
          <w:right w:w="0" w:type="dxa"/>
        </w:tblCellMar>
      </w:tblPr>
      <w:tblGrid>
        <w:gridCol w:w="995"/>
        <w:gridCol w:w="2465"/>
        <w:gridCol w:w="230"/>
      </w:tblGrid>
      <w:tr>
        <w:trPr/>
        <w:tc>
          <w:tcPr>
            <w:tcW w:w="99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sz w:val="20"/>
              </w:rPr>
            </w:pPr>
            <w:r>
              <w:rPr>
                <w:sz w:val="20"/>
              </w:rPr>
              <w:t>ARTICLE 6</w:t>
            </w:r>
          </w:p>
        </w:tc>
        <w:tc>
          <w:tcPr>
            <w:tcW w:w="2465" w:type="dxa"/>
            <w:tcBorders/>
            <w:shd w:fill="CCEEFF" w:val="clear"/>
            <w:vAlign w:val="center"/>
          </w:tcPr>
          <w:p>
            <w:pPr>
              <w:pStyle w:val="TableContents"/>
              <w:bidi w:val="0"/>
              <w:spacing w:before="0" w:after="283"/>
              <w:jc w:val="left"/>
              <w:rPr>
                <w:sz w:val="20"/>
              </w:rPr>
            </w:pPr>
            <w:r>
              <w:rPr>
                <w:sz w:val="20"/>
              </w:rPr>
              <w:t>DEFAULTS AND REMEDIES</w:t>
            </w:r>
          </w:p>
        </w:tc>
        <w:tc>
          <w:tcPr>
            <w:tcW w:w="230" w:type="dxa"/>
            <w:tcBorders/>
            <w:shd w:fill="CCEEFF" w:val="clear"/>
            <w:vAlign w:val="center"/>
          </w:tcPr>
          <w:p>
            <w:pPr>
              <w:pStyle w:val="TableContents"/>
              <w:bidi w:val="0"/>
              <w:spacing w:before="0" w:after="283"/>
              <w:jc w:val="right"/>
              <w:rPr>
                <w:sz w:val="20"/>
              </w:rPr>
            </w:pPr>
            <w:r>
              <w:rPr>
                <w:sz w:val="20"/>
              </w:rPr>
              <w:t>16</w:t>
            </w:r>
          </w:p>
        </w:tc>
      </w:tr>
    </w:tbl>
    <w:tbl>
      <w:tblPr>
        <w:tblW w:w="5190" w:type="dxa"/>
        <w:jc w:val="left"/>
        <w:tblInd w:w="0" w:type="dxa"/>
        <w:tblLayout w:type="fixed"/>
        <w:tblCellMar>
          <w:top w:w="0" w:type="dxa"/>
          <w:left w:w="0" w:type="dxa"/>
          <w:bottom w:w="0" w:type="dxa"/>
          <w:right w:w="0" w:type="dxa"/>
        </w:tblCellMar>
      </w:tblPr>
      <w:tblGrid>
        <w:gridCol w:w="75"/>
        <w:gridCol w:w="1040"/>
        <w:gridCol w:w="3830"/>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6.01</w:t>
            </w:r>
          </w:p>
        </w:tc>
        <w:tc>
          <w:tcPr>
            <w:tcW w:w="3830" w:type="dxa"/>
            <w:tcBorders/>
            <w:vAlign w:val="center"/>
          </w:tcPr>
          <w:p>
            <w:pPr>
              <w:pStyle w:val="TableContents"/>
              <w:bidi w:val="0"/>
              <w:spacing w:before="0" w:after="0"/>
              <w:jc w:val="left"/>
              <w:rPr>
                <w:sz w:val="20"/>
              </w:rPr>
            </w:pPr>
            <w:r>
              <w:rPr>
                <w:sz w:val="20"/>
              </w:rPr>
              <w:t>Events of Default</w:t>
            </w:r>
          </w:p>
        </w:tc>
        <w:tc>
          <w:tcPr>
            <w:tcW w:w="245" w:type="dxa"/>
            <w:tcBorders/>
            <w:vAlign w:val="center"/>
          </w:tcPr>
          <w:p>
            <w:pPr>
              <w:pStyle w:val="TableContents"/>
              <w:bidi w:val="0"/>
              <w:spacing w:before="0" w:after="0"/>
              <w:jc w:val="right"/>
              <w:rPr>
                <w:sz w:val="20"/>
              </w:rPr>
            </w:pPr>
            <w:r>
              <w:rPr>
                <w:sz w:val="20"/>
              </w:rPr>
              <w:t>16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6.02</w:t>
            </w:r>
          </w:p>
        </w:tc>
        <w:tc>
          <w:tcPr>
            <w:tcW w:w="3830" w:type="dxa"/>
            <w:tcBorders/>
            <w:shd w:fill="CCEEFF" w:val="clear"/>
            <w:vAlign w:val="center"/>
          </w:tcPr>
          <w:p>
            <w:pPr>
              <w:pStyle w:val="TableContents"/>
              <w:bidi w:val="0"/>
              <w:spacing w:before="0" w:after="0"/>
              <w:jc w:val="left"/>
              <w:rPr>
                <w:sz w:val="20"/>
              </w:rPr>
            </w:pPr>
            <w:r>
              <w:rPr>
                <w:sz w:val="20"/>
              </w:rPr>
              <w:t>Acceleration</w:t>
            </w:r>
          </w:p>
        </w:tc>
        <w:tc>
          <w:tcPr>
            <w:tcW w:w="245" w:type="dxa"/>
            <w:tcBorders/>
            <w:shd w:fill="CCEEFF" w:val="clear"/>
            <w:vAlign w:val="center"/>
          </w:tcPr>
          <w:p>
            <w:pPr>
              <w:pStyle w:val="TableContents"/>
              <w:bidi w:val="0"/>
              <w:spacing w:before="0" w:after="0"/>
              <w:jc w:val="right"/>
              <w:rPr>
                <w:sz w:val="20"/>
              </w:rPr>
            </w:pPr>
            <w:r>
              <w:rPr>
                <w:sz w:val="20"/>
              </w:rPr>
              <w:t>17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6.03</w:t>
            </w:r>
          </w:p>
        </w:tc>
        <w:tc>
          <w:tcPr>
            <w:tcW w:w="3830" w:type="dxa"/>
            <w:tcBorders/>
            <w:vAlign w:val="center"/>
          </w:tcPr>
          <w:p>
            <w:pPr>
              <w:pStyle w:val="TableContents"/>
              <w:bidi w:val="0"/>
              <w:spacing w:before="0" w:after="0"/>
              <w:jc w:val="left"/>
              <w:rPr>
                <w:sz w:val="20"/>
              </w:rPr>
            </w:pPr>
            <w:r>
              <w:rPr>
                <w:sz w:val="20"/>
              </w:rPr>
              <w:t>Other Remedies</w:t>
            </w:r>
          </w:p>
        </w:tc>
        <w:tc>
          <w:tcPr>
            <w:tcW w:w="245" w:type="dxa"/>
            <w:tcBorders/>
            <w:vAlign w:val="center"/>
          </w:tcPr>
          <w:p>
            <w:pPr>
              <w:pStyle w:val="TableContents"/>
              <w:bidi w:val="0"/>
              <w:spacing w:before="0" w:after="0"/>
              <w:jc w:val="right"/>
              <w:rPr>
                <w:sz w:val="20"/>
              </w:rPr>
            </w:pPr>
            <w:r>
              <w:rPr>
                <w:sz w:val="20"/>
              </w:rPr>
              <w:t>17</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6.04</w:t>
            </w:r>
          </w:p>
        </w:tc>
        <w:tc>
          <w:tcPr>
            <w:tcW w:w="3830" w:type="dxa"/>
            <w:tcBorders/>
            <w:shd w:fill="CCEEFF" w:val="clear"/>
            <w:vAlign w:val="center"/>
          </w:tcPr>
          <w:p>
            <w:pPr>
              <w:pStyle w:val="TableContents"/>
              <w:bidi w:val="0"/>
              <w:spacing w:before="0" w:after="0"/>
              <w:jc w:val="left"/>
              <w:rPr>
                <w:sz w:val="20"/>
              </w:rPr>
            </w:pPr>
            <w:r>
              <w:rPr>
                <w:sz w:val="20"/>
              </w:rPr>
              <w:t>Waiver of Past Defaults</w:t>
            </w:r>
          </w:p>
        </w:tc>
        <w:tc>
          <w:tcPr>
            <w:tcW w:w="245" w:type="dxa"/>
            <w:tcBorders/>
            <w:shd w:fill="CCEEFF" w:val="clear"/>
            <w:vAlign w:val="center"/>
          </w:tcPr>
          <w:p>
            <w:pPr>
              <w:pStyle w:val="TableContents"/>
              <w:bidi w:val="0"/>
              <w:spacing w:before="0" w:after="0"/>
              <w:jc w:val="right"/>
              <w:rPr>
                <w:sz w:val="20"/>
              </w:rPr>
            </w:pPr>
            <w:r>
              <w:rPr>
                <w:sz w:val="20"/>
              </w:rPr>
              <w:t>17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6.05</w:t>
            </w:r>
          </w:p>
        </w:tc>
        <w:tc>
          <w:tcPr>
            <w:tcW w:w="3830" w:type="dxa"/>
            <w:tcBorders/>
            <w:vAlign w:val="center"/>
          </w:tcPr>
          <w:p>
            <w:pPr>
              <w:pStyle w:val="TableContents"/>
              <w:bidi w:val="0"/>
              <w:spacing w:before="0" w:after="0"/>
              <w:jc w:val="left"/>
              <w:rPr>
                <w:sz w:val="20"/>
              </w:rPr>
            </w:pPr>
            <w:r>
              <w:rPr>
                <w:sz w:val="20"/>
              </w:rPr>
              <w:t>Control by Majority</w:t>
            </w:r>
          </w:p>
        </w:tc>
        <w:tc>
          <w:tcPr>
            <w:tcW w:w="245" w:type="dxa"/>
            <w:tcBorders/>
            <w:vAlign w:val="center"/>
          </w:tcPr>
          <w:p>
            <w:pPr>
              <w:pStyle w:val="TableContents"/>
              <w:bidi w:val="0"/>
              <w:spacing w:before="0" w:after="0"/>
              <w:jc w:val="right"/>
              <w:rPr>
                <w:sz w:val="20"/>
              </w:rPr>
            </w:pPr>
            <w:r>
              <w:rPr>
                <w:sz w:val="20"/>
              </w:rPr>
              <w:t>18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6.06</w:t>
            </w:r>
          </w:p>
        </w:tc>
        <w:tc>
          <w:tcPr>
            <w:tcW w:w="3830" w:type="dxa"/>
            <w:tcBorders/>
            <w:shd w:fill="CCEEFF" w:val="clear"/>
            <w:vAlign w:val="center"/>
          </w:tcPr>
          <w:p>
            <w:pPr>
              <w:pStyle w:val="TableContents"/>
              <w:bidi w:val="0"/>
              <w:spacing w:before="0" w:after="0"/>
              <w:jc w:val="left"/>
              <w:rPr>
                <w:sz w:val="20"/>
              </w:rPr>
            </w:pPr>
            <w:r>
              <w:rPr>
                <w:sz w:val="20"/>
              </w:rPr>
              <w:t>Limitation on Suits</w:t>
            </w:r>
          </w:p>
        </w:tc>
        <w:tc>
          <w:tcPr>
            <w:tcW w:w="245" w:type="dxa"/>
            <w:tcBorders/>
            <w:shd w:fill="CCEEFF" w:val="clear"/>
            <w:vAlign w:val="center"/>
          </w:tcPr>
          <w:p>
            <w:pPr>
              <w:pStyle w:val="TableContents"/>
              <w:bidi w:val="0"/>
              <w:spacing w:before="0" w:after="0"/>
              <w:jc w:val="right"/>
              <w:rPr>
                <w:sz w:val="20"/>
              </w:rPr>
            </w:pPr>
            <w:r>
              <w:rPr>
                <w:sz w:val="20"/>
              </w:rPr>
              <w:t>18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6.07</w:t>
            </w:r>
          </w:p>
        </w:tc>
        <w:tc>
          <w:tcPr>
            <w:tcW w:w="3830" w:type="dxa"/>
            <w:tcBorders/>
            <w:vAlign w:val="center"/>
          </w:tcPr>
          <w:p>
            <w:pPr>
              <w:pStyle w:val="TableContents"/>
              <w:bidi w:val="0"/>
              <w:spacing w:before="0" w:after="0"/>
              <w:jc w:val="left"/>
              <w:rPr>
                <w:sz w:val="20"/>
              </w:rPr>
            </w:pPr>
            <w:r>
              <w:rPr>
                <w:sz w:val="20"/>
              </w:rPr>
              <w:t>Rights of Holders of Notes to Receive Payment</w:t>
            </w:r>
          </w:p>
        </w:tc>
        <w:tc>
          <w:tcPr>
            <w:tcW w:w="245" w:type="dxa"/>
            <w:tcBorders/>
            <w:vAlign w:val="center"/>
          </w:tcPr>
          <w:p>
            <w:pPr>
              <w:pStyle w:val="TableContents"/>
              <w:bidi w:val="0"/>
              <w:spacing w:before="0" w:after="0"/>
              <w:jc w:val="right"/>
              <w:rPr>
                <w:sz w:val="20"/>
              </w:rPr>
            </w:pPr>
            <w:r>
              <w:rPr>
                <w:sz w:val="20"/>
              </w:rPr>
              <w:t>18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6.08</w:t>
            </w:r>
          </w:p>
        </w:tc>
        <w:tc>
          <w:tcPr>
            <w:tcW w:w="3830" w:type="dxa"/>
            <w:tcBorders/>
            <w:shd w:fill="CCEEFF" w:val="clear"/>
            <w:vAlign w:val="center"/>
          </w:tcPr>
          <w:p>
            <w:pPr>
              <w:pStyle w:val="TableContents"/>
              <w:bidi w:val="0"/>
              <w:spacing w:before="0" w:after="0"/>
              <w:jc w:val="left"/>
              <w:rPr>
                <w:sz w:val="20"/>
              </w:rPr>
            </w:pPr>
            <w:r>
              <w:rPr>
                <w:sz w:val="20"/>
              </w:rPr>
              <w:t>Collection Suit by Trustee</w:t>
            </w:r>
          </w:p>
        </w:tc>
        <w:tc>
          <w:tcPr>
            <w:tcW w:w="245" w:type="dxa"/>
            <w:tcBorders/>
            <w:shd w:fill="CCEEFF" w:val="clear"/>
            <w:vAlign w:val="center"/>
          </w:tcPr>
          <w:p>
            <w:pPr>
              <w:pStyle w:val="TableContents"/>
              <w:bidi w:val="0"/>
              <w:spacing w:before="0" w:after="0"/>
              <w:jc w:val="right"/>
              <w:rPr>
                <w:sz w:val="20"/>
              </w:rPr>
            </w:pPr>
            <w:r>
              <w:rPr>
                <w:sz w:val="20"/>
              </w:rPr>
              <w:t>18</w:t>
            </w:r>
          </w:p>
        </w:tc>
      </w:tr>
    </w:tbl>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0"/>
        <w:jc w:val="left"/>
        <w:rPr>
          <w:sz w:val="20"/>
        </w:rPr>
      </w:pPr>
      <w:r>
        <w:rPr>
          <w:sz w:val="20"/>
        </w:rPr>
      </w:r>
      <w:bookmarkStart w:id="70" w:name="zc5ccc90348da4acfbf47b370cdc0e023"/>
      <w:bookmarkStart w:id="71" w:name="zc5ccc90348da4acfbf47b370cdc0e023"/>
      <w:bookmarkEnd w:id="71"/>
    </w:p>
    <w:tbl>
      <w:tblPr>
        <w:tblW w:w="4305" w:type="dxa"/>
        <w:jc w:val="left"/>
        <w:tblInd w:w="0" w:type="dxa"/>
        <w:tblLayout w:type="fixed"/>
        <w:tblCellMar>
          <w:top w:w="0" w:type="dxa"/>
          <w:left w:w="0" w:type="dxa"/>
          <w:bottom w:w="0" w:type="dxa"/>
          <w:right w:w="0" w:type="dxa"/>
        </w:tblCellMar>
      </w:tblPr>
      <w:tblGrid>
        <w:gridCol w:w="75"/>
        <w:gridCol w:w="1040"/>
        <w:gridCol w:w="2945"/>
        <w:gridCol w:w="245"/>
      </w:tblGrid>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6.09</w:t>
            </w:r>
          </w:p>
        </w:tc>
        <w:tc>
          <w:tcPr>
            <w:tcW w:w="2945" w:type="dxa"/>
            <w:tcBorders/>
            <w:shd w:fill="CCEEFF" w:val="clear"/>
            <w:vAlign w:val="center"/>
          </w:tcPr>
          <w:p>
            <w:pPr>
              <w:pStyle w:val="TableContents"/>
              <w:bidi w:val="0"/>
              <w:spacing w:before="0" w:after="0"/>
              <w:jc w:val="left"/>
              <w:rPr>
                <w:sz w:val="20"/>
              </w:rPr>
            </w:pPr>
            <w:r>
              <w:rPr>
                <w:sz w:val="20"/>
              </w:rPr>
              <w:t>Trustee May File Proofs of Claim</w:t>
            </w:r>
          </w:p>
        </w:tc>
        <w:tc>
          <w:tcPr>
            <w:tcW w:w="245" w:type="dxa"/>
            <w:tcBorders/>
            <w:shd w:fill="CCEEFF" w:val="clear"/>
            <w:vAlign w:val="center"/>
          </w:tcPr>
          <w:p>
            <w:pPr>
              <w:pStyle w:val="TableContents"/>
              <w:bidi w:val="0"/>
              <w:spacing w:before="0" w:after="0"/>
              <w:jc w:val="right"/>
              <w:rPr>
                <w:sz w:val="20"/>
              </w:rPr>
            </w:pPr>
            <w:r>
              <w:rPr>
                <w:sz w:val="20"/>
              </w:rPr>
              <w:t>19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6.10</w:t>
            </w:r>
          </w:p>
        </w:tc>
        <w:tc>
          <w:tcPr>
            <w:tcW w:w="2945" w:type="dxa"/>
            <w:tcBorders/>
            <w:vAlign w:val="center"/>
          </w:tcPr>
          <w:p>
            <w:pPr>
              <w:pStyle w:val="TableContents"/>
              <w:bidi w:val="0"/>
              <w:spacing w:before="0" w:after="0"/>
              <w:jc w:val="left"/>
              <w:rPr>
                <w:sz w:val="20"/>
              </w:rPr>
            </w:pPr>
            <w:r>
              <w:rPr>
                <w:sz w:val="20"/>
              </w:rPr>
              <w:t>Priorities</w:t>
            </w:r>
          </w:p>
        </w:tc>
        <w:tc>
          <w:tcPr>
            <w:tcW w:w="245" w:type="dxa"/>
            <w:tcBorders/>
            <w:vAlign w:val="center"/>
          </w:tcPr>
          <w:p>
            <w:pPr>
              <w:pStyle w:val="TableContents"/>
              <w:bidi w:val="0"/>
              <w:spacing w:before="0" w:after="0"/>
              <w:jc w:val="right"/>
              <w:rPr>
                <w:sz w:val="20"/>
              </w:rPr>
            </w:pPr>
            <w:r>
              <w:rPr>
                <w:sz w:val="20"/>
              </w:rPr>
              <w:t>19</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6.11</w:t>
            </w:r>
          </w:p>
        </w:tc>
        <w:tc>
          <w:tcPr>
            <w:tcW w:w="2945" w:type="dxa"/>
            <w:tcBorders/>
            <w:shd w:fill="CCEEFF" w:val="clear"/>
            <w:vAlign w:val="center"/>
          </w:tcPr>
          <w:p>
            <w:pPr>
              <w:pStyle w:val="TableContents"/>
              <w:bidi w:val="0"/>
              <w:spacing w:before="0" w:after="0"/>
              <w:jc w:val="left"/>
              <w:rPr>
                <w:sz w:val="20"/>
              </w:rPr>
            </w:pPr>
            <w:r>
              <w:rPr>
                <w:sz w:val="20"/>
              </w:rPr>
              <w:t>Undertaking for Costs</w:t>
            </w:r>
          </w:p>
        </w:tc>
        <w:tc>
          <w:tcPr>
            <w:tcW w:w="245" w:type="dxa"/>
            <w:tcBorders/>
            <w:shd w:fill="CCEEFF" w:val="clear"/>
            <w:vAlign w:val="center"/>
          </w:tcPr>
          <w:p>
            <w:pPr>
              <w:pStyle w:val="TableContents"/>
              <w:bidi w:val="0"/>
              <w:spacing w:before="0" w:after="0"/>
              <w:jc w:val="right"/>
              <w:rPr>
                <w:sz w:val="20"/>
              </w:rPr>
            </w:pPr>
            <w:r>
              <w:rPr>
                <w:sz w:val="20"/>
              </w:rPr>
              <w:t>19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6.12</w:t>
            </w:r>
          </w:p>
        </w:tc>
        <w:tc>
          <w:tcPr>
            <w:tcW w:w="2945" w:type="dxa"/>
            <w:tcBorders/>
            <w:vAlign w:val="center"/>
          </w:tcPr>
          <w:p>
            <w:pPr>
              <w:pStyle w:val="TableContents"/>
              <w:bidi w:val="0"/>
              <w:spacing w:before="0" w:after="0"/>
              <w:jc w:val="left"/>
              <w:rPr>
                <w:sz w:val="20"/>
              </w:rPr>
            </w:pPr>
            <w:r>
              <w:rPr>
                <w:sz w:val="20"/>
              </w:rPr>
              <w:t>Restoration of Rights and Remedies</w:t>
            </w:r>
          </w:p>
        </w:tc>
        <w:tc>
          <w:tcPr>
            <w:tcW w:w="245" w:type="dxa"/>
            <w:tcBorders/>
            <w:vAlign w:val="center"/>
          </w:tcPr>
          <w:p>
            <w:pPr>
              <w:pStyle w:val="TableContents"/>
              <w:bidi w:val="0"/>
              <w:spacing w:before="0" w:after="0"/>
              <w:jc w:val="right"/>
              <w:rPr>
                <w:sz w:val="20"/>
              </w:rPr>
            </w:pPr>
            <w:r>
              <w:rPr>
                <w:sz w:val="20"/>
              </w:rPr>
              <w:t>19</w:t>
            </w:r>
          </w:p>
        </w:tc>
      </w:tr>
    </w:tbl>
    <w:tbl>
      <w:tblPr>
        <w:tblW w:w="2100" w:type="dxa"/>
        <w:jc w:val="left"/>
        <w:tblInd w:w="0" w:type="dxa"/>
        <w:tblLayout w:type="fixed"/>
        <w:tblCellMar>
          <w:top w:w="0" w:type="dxa"/>
          <w:left w:w="0" w:type="dxa"/>
          <w:bottom w:w="0" w:type="dxa"/>
          <w:right w:w="0" w:type="dxa"/>
        </w:tblCellMar>
      </w:tblPr>
      <w:tblGrid>
        <w:gridCol w:w="995"/>
        <w:gridCol w:w="875"/>
        <w:gridCol w:w="230"/>
      </w:tblGrid>
      <w:tr>
        <w:trPr/>
        <w:tc>
          <w:tcPr>
            <w:tcW w:w="99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ARTICLE 7</w:t>
            </w:r>
          </w:p>
        </w:tc>
        <w:tc>
          <w:tcPr>
            <w:tcW w:w="875" w:type="dxa"/>
            <w:tcBorders/>
            <w:vAlign w:val="center"/>
          </w:tcPr>
          <w:p>
            <w:pPr>
              <w:pStyle w:val="TableContents"/>
              <w:bidi w:val="0"/>
              <w:spacing w:before="0" w:after="283"/>
              <w:jc w:val="left"/>
              <w:rPr>
                <w:sz w:val="20"/>
              </w:rPr>
            </w:pPr>
            <w:r>
              <w:rPr>
                <w:sz w:val="20"/>
              </w:rPr>
              <w:t>TRUSTEE</w:t>
            </w:r>
          </w:p>
        </w:tc>
        <w:tc>
          <w:tcPr>
            <w:tcW w:w="230" w:type="dxa"/>
            <w:tcBorders/>
            <w:vAlign w:val="center"/>
          </w:tcPr>
          <w:p>
            <w:pPr>
              <w:pStyle w:val="TableContents"/>
              <w:bidi w:val="0"/>
              <w:spacing w:before="0" w:after="283"/>
              <w:jc w:val="right"/>
              <w:rPr>
                <w:sz w:val="20"/>
              </w:rPr>
            </w:pPr>
            <w:r>
              <w:rPr>
                <w:sz w:val="20"/>
              </w:rPr>
              <w:t>20</w:t>
            </w:r>
          </w:p>
        </w:tc>
      </w:tr>
    </w:tbl>
    <w:tbl>
      <w:tblPr>
        <w:tblW w:w="5565" w:type="dxa"/>
        <w:jc w:val="left"/>
        <w:tblInd w:w="0" w:type="dxa"/>
        <w:tblLayout w:type="fixed"/>
        <w:tblCellMar>
          <w:top w:w="0" w:type="dxa"/>
          <w:left w:w="0" w:type="dxa"/>
          <w:bottom w:w="0" w:type="dxa"/>
          <w:right w:w="0" w:type="dxa"/>
        </w:tblCellMar>
      </w:tblPr>
      <w:tblGrid>
        <w:gridCol w:w="75"/>
        <w:gridCol w:w="1040"/>
        <w:gridCol w:w="4205"/>
        <w:gridCol w:w="245"/>
      </w:tblGrid>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7.01</w:t>
            </w:r>
          </w:p>
        </w:tc>
        <w:tc>
          <w:tcPr>
            <w:tcW w:w="4205" w:type="dxa"/>
            <w:tcBorders/>
            <w:shd w:fill="CCEEFF" w:val="clear"/>
            <w:vAlign w:val="center"/>
          </w:tcPr>
          <w:p>
            <w:pPr>
              <w:pStyle w:val="TableContents"/>
              <w:bidi w:val="0"/>
              <w:spacing w:before="0" w:after="0"/>
              <w:jc w:val="left"/>
              <w:rPr>
                <w:sz w:val="20"/>
              </w:rPr>
            </w:pPr>
            <w:r>
              <w:rPr>
                <w:sz w:val="20"/>
              </w:rPr>
              <w:t>Duties of Trustee</w:t>
            </w:r>
          </w:p>
        </w:tc>
        <w:tc>
          <w:tcPr>
            <w:tcW w:w="245" w:type="dxa"/>
            <w:tcBorders/>
            <w:shd w:fill="CCEEFF" w:val="clear"/>
            <w:vAlign w:val="center"/>
          </w:tcPr>
          <w:p>
            <w:pPr>
              <w:pStyle w:val="TableContents"/>
              <w:bidi w:val="0"/>
              <w:spacing w:before="0" w:after="0"/>
              <w:jc w:val="right"/>
              <w:rPr>
                <w:sz w:val="20"/>
              </w:rPr>
            </w:pPr>
            <w:r>
              <w:rPr>
                <w:sz w:val="20"/>
              </w:rPr>
              <w:t>20</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7.02</w:t>
            </w:r>
          </w:p>
        </w:tc>
        <w:tc>
          <w:tcPr>
            <w:tcW w:w="4205" w:type="dxa"/>
            <w:tcBorders/>
            <w:vAlign w:val="center"/>
          </w:tcPr>
          <w:p>
            <w:pPr>
              <w:pStyle w:val="TableContents"/>
              <w:bidi w:val="0"/>
              <w:spacing w:before="0" w:after="0"/>
              <w:jc w:val="left"/>
              <w:rPr>
                <w:sz w:val="20"/>
              </w:rPr>
            </w:pPr>
            <w:r>
              <w:rPr>
                <w:sz w:val="20"/>
              </w:rPr>
              <w:t>Rights of Trustee</w:t>
            </w:r>
          </w:p>
        </w:tc>
        <w:tc>
          <w:tcPr>
            <w:tcW w:w="245" w:type="dxa"/>
            <w:tcBorders/>
            <w:vAlign w:val="center"/>
          </w:tcPr>
          <w:p>
            <w:pPr>
              <w:pStyle w:val="TableContents"/>
              <w:bidi w:val="0"/>
              <w:spacing w:before="0" w:after="0"/>
              <w:jc w:val="right"/>
              <w:rPr>
                <w:sz w:val="20"/>
              </w:rPr>
            </w:pPr>
            <w:r>
              <w:rPr>
                <w:sz w:val="20"/>
              </w:rPr>
              <w:t>20</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7.03</w:t>
            </w:r>
          </w:p>
        </w:tc>
        <w:tc>
          <w:tcPr>
            <w:tcW w:w="4205" w:type="dxa"/>
            <w:tcBorders/>
            <w:shd w:fill="CCEEFF" w:val="clear"/>
            <w:vAlign w:val="center"/>
          </w:tcPr>
          <w:p>
            <w:pPr>
              <w:pStyle w:val="TableContents"/>
              <w:bidi w:val="0"/>
              <w:spacing w:before="0" w:after="0"/>
              <w:jc w:val="left"/>
              <w:rPr>
                <w:sz w:val="20"/>
              </w:rPr>
            </w:pPr>
            <w:r>
              <w:rPr>
                <w:sz w:val="20"/>
              </w:rPr>
              <w:t>Individual Rights of Trustee</w:t>
            </w:r>
          </w:p>
        </w:tc>
        <w:tc>
          <w:tcPr>
            <w:tcW w:w="245" w:type="dxa"/>
            <w:tcBorders/>
            <w:shd w:fill="CCEEFF" w:val="clear"/>
            <w:vAlign w:val="center"/>
          </w:tcPr>
          <w:p>
            <w:pPr>
              <w:pStyle w:val="TableContents"/>
              <w:bidi w:val="0"/>
              <w:spacing w:before="0" w:after="0"/>
              <w:jc w:val="right"/>
              <w:rPr>
                <w:sz w:val="20"/>
              </w:rPr>
            </w:pPr>
            <w:r>
              <w:rPr>
                <w:sz w:val="20"/>
              </w:rPr>
              <w:t>21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7.04</w:t>
            </w:r>
          </w:p>
        </w:tc>
        <w:tc>
          <w:tcPr>
            <w:tcW w:w="4205" w:type="dxa"/>
            <w:tcBorders/>
            <w:vAlign w:val="center"/>
          </w:tcPr>
          <w:p>
            <w:pPr>
              <w:pStyle w:val="TableContents"/>
              <w:bidi w:val="0"/>
              <w:spacing w:before="0" w:after="0"/>
              <w:jc w:val="left"/>
              <w:rPr>
                <w:sz w:val="20"/>
              </w:rPr>
            </w:pPr>
            <w:r>
              <w:rPr>
                <w:sz w:val="20"/>
              </w:rPr>
              <w:t>Trustee’s Disclaimer</w:t>
            </w:r>
          </w:p>
        </w:tc>
        <w:tc>
          <w:tcPr>
            <w:tcW w:w="245" w:type="dxa"/>
            <w:tcBorders/>
            <w:vAlign w:val="center"/>
          </w:tcPr>
          <w:p>
            <w:pPr>
              <w:pStyle w:val="TableContents"/>
              <w:bidi w:val="0"/>
              <w:spacing w:before="0" w:after="0"/>
              <w:jc w:val="right"/>
              <w:rPr>
                <w:sz w:val="20"/>
              </w:rPr>
            </w:pPr>
            <w:r>
              <w:rPr>
                <w:sz w:val="20"/>
              </w:rPr>
              <w:t>22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7.05</w:t>
            </w:r>
          </w:p>
        </w:tc>
        <w:tc>
          <w:tcPr>
            <w:tcW w:w="4205" w:type="dxa"/>
            <w:tcBorders/>
            <w:shd w:fill="CCEEFF" w:val="clear"/>
            <w:vAlign w:val="center"/>
          </w:tcPr>
          <w:p>
            <w:pPr>
              <w:pStyle w:val="TableContents"/>
              <w:bidi w:val="0"/>
              <w:spacing w:before="0" w:after="0"/>
              <w:jc w:val="left"/>
              <w:rPr>
                <w:sz w:val="20"/>
              </w:rPr>
            </w:pPr>
            <w:r>
              <w:rPr>
                <w:sz w:val="20"/>
              </w:rPr>
              <w:t>Notice of Defaults</w:t>
            </w:r>
          </w:p>
        </w:tc>
        <w:tc>
          <w:tcPr>
            <w:tcW w:w="245" w:type="dxa"/>
            <w:tcBorders/>
            <w:shd w:fill="CCEEFF" w:val="clear"/>
            <w:vAlign w:val="center"/>
          </w:tcPr>
          <w:p>
            <w:pPr>
              <w:pStyle w:val="TableContents"/>
              <w:bidi w:val="0"/>
              <w:spacing w:before="0" w:after="0"/>
              <w:jc w:val="right"/>
              <w:rPr>
                <w:sz w:val="20"/>
              </w:rPr>
            </w:pPr>
            <w:r>
              <w:rPr>
                <w:sz w:val="20"/>
              </w:rPr>
              <w:t>22</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7.06</w:t>
            </w:r>
          </w:p>
        </w:tc>
        <w:tc>
          <w:tcPr>
            <w:tcW w:w="4205" w:type="dxa"/>
            <w:tcBorders/>
            <w:vAlign w:val="center"/>
          </w:tcPr>
          <w:p>
            <w:pPr>
              <w:pStyle w:val="TableContents"/>
              <w:bidi w:val="0"/>
              <w:spacing w:before="0" w:after="0"/>
              <w:jc w:val="left"/>
              <w:rPr>
                <w:sz w:val="20"/>
              </w:rPr>
            </w:pPr>
            <w:r>
              <w:rPr>
                <w:sz w:val="20"/>
              </w:rPr>
              <w:t>Reports by Trustee to Holders of the Notes</w:t>
            </w:r>
          </w:p>
        </w:tc>
        <w:tc>
          <w:tcPr>
            <w:tcW w:w="245" w:type="dxa"/>
            <w:tcBorders/>
            <w:vAlign w:val="center"/>
          </w:tcPr>
          <w:p>
            <w:pPr>
              <w:pStyle w:val="TableContents"/>
              <w:bidi w:val="0"/>
              <w:spacing w:before="0" w:after="0"/>
              <w:jc w:val="right"/>
              <w:rPr>
                <w:sz w:val="20"/>
              </w:rPr>
            </w:pPr>
            <w:r>
              <w:rPr>
                <w:sz w:val="20"/>
              </w:rPr>
              <w:t>22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7.07</w:t>
            </w:r>
          </w:p>
        </w:tc>
        <w:tc>
          <w:tcPr>
            <w:tcW w:w="4205" w:type="dxa"/>
            <w:tcBorders/>
            <w:shd w:fill="CCEEFF" w:val="clear"/>
            <w:vAlign w:val="center"/>
          </w:tcPr>
          <w:p>
            <w:pPr>
              <w:pStyle w:val="TableContents"/>
              <w:bidi w:val="0"/>
              <w:spacing w:before="0" w:after="0"/>
              <w:jc w:val="left"/>
              <w:rPr>
                <w:sz w:val="20"/>
              </w:rPr>
            </w:pPr>
            <w:r>
              <w:rPr>
                <w:sz w:val="20"/>
              </w:rPr>
              <w:t>Compensation and Indemnity</w:t>
            </w:r>
          </w:p>
        </w:tc>
        <w:tc>
          <w:tcPr>
            <w:tcW w:w="245" w:type="dxa"/>
            <w:tcBorders/>
            <w:shd w:fill="CCEEFF" w:val="clear"/>
            <w:vAlign w:val="center"/>
          </w:tcPr>
          <w:p>
            <w:pPr>
              <w:pStyle w:val="TableContents"/>
              <w:bidi w:val="0"/>
              <w:spacing w:before="0" w:after="0"/>
              <w:jc w:val="right"/>
              <w:rPr>
                <w:sz w:val="20"/>
              </w:rPr>
            </w:pPr>
            <w:r>
              <w:rPr>
                <w:sz w:val="20"/>
              </w:rPr>
              <w:t>22</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7.08</w:t>
            </w:r>
          </w:p>
        </w:tc>
        <w:tc>
          <w:tcPr>
            <w:tcW w:w="4205" w:type="dxa"/>
            <w:tcBorders/>
            <w:vAlign w:val="center"/>
          </w:tcPr>
          <w:p>
            <w:pPr>
              <w:pStyle w:val="TableContents"/>
              <w:bidi w:val="0"/>
              <w:spacing w:before="0" w:after="0"/>
              <w:jc w:val="left"/>
              <w:rPr>
                <w:sz w:val="20"/>
              </w:rPr>
            </w:pPr>
            <w:r>
              <w:rPr>
                <w:sz w:val="20"/>
              </w:rPr>
              <w:t>Replacement of Trustee</w:t>
            </w:r>
          </w:p>
        </w:tc>
        <w:tc>
          <w:tcPr>
            <w:tcW w:w="245" w:type="dxa"/>
            <w:tcBorders/>
            <w:vAlign w:val="center"/>
          </w:tcPr>
          <w:p>
            <w:pPr>
              <w:pStyle w:val="TableContents"/>
              <w:bidi w:val="0"/>
              <w:spacing w:before="0" w:after="0"/>
              <w:jc w:val="right"/>
              <w:rPr>
                <w:sz w:val="20"/>
              </w:rPr>
            </w:pPr>
            <w:r>
              <w:rPr>
                <w:sz w:val="20"/>
              </w:rPr>
              <w:t>23</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7.09</w:t>
            </w:r>
          </w:p>
        </w:tc>
        <w:tc>
          <w:tcPr>
            <w:tcW w:w="4205" w:type="dxa"/>
            <w:tcBorders/>
            <w:shd w:fill="CCEEFF" w:val="clear"/>
            <w:vAlign w:val="center"/>
          </w:tcPr>
          <w:p>
            <w:pPr>
              <w:pStyle w:val="TableContents"/>
              <w:bidi w:val="0"/>
              <w:spacing w:before="0" w:after="0"/>
              <w:jc w:val="left"/>
              <w:rPr>
                <w:sz w:val="20"/>
              </w:rPr>
            </w:pPr>
            <w:r>
              <w:rPr>
                <w:sz w:val="20"/>
              </w:rPr>
              <w:t>Successor Trustee by Merger, etc</w:t>
            </w:r>
          </w:p>
        </w:tc>
        <w:tc>
          <w:tcPr>
            <w:tcW w:w="245" w:type="dxa"/>
            <w:tcBorders/>
            <w:shd w:fill="CCEEFF" w:val="clear"/>
            <w:vAlign w:val="center"/>
          </w:tcPr>
          <w:p>
            <w:pPr>
              <w:pStyle w:val="TableContents"/>
              <w:bidi w:val="0"/>
              <w:spacing w:before="0" w:after="0"/>
              <w:jc w:val="right"/>
              <w:rPr>
                <w:sz w:val="20"/>
              </w:rPr>
            </w:pPr>
            <w:r>
              <w:rPr>
                <w:sz w:val="20"/>
              </w:rPr>
              <w:t>24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7.10</w:t>
            </w:r>
          </w:p>
        </w:tc>
        <w:tc>
          <w:tcPr>
            <w:tcW w:w="4205" w:type="dxa"/>
            <w:tcBorders/>
            <w:vAlign w:val="center"/>
          </w:tcPr>
          <w:p>
            <w:pPr>
              <w:pStyle w:val="TableContents"/>
              <w:bidi w:val="0"/>
              <w:spacing w:before="0" w:after="0"/>
              <w:jc w:val="left"/>
              <w:rPr>
                <w:sz w:val="20"/>
              </w:rPr>
            </w:pPr>
            <w:r>
              <w:rPr>
                <w:sz w:val="20"/>
              </w:rPr>
              <w:t>Eligibility; Disqualification</w:t>
            </w:r>
          </w:p>
        </w:tc>
        <w:tc>
          <w:tcPr>
            <w:tcW w:w="245" w:type="dxa"/>
            <w:tcBorders/>
            <w:vAlign w:val="center"/>
          </w:tcPr>
          <w:p>
            <w:pPr>
              <w:pStyle w:val="TableContents"/>
              <w:bidi w:val="0"/>
              <w:spacing w:before="0" w:after="0"/>
              <w:jc w:val="right"/>
              <w:rPr>
                <w:sz w:val="20"/>
              </w:rPr>
            </w:pPr>
            <w:r>
              <w:rPr>
                <w:sz w:val="20"/>
              </w:rPr>
              <w:t>24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7.11</w:t>
            </w:r>
          </w:p>
        </w:tc>
        <w:tc>
          <w:tcPr>
            <w:tcW w:w="4205" w:type="dxa"/>
            <w:tcBorders/>
            <w:shd w:fill="CCEEFF" w:val="clear"/>
            <w:vAlign w:val="center"/>
          </w:tcPr>
          <w:p>
            <w:pPr>
              <w:pStyle w:val="TableContents"/>
              <w:bidi w:val="0"/>
              <w:spacing w:before="0" w:after="0"/>
              <w:jc w:val="left"/>
              <w:rPr>
                <w:sz w:val="20"/>
              </w:rPr>
            </w:pPr>
            <w:r>
              <w:rPr>
                <w:sz w:val="20"/>
              </w:rPr>
              <w:t>Preferential Collection of Claims Against Company</w:t>
            </w:r>
          </w:p>
        </w:tc>
        <w:tc>
          <w:tcPr>
            <w:tcW w:w="245" w:type="dxa"/>
            <w:tcBorders/>
            <w:shd w:fill="CCEEFF" w:val="clear"/>
            <w:vAlign w:val="center"/>
          </w:tcPr>
          <w:p>
            <w:pPr>
              <w:pStyle w:val="TableContents"/>
              <w:bidi w:val="0"/>
              <w:spacing w:before="0" w:after="0"/>
              <w:jc w:val="right"/>
              <w:rPr>
                <w:sz w:val="20"/>
              </w:rPr>
            </w:pPr>
            <w:r>
              <w:rPr>
                <w:sz w:val="20"/>
              </w:rPr>
              <w:t>24</w:t>
            </w:r>
          </w:p>
        </w:tc>
      </w:tr>
    </w:tbl>
    <w:tbl>
      <w:tblPr>
        <w:tblW w:w="6000" w:type="dxa"/>
        <w:jc w:val="left"/>
        <w:tblInd w:w="0" w:type="dxa"/>
        <w:tblLayout w:type="fixed"/>
        <w:tblCellMar>
          <w:top w:w="0" w:type="dxa"/>
          <w:left w:w="0" w:type="dxa"/>
          <w:bottom w:w="0" w:type="dxa"/>
          <w:right w:w="0" w:type="dxa"/>
        </w:tblCellMar>
      </w:tblPr>
      <w:tblGrid>
        <w:gridCol w:w="995"/>
        <w:gridCol w:w="4775"/>
        <w:gridCol w:w="230"/>
      </w:tblGrid>
      <w:tr>
        <w:trPr/>
        <w:tc>
          <w:tcPr>
            <w:tcW w:w="995"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sz w:val="20"/>
              </w:rPr>
            </w:pPr>
            <w:r>
              <w:rPr>
                <w:sz w:val="20"/>
              </w:rPr>
              <w:t>ARTICLE 8</w:t>
            </w:r>
          </w:p>
        </w:tc>
        <w:tc>
          <w:tcPr>
            <w:tcW w:w="4775" w:type="dxa"/>
            <w:tcBorders/>
            <w:shd w:fill="CCEEFF" w:val="clear"/>
            <w:vAlign w:val="center"/>
          </w:tcPr>
          <w:p>
            <w:pPr>
              <w:pStyle w:val="TableContents"/>
              <w:bidi w:val="0"/>
              <w:spacing w:before="0" w:after="283"/>
              <w:jc w:val="left"/>
              <w:rPr>
                <w:sz w:val="20"/>
              </w:rPr>
            </w:pPr>
            <w:r>
              <w:rPr>
                <w:sz w:val="20"/>
              </w:rPr>
              <w:t>LEGAL DEFEASANCE AND COVENANT DEFEASANCE</w:t>
            </w:r>
          </w:p>
        </w:tc>
        <w:tc>
          <w:tcPr>
            <w:tcW w:w="230" w:type="dxa"/>
            <w:tcBorders/>
            <w:shd w:fill="CCEEFF" w:val="clear"/>
            <w:vAlign w:val="center"/>
          </w:tcPr>
          <w:p>
            <w:pPr>
              <w:pStyle w:val="TableContents"/>
              <w:bidi w:val="0"/>
              <w:spacing w:before="0" w:after="283"/>
              <w:jc w:val="right"/>
              <w:rPr>
                <w:sz w:val="20"/>
              </w:rPr>
            </w:pPr>
            <w:r>
              <w:rPr>
                <w:sz w:val="20"/>
              </w:rPr>
              <w:t>24</w:t>
            </w:r>
          </w:p>
        </w:tc>
      </w:tr>
    </w:tbl>
    <w:tbl>
      <w:tblPr>
        <w:tblW w:w="9315" w:type="dxa"/>
        <w:jc w:val="left"/>
        <w:tblInd w:w="0" w:type="dxa"/>
        <w:tblLayout w:type="fixed"/>
        <w:tblCellMar>
          <w:top w:w="0" w:type="dxa"/>
          <w:left w:w="0" w:type="dxa"/>
          <w:bottom w:w="0" w:type="dxa"/>
          <w:right w:w="0" w:type="dxa"/>
        </w:tblCellMar>
      </w:tblPr>
      <w:tblGrid>
        <w:gridCol w:w="75"/>
        <w:gridCol w:w="1040"/>
        <w:gridCol w:w="7955"/>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8.01</w:t>
            </w:r>
          </w:p>
        </w:tc>
        <w:tc>
          <w:tcPr>
            <w:tcW w:w="7955" w:type="dxa"/>
            <w:tcBorders/>
            <w:vAlign w:val="center"/>
          </w:tcPr>
          <w:p>
            <w:pPr>
              <w:pStyle w:val="TableContents"/>
              <w:bidi w:val="0"/>
              <w:spacing w:before="0" w:after="0"/>
              <w:jc w:val="left"/>
              <w:rPr>
                <w:sz w:val="20"/>
              </w:rPr>
            </w:pPr>
            <w:r>
              <w:rPr>
                <w:sz w:val="20"/>
              </w:rPr>
              <w:t>Option to Effect Legal Defeasance or Covenant Defeasance</w:t>
            </w:r>
          </w:p>
        </w:tc>
        <w:tc>
          <w:tcPr>
            <w:tcW w:w="245" w:type="dxa"/>
            <w:tcBorders/>
            <w:vAlign w:val="center"/>
          </w:tcPr>
          <w:p>
            <w:pPr>
              <w:pStyle w:val="TableContents"/>
              <w:bidi w:val="0"/>
              <w:spacing w:before="0" w:after="0"/>
              <w:jc w:val="right"/>
              <w:rPr>
                <w:sz w:val="20"/>
              </w:rPr>
            </w:pPr>
            <w:r>
              <w:rPr>
                <w:sz w:val="20"/>
              </w:rPr>
              <w:t>24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8.02</w:t>
            </w:r>
          </w:p>
        </w:tc>
        <w:tc>
          <w:tcPr>
            <w:tcW w:w="7955" w:type="dxa"/>
            <w:tcBorders/>
            <w:shd w:fill="CCEEFF" w:val="clear"/>
            <w:vAlign w:val="center"/>
          </w:tcPr>
          <w:p>
            <w:pPr>
              <w:pStyle w:val="TableContents"/>
              <w:bidi w:val="0"/>
              <w:spacing w:before="0" w:after="0"/>
              <w:jc w:val="left"/>
              <w:rPr>
                <w:sz w:val="20"/>
              </w:rPr>
            </w:pPr>
            <w:r>
              <w:rPr>
                <w:sz w:val="20"/>
              </w:rPr>
              <w:t>Legal Defeasance and Discharge</w:t>
            </w:r>
          </w:p>
        </w:tc>
        <w:tc>
          <w:tcPr>
            <w:tcW w:w="245" w:type="dxa"/>
            <w:tcBorders/>
            <w:shd w:fill="CCEEFF" w:val="clear"/>
            <w:vAlign w:val="center"/>
          </w:tcPr>
          <w:p>
            <w:pPr>
              <w:pStyle w:val="TableContents"/>
              <w:bidi w:val="0"/>
              <w:spacing w:before="0" w:after="0"/>
              <w:jc w:val="right"/>
              <w:rPr>
                <w:sz w:val="20"/>
              </w:rPr>
            </w:pPr>
            <w:r>
              <w:rPr>
                <w:sz w:val="20"/>
              </w:rPr>
              <w:t>24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8.03</w:t>
            </w:r>
          </w:p>
        </w:tc>
        <w:tc>
          <w:tcPr>
            <w:tcW w:w="7955" w:type="dxa"/>
            <w:tcBorders/>
            <w:vAlign w:val="center"/>
          </w:tcPr>
          <w:p>
            <w:pPr>
              <w:pStyle w:val="TableContents"/>
              <w:bidi w:val="0"/>
              <w:spacing w:before="0" w:after="0"/>
              <w:jc w:val="left"/>
              <w:rPr>
                <w:sz w:val="20"/>
              </w:rPr>
            </w:pPr>
            <w:r>
              <w:rPr>
                <w:sz w:val="20"/>
              </w:rPr>
              <w:t>Covenant Defeasance</w:t>
            </w:r>
          </w:p>
        </w:tc>
        <w:tc>
          <w:tcPr>
            <w:tcW w:w="245" w:type="dxa"/>
            <w:tcBorders/>
            <w:vAlign w:val="center"/>
          </w:tcPr>
          <w:p>
            <w:pPr>
              <w:pStyle w:val="TableContents"/>
              <w:bidi w:val="0"/>
              <w:spacing w:before="0" w:after="0"/>
              <w:jc w:val="right"/>
              <w:rPr>
                <w:sz w:val="20"/>
              </w:rPr>
            </w:pPr>
            <w:r>
              <w:rPr>
                <w:sz w:val="20"/>
              </w:rPr>
              <w:t>25</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8.04</w:t>
            </w:r>
          </w:p>
        </w:tc>
        <w:tc>
          <w:tcPr>
            <w:tcW w:w="7955" w:type="dxa"/>
            <w:tcBorders/>
            <w:shd w:fill="CCEEFF" w:val="clear"/>
            <w:vAlign w:val="center"/>
          </w:tcPr>
          <w:p>
            <w:pPr>
              <w:pStyle w:val="TableContents"/>
              <w:bidi w:val="0"/>
              <w:spacing w:before="0" w:after="0"/>
              <w:jc w:val="left"/>
              <w:rPr>
                <w:sz w:val="20"/>
              </w:rPr>
            </w:pPr>
            <w:r>
              <w:rPr>
                <w:sz w:val="20"/>
              </w:rPr>
              <w:t>Conditions to Legal or Covenant Defeasance</w:t>
            </w:r>
          </w:p>
        </w:tc>
        <w:tc>
          <w:tcPr>
            <w:tcW w:w="245" w:type="dxa"/>
            <w:tcBorders/>
            <w:shd w:fill="CCEEFF" w:val="clear"/>
            <w:vAlign w:val="center"/>
          </w:tcPr>
          <w:p>
            <w:pPr>
              <w:pStyle w:val="TableContents"/>
              <w:bidi w:val="0"/>
              <w:spacing w:before="0" w:after="0"/>
              <w:jc w:val="right"/>
              <w:rPr>
                <w:sz w:val="20"/>
              </w:rPr>
            </w:pPr>
            <w:r>
              <w:rPr>
                <w:sz w:val="20"/>
              </w:rPr>
              <w:t>25</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8.05</w:t>
            </w:r>
          </w:p>
        </w:tc>
        <w:tc>
          <w:tcPr>
            <w:tcW w:w="7955" w:type="dxa"/>
            <w:tcBorders/>
            <w:vAlign w:val="center"/>
          </w:tcPr>
          <w:p>
            <w:pPr>
              <w:pStyle w:val="TableContents"/>
              <w:bidi w:val="0"/>
              <w:spacing w:before="0" w:after="0"/>
              <w:jc w:val="left"/>
              <w:rPr>
                <w:sz w:val="20"/>
              </w:rPr>
            </w:pPr>
            <w:r>
              <w:rPr>
                <w:sz w:val="20"/>
              </w:rPr>
              <w:t>Deposited Money and Government Securities to be Held in Trust; Other Miscellaneous Provisions</w:t>
            </w:r>
          </w:p>
        </w:tc>
        <w:tc>
          <w:tcPr>
            <w:tcW w:w="245" w:type="dxa"/>
            <w:tcBorders/>
            <w:vAlign w:val="center"/>
          </w:tcPr>
          <w:p>
            <w:pPr>
              <w:pStyle w:val="TableContents"/>
              <w:bidi w:val="0"/>
              <w:spacing w:before="0" w:after="0"/>
              <w:jc w:val="right"/>
              <w:rPr>
                <w:sz w:val="20"/>
              </w:rPr>
            </w:pPr>
            <w:r>
              <w:rPr>
                <w:sz w:val="20"/>
              </w:rPr>
              <w:t>26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8.06</w:t>
            </w:r>
          </w:p>
        </w:tc>
        <w:tc>
          <w:tcPr>
            <w:tcW w:w="7955" w:type="dxa"/>
            <w:tcBorders/>
            <w:shd w:fill="CCEEFF" w:val="clear"/>
            <w:vAlign w:val="center"/>
          </w:tcPr>
          <w:p>
            <w:pPr>
              <w:pStyle w:val="TableContents"/>
              <w:bidi w:val="0"/>
              <w:spacing w:before="0" w:after="0"/>
              <w:jc w:val="left"/>
              <w:rPr>
                <w:sz w:val="20"/>
              </w:rPr>
            </w:pPr>
            <w:r>
              <w:rPr>
                <w:sz w:val="20"/>
              </w:rPr>
              <w:t>Repayment to Company</w:t>
            </w:r>
          </w:p>
        </w:tc>
        <w:tc>
          <w:tcPr>
            <w:tcW w:w="245" w:type="dxa"/>
            <w:tcBorders/>
            <w:shd w:fill="CCEEFF" w:val="clear"/>
            <w:vAlign w:val="center"/>
          </w:tcPr>
          <w:p>
            <w:pPr>
              <w:pStyle w:val="TableContents"/>
              <w:bidi w:val="0"/>
              <w:spacing w:before="0" w:after="0"/>
              <w:jc w:val="right"/>
              <w:rPr>
                <w:sz w:val="20"/>
              </w:rPr>
            </w:pPr>
            <w:r>
              <w:rPr>
                <w:sz w:val="20"/>
              </w:rPr>
              <w:t>26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8.07</w:t>
            </w:r>
          </w:p>
        </w:tc>
        <w:tc>
          <w:tcPr>
            <w:tcW w:w="7955" w:type="dxa"/>
            <w:tcBorders/>
            <w:vAlign w:val="center"/>
          </w:tcPr>
          <w:p>
            <w:pPr>
              <w:pStyle w:val="TableContents"/>
              <w:bidi w:val="0"/>
              <w:spacing w:before="0" w:after="0"/>
              <w:jc w:val="left"/>
              <w:rPr>
                <w:sz w:val="20"/>
              </w:rPr>
            </w:pPr>
            <w:r>
              <w:rPr>
                <w:sz w:val="20"/>
              </w:rPr>
              <w:t>Reinstatement</w:t>
            </w:r>
          </w:p>
        </w:tc>
        <w:tc>
          <w:tcPr>
            <w:tcW w:w="245" w:type="dxa"/>
            <w:tcBorders/>
            <w:vAlign w:val="center"/>
          </w:tcPr>
          <w:p>
            <w:pPr>
              <w:pStyle w:val="TableContents"/>
              <w:bidi w:val="0"/>
              <w:spacing w:before="0" w:after="0"/>
              <w:jc w:val="right"/>
              <w:rPr>
                <w:sz w:val="20"/>
              </w:rPr>
            </w:pPr>
            <w:r>
              <w:rPr>
                <w:sz w:val="20"/>
              </w:rPr>
              <w:t>27</w:t>
            </w:r>
          </w:p>
        </w:tc>
      </w:tr>
    </w:tbl>
    <w:tbl>
      <w:tblPr>
        <w:tblW w:w="5100" w:type="dxa"/>
        <w:jc w:val="left"/>
        <w:tblInd w:w="0" w:type="dxa"/>
        <w:tblLayout w:type="fixed"/>
        <w:tblCellMar>
          <w:top w:w="0" w:type="dxa"/>
          <w:left w:w="0" w:type="dxa"/>
          <w:bottom w:w="0" w:type="dxa"/>
          <w:right w:w="0" w:type="dxa"/>
        </w:tblCellMar>
      </w:tblPr>
      <w:tblGrid>
        <w:gridCol w:w="995"/>
        <w:gridCol w:w="3875"/>
        <w:gridCol w:w="230"/>
      </w:tblGrid>
      <w:tr>
        <w:trPr/>
        <w:tc>
          <w:tcPr>
            <w:tcW w:w="995" w:type="dxa"/>
            <w:tcBorders/>
            <w:shd w:fill="CCEEFF" w:val="clear"/>
            <w:vAlign w:val="center"/>
          </w:tcPr>
          <w:p>
            <w:pPr>
              <w:pStyle w:val="TableContents"/>
              <w:bidi w:val="0"/>
              <w:spacing w:before="0" w:after="283"/>
              <w:jc w:val="left"/>
              <w:rPr/>
            </w:pPr>
            <w:r>
              <w:rPr/>
              <w:t> </w:t>
            </w:r>
          </w:p>
        </w:tc>
        <w:tc>
          <w:tcPr>
            <w:tcW w:w="387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ARTICLE 9</w:t>
            </w:r>
          </w:p>
        </w:tc>
        <w:tc>
          <w:tcPr>
            <w:tcW w:w="3875" w:type="dxa"/>
            <w:tcBorders/>
            <w:vAlign w:val="center"/>
          </w:tcPr>
          <w:p>
            <w:pPr>
              <w:pStyle w:val="TableContents"/>
              <w:bidi w:val="0"/>
              <w:spacing w:before="0" w:after="283"/>
              <w:jc w:val="left"/>
              <w:rPr>
                <w:sz w:val="20"/>
              </w:rPr>
            </w:pPr>
            <w:r>
              <w:rPr>
                <w:sz w:val="20"/>
              </w:rPr>
              <w:t>AMENDMENT, SUPPLEMENT AND WAIVER</w:t>
            </w:r>
          </w:p>
        </w:tc>
        <w:tc>
          <w:tcPr>
            <w:tcW w:w="230" w:type="dxa"/>
            <w:tcBorders/>
            <w:vAlign w:val="center"/>
          </w:tcPr>
          <w:p>
            <w:pPr>
              <w:pStyle w:val="TableContents"/>
              <w:bidi w:val="0"/>
              <w:spacing w:before="0" w:after="283"/>
              <w:jc w:val="right"/>
              <w:rPr>
                <w:sz w:val="20"/>
              </w:rPr>
            </w:pPr>
            <w:r>
              <w:rPr>
                <w:sz w:val="20"/>
              </w:rPr>
              <w:t>27</w:t>
            </w:r>
          </w:p>
        </w:tc>
      </w:tr>
    </w:tbl>
    <w:tbl>
      <w:tblPr>
        <w:tblW w:w="4395" w:type="dxa"/>
        <w:jc w:val="left"/>
        <w:tblInd w:w="0" w:type="dxa"/>
        <w:tblLayout w:type="fixed"/>
        <w:tblCellMar>
          <w:top w:w="0" w:type="dxa"/>
          <w:left w:w="0" w:type="dxa"/>
          <w:bottom w:w="0" w:type="dxa"/>
          <w:right w:w="0" w:type="dxa"/>
        </w:tblCellMar>
      </w:tblPr>
      <w:tblGrid>
        <w:gridCol w:w="75"/>
        <w:gridCol w:w="1040"/>
        <w:gridCol w:w="3035"/>
        <w:gridCol w:w="245"/>
      </w:tblGrid>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9.01</w:t>
            </w:r>
          </w:p>
        </w:tc>
        <w:tc>
          <w:tcPr>
            <w:tcW w:w="3035" w:type="dxa"/>
            <w:tcBorders/>
            <w:shd w:fill="CCEEFF" w:val="clear"/>
            <w:vAlign w:val="center"/>
          </w:tcPr>
          <w:p>
            <w:pPr>
              <w:pStyle w:val="TableContents"/>
              <w:bidi w:val="0"/>
              <w:spacing w:before="0" w:after="0"/>
              <w:jc w:val="left"/>
              <w:rPr>
                <w:sz w:val="20"/>
              </w:rPr>
            </w:pPr>
            <w:r>
              <w:rPr>
                <w:sz w:val="20"/>
              </w:rPr>
              <w:t>Without Consent of Holders of Notes</w:t>
            </w:r>
          </w:p>
        </w:tc>
        <w:tc>
          <w:tcPr>
            <w:tcW w:w="245" w:type="dxa"/>
            <w:tcBorders/>
            <w:shd w:fill="CCEEFF" w:val="clear"/>
            <w:vAlign w:val="center"/>
          </w:tcPr>
          <w:p>
            <w:pPr>
              <w:pStyle w:val="TableContents"/>
              <w:bidi w:val="0"/>
              <w:spacing w:before="0" w:after="0"/>
              <w:jc w:val="right"/>
              <w:rPr>
                <w:sz w:val="20"/>
              </w:rPr>
            </w:pPr>
            <w:r>
              <w:rPr>
                <w:sz w:val="20"/>
              </w:rPr>
              <w:t>27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9.02</w:t>
            </w:r>
          </w:p>
        </w:tc>
        <w:tc>
          <w:tcPr>
            <w:tcW w:w="3035" w:type="dxa"/>
            <w:tcBorders/>
            <w:vAlign w:val="center"/>
          </w:tcPr>
          <w:p>
            <w:pPr>
              <w:pStyle w:val="TableContents"/>
              <w:bidi w:val="0"/>
              <w:spacing w:before="0" w:after="0"/>
              <w:jc w:val="left"/>
              <w:rPr>
                <w:sz w:val="20"/>
              </w:rPr>
            </w:pPr>
            <w:r>
              <w:rPr>
                <w:sz w:val="20"/>
              </w:rPr>
              <w:t>With Consent of Holders of Notes</w:t>
            </w:r>
          </w:p>
        </w:tc>
        <w:tc>
          <w:tcPr>
            <w:tcW w:w="245" w:type="dxa"/>
            <w:tcBorders/>
            <w:vAlign w:val="center"/>
          </w:tcPr>
          <w:p>
            <w:pPr>
              <w:pStyle w:val="TableContents"/>
              <w:bidi w:val="0"/>
              <w:spacing w:before="0" w:after="0"/>
              <w:jc w:val="right"/>
              <w:rPr>
                <w:sz w:val="20"/>
              </w:rPr>
            </w:pPr>
            <w:r>
              <w:rPr>
                <w:sz w:val="20"/>
              </w:rPr>
              <w:t>28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9.03</w:t>
            </w:r>
          </w:p>
        </w:tc>
        <w:tc>
          <w:tcPr>
            <w:tcW w:w="3035" w:type="dxa"/>
            <w:tcBorders/>
            <w:shd w:fill="CCEEFF" w:val="clear"/>
            <w:vAlign w:val="center"/>
          </w:tcPr>
          <w:p>
            <w:pPr>
              <w:pStyle w:val="TableContents"/>
              <w:bidi w:val="0"/>
              <w:spacing w:before="0" w:after="0"/>
              <w:jc w:val="left"/>
              <w:rPr>
                <w:sz w:val="20"/>
              </w:rPr>
            </w:pPr>
            <w:r>
              <w:rPr>
                <w:sz w:val="20"/>
              </w:rPr>
              <w:t>Compliance with Trust Indenture Act</w:t>
            </w:r>
          </w:p>
        </w:tc>
        <w:tc>
          <w:tcPr>
            <w:tcW w:w="245" w:type="dxa"/>
            <w:tcBorders/>
            <w:shd w:fill="CCEEFF" w:val="clear"/>
            <w:vAlign w:val="center"/>
          </w:tcPr>
          <w:p>
            <w:pPr>
              <w:pStyle w:val="TableContents"/>
              <w:bidi w:val="0"/>
              <w:spacing w:before="0" w:after="0"/>
              <w:jc w:val="right"/>
              <w:rPr>
                <w:sz w:val="20"/>
              </w:rPr>
            </w:pPr>
            <w:r>
              <w:rPr>
                <w:sz w:val="20"/>
              </w:rPr>
              <w:t>28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9.04</w:t>
            </w:r>
          </w:p>
        </w:tc>
        <w:tc>
          <w:tcPr>
            <w:tcW w:w="3035" w:type="dxa"/>
            <w:tcBorders/>
            <w:vAlign w:val="center"/>
          </w:tcPr>
          <w:p>
            <w:pPr>
              <w:pStyle w:val="TableContents"/>
              <w:bidi w:val="0"/>
              <w:spacing w:before="0" w:after="0"/>
              <w:jc w:val="left"/>
              <w:rPr>
                <w:sz w:val="20"/>
              </w:rPr>
            </w:pPr>
            <w:r>
              <w:rPr>
                <w:sz w:val="20"/>
              </w:rPr>
              <w:t>Revocation and Effect of Consents</w:t>
            </w:r>
          </w:p>
        </w:tc>
        <w:tc>
          <w:tcPr>
            <w:tcW w:w="245" w:type="dxa"/>
            <w:tcBorders/>
            <w:vAlign w:val="center"/>
          </w:tcPr>
          <w:p>
            <w:pPr>
              <w:pStyle w:val="TableContents"/>
              <w:bidi w:val="0"/>
              <w:spacing w:before="0" w:after="0"/>
              <w:jc w:val="right"/>
              <w:rPr>
                <w:sz w:val="20"/>
              </w:rPr>
            </w:pPr>
            <w:r>
              <w:rPr>
                <w:sz w:val="20"/>
              </w:rPr>
              <w:t>29</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sz w:val="20"/>
              </w:rPr>
            </w:pPr>
            <w:r>
              <w:rPr>
                <w:sz w:val="20"/>
              </w:rPr>
              <w:t>Section 9.05</w:t>
            </w:r>
          </w:p>
        </w:tc>
        <w:tc>
          <w:tcPr>
            <w:tcW w:w="3035" w:type="dxa"/>
            <w:tcBorders/>
            <w:shd w:fill="CCEEFF" w:val="clear"/>
            <w:vAlign w:val="center"/>
          </w:tcPr>
          <w:p>
            <w:pPr>
              <w:pStyle w:val="TableContents"/>
              <w:bidi w:val="0"/>
              <w:spacing w:before="0" w:after="0"/>
              <w:jc w:val="left"/>
              <w:rPr>
                <w:sz w:val="20"/>
              </w:rPr>
            </w:pPr>
            <w:r>
              <w:rPr>
                <w:sz w:val="20"/>
              </w:rPr>
              <w:t>Notation on or Exchange of Notes</w:t>
            </w:r>
          </w:p>
        </w:tc>
        <w:tc>
          <w:tcPr>
            <w:tcW w:w="245" w:type="dxa"/>
            <w:tcBorders/>
            <w:shd w:fill="CCEEFF" w:val="clear"/>
            <w:vAlign w:val="center"/>
          </w:tcPr>
          <w:p>
            <w:pPr>
              <w:pStyle w:val="TableContents"/>
              <w:bidi w:val="0"/>
              <w:spacing w:before="0" w:after="0"/>
              <w:jc w:val="right"/>
              <w:rPr>
                <w:sz w:val="20"/>
              </w:rPr>
            </w:pPr>
            <w:r>
              <w:rPr>
                <w:sz w:val="20"/>
              </w:rPr>
              <w:t>29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sz w:val="20"/>
              </w:rPr>
            </w:pPr>
            <w:r>
              <w:rPr>
                <w:sz w:val="20"/>
              </w:rPr>
              <w:t>Section 9.06</w:t>
            </w:r>
          </w:p>
        </w:tc>
        <w:tc>
          <w:tcPr>
            <w:tcW w:w="3035" w:type="dxa"/>
            <w:tcBorders/>
            <w:vAlign w:val="center"/>
          </w:tcPr>
          <w:p>
            <w:pPr>
              <w:pStyle w:val="TableContents"/>
              <w:bidi w:val="0"/>
              <w:spacing w:before="0" w:after="0"/>
              <w:jc w:val="left"/>
              <w:rPr>
                <w:sz w:val="20"/>
              </w:rPr>
            </w:pPr>
            <w:r>
              <w:rPr>
                <w:sz w:val="20"/>
              </w:rPr>
              <w:t>Trustee to Sign Amendments, etc</w:t>
            </w:r>
          </w:p>
        </w:tc>
        <w:tc>
          <w:tcPr>
            <w:tcW w:w="245" w:type="dxa"/>
            <w:tcBorders/>
            <w:vAlign w:val="center"/>
          </w:tcPr>
          <w:p>
            <w:pPr>
              <w:pStyle w:val="TableContents"/>
              <w:bidi w:val="0"/>
              <w:spacing w:before="0" w:after="0"/>
              <w:jc w:val="right"/>
              <w:rPr>
                <w:sz w:val="20"/>
              </w:rPr>
            </w:pPr>
            <w:r>
              <w:rPr>
                <w:sz w:val="20"/>
              </w:rPr>
              <w:t>29</w:t>
            </w:r>
          </w:p>
        </w:tc>
      </w:tr>
    </w:tbl>
    <w:tbl>
      <w:tblPr>
        <w:tblW w:w="4290" w:type="dxa"/>
        <w:jc w:val="left"/>
        <w:tblInd w:w="0" w:type="dxa"/>
        <w:tblLayout w:type="fixed"/>
        <w:tblCellMar>
          <w:top w:w="0" w:type="dxa"/>
          <w:left w:w="0" w:type="dxa"/>
          <w:bottom w:w="0" w:type="dxa"/>
          <w:right w:w="0" w:type="dxa"/>
        </w:tblCellMar>
      </w:tblPr>
      <w:tblGrid>
        <w:gridCol w:w="1100"/>
        <w:gridCol w:w="2960"/>
        <w:gridCol w:w="230"/>
      </w:tblGrid>
      <w:tr>
        <w:trPr/>
        <w:tc>
          <w:tcPr>
            <w:tcW w:w="1100" w:type="dxa"/>
            <w:tcBorders/>
            <w:shd w:fill="CCEEFF" w:val="clear"/>
            <w:vAlign w:val="center"/>
          </w:tcPr>
          <w:p>
            <w:pPr>
              <w:pStyle w:val="TableContents"/>
              <w:bidi w:val="0"/>
              <w:spacing w:before="0" w:after="283"/>
              <w:jc w:val="left"/>
              <w:rPr/>
            </w:pPr>
            <w:r>
              <w:rPr/>
              <w:t> </w:t>
            </w:r>
          </w:p>
        </w:tc>
        <w:tc>
          <w:tcPr>
            <w:tcW w:w="29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20"/>
              </w:rPr>
            </w:pPr>
            <w:r>
              <w:rPr>
                <w:sz w:val="20"/>
              </w:rPr>
              <w:t>ARTICLE 10</w:t>
            </w:r>
          </w:p>
        </w:tc>
        <w:tc>
          <w:tcPr>
            <w:tcW w:w="2960" w:type="dxa"/>
            <w:tcBorders/>
            <w:vAlign w:val="center"/>
          </w:tcPr>
          <w:p>
            <w:pPr>
              <w:pStyle w:val="TableContents"/>
              <w:bidi w:val="0"/>
              <w:spacing w:before="0" w:after="283"/>
              <w:jc w:val="left"/>
              <w:rPr>
                <w:sz w:val="20"/>
              </w:rPr>
            </w:pPr>
            <w:r>
              <w:rPr>
                <w:sz w:val="20"/>
              </w:rPr>
              <w:t>SATISFACTION AND DISCHARGE</w:t>
            </w:r>
          </w:p>
        </w:tc>
        <w:tc>
          <w:tcPr>
            <w:tcW w:w="230" w:type="dxa"/>
            <w:tcBorders/>
            <w:vAlign w:val="center"/>
          </w:tcPr>
          <w:p>
            <w:pPr>
              <w:pStyle w:val="TableContents"/>
              <w:bidi w:val="0"/>
              <w:spacing w:before="0" w:after="283"/>
              <w:jc w:val="right"/>
              <w:rPr>
                <w:sz w:val="20"/>
              </w:rPr>
            </w:pPr>
            <w:r>
              <w:rPr>
                <w:sz w:val="20"/>
              </w:rPr>
              <w:t>29</w:t>
            </w:r>
          </w:p>
        </w:tc>
      </w:tr>
    </w:tbl>
    <w:tbl>
      <w:tblPr>
        <w:tblW w:w="3765" w:type="dxa"/>
        <w:jc w:val="left"/>
        <w:tblInd w:w="0" w:type="dxa"/>
        <w:tblLayout w:type="fixed"/>
        <w:tblCellMar>
          <w:top w:w="0" w:type="dxa"/>
          <w:left w:w="0" w:type="dxa"/>
          <w:bottom w:w="0" w:type="dxa"/>
          <w:right w:w="0" w:type="dxa"/>
        </w:tblCellMar>
      </w:tblPr>
      <w:tblGrid>
        <w:gridCol w:w="75"/>
        <w:gridCol w:w="1145"/>
        <w:gridCol w:w="2300"/>
        <w:gridCol w:w="245"/>
      </w:tblGrid>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10.01</w:t>
            </w:r>
          </w:p>
        </w:tc>
        <w:tc>
          <w:tcPr>
            <w:tcW w:w="2300" w:type="dxa"/>
            <w:tcBorders/>
            <w:shd w:fill="CCEEFF" w:val="clear"/>
            <w:vAlign w:val="center"/>
          </w:tcPr>
          <w:p>
            <w:pPr>
              <w:pStyle w:val="TableContents"/>
              <w:bidi w:val="0"/>
              <w:spacing w:before="0" w:after="0"/>
              <w:jc w:val="left"/>
              <w:rPr>
                <w:sz w:val="20"/>
              </w:rPr>
            </w:pPr>
            <w:r>
              <w:rPr>
                <w:sz w:val="20"/>
              </w:rPr>
              <w:t>Satisfaction and Discharge</w:t>
            </w:r>
          </w:p>
        </w:tc>
        <w:tc>
          <w:tcPr>
            <w:tcW w:w="245" w:type="dxa"/>
            <w:tcBorders/>
            <w:shd w:fill="CCEEFF" w:val="clear"/>
            <w:vAlign w:val="center"/>
          </w:tcPr>
          <w:p>
            <w:pPr>
              <w:pStyle w:val="TableContents"/>
              <w:bidi w:val="0"/>
              <w:spacing w:before="0" w:after="0"/>
              <w:jc w:val="right"/>
              <w:rPr>
                <w:sz w:val="20"/>
              </w:rPr>
            </w:pPr>
            <w:r>
              <w:rPr>
                <w:sz w:val="20"/>
              </w:rPr>
              <w:t>29</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10.02</w:t>
            </w:r>
          </w:p>
        </w:tc>
        <w:tc>
          <w:tcPr>
            <w:tcW w:w="2300" w:type="dxa"/>
            <w:tcBorders/>
            <w:vAlign w:val="center"/>
          </w:tcPr>
          <w:p>
            <w:pPr>
              <w:pStyle w:val="TableContents"/>
              <w:bidi w:val="0"/>
              <w:spacing w:before="0" w:after="0"/>
              <w:jc w:val="left"/>
              <w:rPr>
                <w:sz w:val="20"/>
              </w:rPr>
            </w:pPr>
            <w:r>
              <w:rPr>
                <w:sz w:val="20"/>
              </w:rPr>
              <w:t>Application of Trust Money</w:t>
            </w:r>
          </w:p>
        </w:tc>
        <w:tc>
          <w:tcPr>
            <w:tcW w:w="245" w:type="dxa"/>
            <w:tcBorders/>
            <w:vAlign w:val="center"/>
          </w:tcPr>
          <w:p>
            <w:pPr>
              <w:pStyle w:val="TableContents"/>
              <w:bidi w:val="0"/>
              <w:spacing w:before="0" w:after="0"/>
              <w:jc w:val="right"/>
              <w:rPr>
                <w:sz w:val="20"/>
              </w:rPr>
            </w:pPr>
            <w:r>
              <w:rPr>
                <w:sz w:val="20"/>
              </w:rPr>
              <w:t>30</w:t>
            </w:r>
          </w:p>
        </w:tc>
      </w:tr>
    </w:tbl>
    <w:tbl>
      <w:tblPr>
        <w:tblW w:w="2955" w:type="dxa"/>
        <w:jc w:val="left"/>
        <w:tblInd w:w="0" w:type="dxa"/>
        <w:tblLayout w:type="fixed"/>
        <w:tblCellMar>
          <w:top w:w="0" w:type="dxa"/>
          <w:left w:w="0" w:type="dxa"/>
          <w:bottom w:w="0" w:type="dxa"/>
          <w:right w:w="0" w:type="dxa"/>
        </w:tblCellMar>
      </w:tblPr>
      <w:tblGrid>
        <w:gridCol w:w="1100"/>
        <w:gridCol w:w="1625"/>
        <w:gridCol w:w="230"/>
      </w:tblGrid>
      <w:tr>
        <w:trPr/>
        <w:tc>
          <w:tcPr>
            <w:tcW w:w="110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sz w:val="20"/>
              </w:rPr>
            </w:pPr>
            <w:r>
              <w:rPr>
                <w:sz w:val="20"/>
              </w:rPr>
              <w:t>ARTICLE 11</w:t>
            </w:r>
          </w:p>
        </w:tc>
        <w:tc>
          <w:tcPr>
            <w:tcW w:w="1625" w:type="dxa"/>
            <w:tcBorders/>
            <w:vAlign w:val="center"/>
          </w:tcPr>
          <w:p>
            <w:pPr>
              <w:pStyle w:val="TableContents"/>
              <w:bidi w:val="0"/>
              <w:spacing w:before="0" w:after="0"/>
              <w:jc w:val="left"/>
              <w:rPr>
                <w:sz w:val="20"/>
              </w:rPr>
            </w:pPr>
            <w:r>
              <w:rPr>
                <w:sz w:val="20"/>
              </w:rPr>
              <w:t>MISCELLANEOUS</w:t>
            </w:r>
          </w:p>
        </w:tc>
        <w:tc>
          <w:tcPr>
            <w:tcW w:w="230" w:type="dxa"/>
            <w:tcBorders/>
            <w:vAlign w:val="center"/>
          </w:tcPr>
          <w:p>
            <w:pPr>
              <w:pStyle w:val="TableContents"/>
              <w:bidi w:val="0"/>
              <w:spacing w:before="0" w:after="0"/>
              <w:jc w:val="right"/>
              <w:rPr>
                <w:sz w:val="20"/>
              </w:rPr>
            </w:pPr>
            <w:r>
              <w:rPr>
                <w:sz w:val="20"/>
              </w:rPr>
              <w:t>30</w:t>
            </w:r>
          </w:p>
        </w:tc>
      </w:tr>
    </w:tbl>
    <w:tbl>
      <w:tblPr>
        <w:tblW w:w="7365" w:type="dxa"/>
        <w:jc w:val="left"/>
        <w:tblInd w:w="0" w:type="dxa"/>
        <w:tblLayout w:type="fixed"/>
        <w:tblCellMar>
          <w:top w:w="0" w:type="dxa"/>
          <w:left w:w="0" w:type="dxa"/>
          <w:bottom w:w="0" w:type="dxa"/>
          <w:right w:w="0" w:type="dxa"/>
        </w:tblCellMar>
      </w:tblPr>
      <w:tblGrid>
        <w:gridCol w:w="75"/>
        <w:gridCol w:w="1145"/>
        <w:gridCol w:w="5900"/>
        <w:gridCol w:w="245"/>
      </w:tblGrid>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11.01</w:t>
            </w:r>
          </w:p>
        </w:tc>
        <w:tc>
          <w:tcPr>
            <w:tcW w:w="5900" w:type="dxa"/>
            <w:tcBorders/>
            <w:shd w:fill="CCEEFF" w:val="clear"/>
            <w:vAlign w:val="center"/>
          </w:tcPr>
          <w:p>
            <w:pPr>
              <w:pStyle w:val="TableContents"/>
              <w:bidi w:val="0"/>
              <w:spacing w:before="0" w:after="0"/>
              <w:jc w:val="left"/>
              <w:rPr>
                <w:sz w:val="20"/>
              </w:rPr>
            </w:pPr>
            <w:r>
              <w:rPr>
                <w:sz w:val="20"/>
              </w:rPr>
              <w:t>Trust Indenture Act Controls</w:t>
            </w:r>
          </w:p>
        </w:tc>
        <w:tc>
          <w:tcPr>
            <w:tcW w:w="245" w:type="dxa"/>
            <w:tcBorders/>
            <w:shd w:fill="CCEEFF" w:val="clear"/>
            <w:vAlign w:val="center"/>
          </w:tcPr>
          <w:p>
            <w:pPr>
              <w:pStyle w:val="TableContents"/>
              <w:bidi w:val="0"/>
              <w:spacing w:before="0" w:after="0"/>
              <w:jc w:val="right"/>
              <w:rPr>
                <w:sz w:val="20"/>
              </w:rPr>
            </w:pPr>
            <w:r>
              <w:rPr>
                <w:sz w:val="20"/>
              </w:rPr>
              <w:t>30</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11.02</w:t>
            </w:r>
          </w:p>
        </w:tc>
        <w:tc>
          <w:tcPr>
            <w:tcW w:w="5900" w:type="dxa"/>
            <w:tcBorders/>
            <w:vAlign w:val="center"/>
          </w:tcPr>
          <w:p>
            <w:pPr>
              <w:pStyle w:val="TableContents"/>
              <w:bidi w:val="0"/>
              <w:spacing w:before="0" w:after="0"/>
              <w:jc w:val="left"/>
              <w:rPr>
                <w:sz w:val="20"/>
              </w:rPr>
            </w:pPr>
            <w:r>
              <w:rPr>
                <w:sz w:val="20"/>
              </w:rPr>
              <w:t>Notices</w:t>
            </w:r>
          </w:p>
        </w:tc>
        <w:tc>
          <w:tcPr>
            <w:tcW w:w="245" w:type="dxa"/>
            <w:tcBorders/>
            <w:vAlign w:val="center"/>
          </w:tcPr>
          <w:p>
            <w:pPr>
              <w:pStyle w:val="TableContents"/>
              <w:bidi w:val="0"/>
              <w:spacing w:before="0" w:after="0"/>
              <w:jc w:val="right"/>
              <w:rPr>
                <w:sz w:val="20"/>
              </w:rPr>
            </w:pPr>
            <w:r>
              <w:rPr>
                <w:sz w:val="20"/>
              </w:rPr>
              <w:t>30</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11.03</w:t>
            </w:r>
          </w:p>
        </w:tc>
        <w:tc>
          <w:tcPr>
            <w:tcW w:w="5900" w:type="dxa"/>
            <w:tcBorders/>
            <w:shd w:fill="CCEEFF" w:val="clear"/>
            <w:vAlign w:val="center"/>
          </w:tcPr>
          <w:p>
            <w:pPr>
              <w:pStyle w:val="TableContents"/>
              <w:bidi w:val="0"/>
              <w:spacing w:before="0" w:after="0"/>
              <w:jc w:val="left"/>
              <w:rPr>
                <w:sz w:val="20"/>
              </w:rPr>
            </w:pPr>
            <w:r>
              <w:rPr>
                <w:sz w:val="20"/>
              </w:rPr>
              <w:t>Communication by Holders of Notes with Other Holders of Notes</w:t>
            </w:r>
          </w:p>
        </w:tc>
        <w:tc>
          <w:tcPr>
            <w:tcW w:w="245" w:type="dxa"/>
            <w:tcBorders/>
            <w:shd w:fill="CCEEFF" w:val="clear"/>
            <w:vAlign w:val="center"/>
          </w:tcPr>
          <w:p>
            <w:pPr>
              <w:pStyle w:val="TableContents"/>
              <w:bidi w:val="0"/>
              <w:spacing w:before="0" w:after="0"/>
              <w:jc w:val="right"/>
              <w:rPr>
                <w:sz w:val="20"/>
              </w:rPr>
            </w:pPr>
            <w:r>
              <w:rPr>
                <w:sz w:val="20"/>
              </w:rPr>
              <w:t>32</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11.04</w:t>
            </w:r>
          </w:p>
        </w:tc>
        <w:tc>
          <w:tcPr>
            <w:tcW w:w="5900" w:type="dxa"/>
            <w:tcBorders/>
            <w:vAlign w:val="center"/>
          </w:tcPr>
          <w:p>
            <w:pPr>
              <w:pStyle w:val="TableContents"/>
              <w:bidi w:val="0"/>
              <w:spacing w:before="0" w:after="0"/>
              <w:jc w:val="left"/>
              <w:rPr>
                <w:sz w:val="20"/>
              </w:rPr>
            </w:pPr>
            <w:r>
              <w:rPr>
                <w:sz w:val="20"/>
              </w:rPr>
              <w:t>Certificate and Opinion as to Conditions Precedent</w:t>
            </w:r>
          </w:p>
        </w:tc>
        <w:tc>
          <w:tcPr>
            <w:tcW w:w="245" w:type="dxa"/>
            <w:tcBorders/>
            <w:vAlign w:val="center"/>
          </w:tcPr>
          <w:p>
            <w:pPr>
              <w:pStyle w:val="TableContents"/>
              <w:bidi w:val="0"/>
              <w:spacing w:before="0" w:after="0"/>
              <w:jc w:val="right"/>
              <w:rPr>
                <w:sz w:val="20"/>
              </w:rPr>
            </w:pPr>
            <w:r>
              <w:rPr>
                <w:sz w:val="20"/>
              </w:rPr>
              <w:t>32</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11.05</w:t>
            </w:r>
          </w:p>
        </w:tc>
        <w:tc>
          <w:tcPr>
            <w:tcW w:w="5900" w:type="dxa"/>
            <w:tcBorders/>
            <w:shd w:fill="CCEEFF" w:val="clear"/>
            <w:vAlign w:val="center"/>
          </w:tcPr>
          <w:p>
            <w:pPr>
              <w:pStyle w:val="TableContents"/>
              <w:bidi w:val="0"/>
              <w:spacing w:before="0" w:after="0"/>
              <w:jc w:val="left"/>
              <w:rPr>
                <w:sz w:val="20"/>
              </w:rPr>
            </w:pPr>
            <w:r>
              <w:rPr>
                <w:sz w:val="20"/>
              </w:rPr>
              <w:t>Statements Required in Certificate or Opinion</w:t>
            </w:r>
          </w:p>
        </w:tc>
        <w:tc>
          <w:tcPr>
            <w:tcW w:w="245" w:type="dxa"/>
            <w:tcBorders/>
            <w:shd w:fill="CCEEFF" w:val="clear"/>
            <w:vAlign w:val="center"/>
          </w:tcPr>
          <w:p>
            <w:pPr>
              <w:pStyle w:val="TableContents"/>
              <w:bidi w:val="0"/>
              <w:spacing w:before="0" w:after="0"/>
              <w:jc w:val="right"/>
              <w:rPr>
                <w:sz w:val="20"/>
              </w:rPr>
            </w:pPr>
            <w:r>
              <w:rPr>
                <w:sz w:val="20"/>
              </w:rPr>
              <w:t>32</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11.06</w:t>
            </w:r>
          </w:p>
        </w:tc>
        <w:tc>
          <w:tcPr>
            <w:tcW w:w="5900" w:type="dxa"/>
            <w:tcBorders/>
            <w:vAlign w:val="center"/>
          </w:tcPr>
          <w:p>
            <w:pPr>
              <w:pStyle w:val="TableContents"/>
              <w:bidi w:val="0"/>
              <w:spacing w:before="0" w:after="0"/>
              <w:jc w:val="left"/>
              <w:rPr>
                <w:sz w:val="20"/>
              </w:rPr>
            </w:pPr>
            <w:r>
              <w:rPr>
                <w:sz w:val="20"/>
              </w:rPr>
              <w:t>Rules by Trustee and Agents</w:t>
            </w:r>
          </w:p>
        </w:tc>
        <w:tc>
          <w:tcPr>
            <w:tcW w:w="245" w:type="dxa"/>
            <w:tcBorders/>
            <w:vAlign w:val="center"/>
          </w:tcPr>
          <w:p>
            <w:pPr>
              <w:pStyle w:val="TableContents"/>
              <w:bidi w:val="0"/>
              <w:spacing w:before="0" w:after="0"/>
              <w:jc w:val="right"/>
              <w:rPr>
                <w:sz w:val="20"/>
              </w:rPr>
            </w:pPr>
            <w:r>
              <w:rPr>
                <w:sz w:val="20"/>
              </w:rPr>
              <w:t>32</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11.07</w:t>
            </w:r>
          </w:p>
        </w:tc>
        <w:tc>
          <w:tcPr>
            <w:tcW w:w="5900" w:type="dxa"/>
            <w:tcBorders/>
            <w:shd w:fill="CCEEFF" w:val="clear"/>
            <w:vAlign w:val="center"/>
          </w:tcPr>
          <w:p>
            <w:pPr>
              <w:pStyle w:val="TableContents"/>
              <w:bidi w:val="0"/>
              <w:spacing w:before="0" w:after="0"/>
              <w:jc w:val="left"/>
              <w:rPr>
                <w:sz w:val="20"/>
              </w:rPr>
            </w:pPr>
            <w:r>
              <w:rPr>
                <w:sz w:val="20"/>
              </w:rPr>
              <w:t>Calculation of Foreign Currency Amounts</w:t>
            </w:r>
          </w:p>
        </w:tc>
        <w:tc>
          <w:tcPr>
            <w:tcW w:w="245" w:type="dxa"/>
            <w:tcBorders/>
            <w:shd w:fill="CCEEFF" w:val="clear"/>
            <w:vAlign w:val="center"/>
          </w:tcPr>
          <w:p>
            <w:pPr>
              <w:pStyle w:val="TableContents"/>
              <w:bidi w:val="0"/>
              <w:spacing w:before="0" w:after="0"/>
              <w:jc w:val="right"/>
              <w:rPr>
                <w:sz w:val="20"/>
              </w:rPr>
            </w:pPr>
            <w:r>
              <w:rPr>
                <w:sz w:val="20"/>
              </w:rPr>
              <w:t>32</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11.08</w:t>
            </w:r>
          </w:p>
        </w:tc>
        <w:tc>
          <w:tcPr>
            <w:tcW w:w="5900" w:type="dxa"/>
            <w:tcBorders/>
            <w:vAlign w:val="center"/>
          </w:tcPr>
          <w:p>
            <w:pPr>
              <w:pStyle w:val="TableContents"/>
              <w:bidi w:val="0"/>
              <w:spacing w:before="0" w:after="0"/>
              <w:jc w:val="left"/>
              <w:rPr>
                <w:sz w:val="20"/>
              </w:rPr>
            </w:pPr>
            <w:r>
              <w:rPr>
                <w:sz w:val="20"/>
              </w:rPr>
              <w:t>No Personal Liability of Directors, Officers, Employees and Shareholders</w:t>
            </w:r>
          </w:p>
        </w:tc>
        <w:tc>
          <w:tcPr>
            <w:tcW w:w="245" w:type="dxa"/>
            <w:tcBorders/>
            <w:vAlign w:val="center"/>
          </w:tcPr>
          <w:p>
            <w:pPr>
              <w:pStyle w:val="TableContents"/>
              <w:bidi w:val="0"/>
              <w:spacing w:before="0" w:after="0"/>
              <w:jc w:val="right"/>
              <w:rPr>
                <w:sz w:val="20"/>
              </w:rPr>
            </w:pPr>
            <w:r>
              <w:rPr>
                <w:sz w:val="20"/>
              </w:rPr>
              <w:t>33</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11.09</w:t>
            </w:r>
          </w:p>
        </w:tc>
        <w:tc>
          <w:tcPr>
            <w:tcW w:w="5900" w:type="dxa"/>
            <w:tcBorders/>
            <w:shd w:fill="CCEEFF" w:val="clear"/>
            <w:vAlign w:val="center"/>
          </w:tcPr>
          <w:p>
            <w:pPr>
              <w:pStyle w:val="TableContents"/>
              <w:bidi w:val="0"/>
              <w:spacing w:before="0" w:after="0"/>
              <w:jc w:val="left"/>
              <w:rPr>
                <w:sz w:val="20"/>
              </w:rPr>
            </w:pPr>
            <w:r>
              <w:rPr>
                <w:sz w:val="20"/>
              </w:rPr>
              <w:t>Governing Law</w:t>
            </w:r>
          </w:p>
        </w:tc>
        <w:tc>
          <w:tcPr>
            <w:tcW w:w="245" w:type="dxa"/>
            <w:tcBorders/>
            <w:shd w:fill="CCEEFF" w:val="clear"/>
            <w:vAlign w:val="center"/>
          </w:tcPr>
          <w:p>
            <w:pPr>
              <w:pStyle w:val="TableContents"/>
              <w:bidi w:val="0"/>
              <w:spacing w:before="0" w:after="0"/>
              <w:jc w:val="right"/>
              <w:rPr>
                <w:sz w:val="20"/>
              </w:rPr>
            </w:pPr>
            <w:r>
              <w:rPr>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11.10</w:t>
            </w:r>
          </w:p>
        </w:tc>
        <w:tc>
          <w:tcPr>
            <w:tcW w:w="5900" w:type="dxa"/>
            <w:tcBorders/>
            <w:vAlign w:val="center"/>
          </w:tcPr>
          <w:p>
            <w:pPr>
              <w:pStyle w:val="TableContents"/>
              <w:bidi w:val="0"/>
              <w:spacing w:before="0" w:after="0"/>
              <w:jc w:val="left"/>
              <w:rPr>
                <w:sz w:val="20"/>
              </w:rPr>
            </w:pPr>
            <w:r>
              <w:rPr>
                <w:sz w:val="20"/>
              </w:rPr>
              <w:t>No Adverse Interpretation of Other Agreements</w:t>
            </w:r>
          </w:p>
        </w:tc>
        <w:tc>
          <w:tcPr>
            <w:tcW w:w="245" w:type="dxa"/>
            <w:tcBorders/>
            <w:vAlign w:val="center"/>
          </w:tcPr>
          <w:p>
            <w:pPr>
              <w:pStyle w:val="TableContents"/>
              <w:bidi w:val="0"/>
              <w:spacing w:before="0" w:after="0"/>
              <w:jc w:val="right"/>
              <w:rPr>
                <w:sz w:val="20"/>
              </w:rPr>
            </w:pPr>
            <w:r>
              <w:rPr>
                <w:sz w:val="20"/>
              </w:rPr>
              <w:t>33</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11.11</w:t>
            </w:r>
          </w:p>
        </w:tc>
        <w:tc>
          <w:tcPr>
            <w:tcW w:w="5900" w:type="dxa"/>
            <w:tcBorders/>
            <w:shd w:fill="CCEEFF" w:val="clear"/>
            <w:vAlign w:val="center"/>
          </w:tcPr>
          <w:p>
            <w:pPr>
              <w:pStyle w:val="TableContents"/>
              <w:bidi w:val="0"/>
              <w:spacing w:before="0" w:after="0"/>
              <w:jc w:val="left"/>
              <w:rPr>
                <w:sz w:val="20"/>
              </w:rPr>
            </w:pPr>
            <w:r>
              <w:rPr>
                <w:sz w:val="20"/>
              </w:rPr>
              <w:t>Successors</w:t>
            </w:r>
          </w:p>
        </w:tc>
        <w:tc>
          <w:tcPr>
            <w:tcW w:w="245" w:type="dxa"/>
            <w:tcBorders/>
            <w:shd w:fill="CCEEFF" w:val="clear"/>
            <w:vAlign w:val="center"/>
          </w:tcPr>
          <w:p>
            <w:pPr>
              <w:pStyle w:val="TableContents"/>
              <w:bidi w:val="0"/>
              <w:spacing w:before="0" w:after="0"/>
              <w:jc w:val="right"/>
              <w:rPr>
                <w:sz w:val="20"/>
              </w:rPr>
            </w:pPr>
            <w:r>
              <w:rPr>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11.12</w:t>
            </w:r>
          </w:p>
        </w:tc>
        <w:tc>
          <w:tcPr>
            <w:tcW w:w="5900" w:type="dxa"/>
            <w:tcBorders/>
            <w:vAlign w:val="center"/>
          </w:tcPr>
          <w:p>
            <w:pPr>
              <w:pStyle w:val="TableContents"/>
              <w:bidi w:val="0"/>
              <w:spacing w:before="0" w:after="0"/>
              <w:jc w:val="left"/>
              <w:rPr>
                <w:sz w:val="20"/>
              </w:rPr>
            </w:pPr>
            <w:r>
              <w:rPr>
                <w:sz w:val="20"/>
              </w:rPr>
              <w:t>Severability</w:t>
            </w:r>
          </w:p>
        </w:tc>
        <w:tc>
          <w:tcPr>
            <w:tcW w:w="245" w:type="dxa"/>
            <w:tcBorders/>
            <w:vAlign w:val="center"/>
          </w:tcPr>
          <w:p>
            <w:pPr>
              <w:pStyle w:val="TableContents"/>
              <w:bidi w:val="0"/>
              <w:spacing w:before="0" w:after="0"/>
              <w:jc w:val="right"/>
              <w:rPr>
                <w:sz w:val="20"/>
              </w:rPr>
            </w:pPr>
            <w:r>
              <w:rPr>
                <w:sz w:val="20"/>
              </w:rPr>
              <w:t>33</w:t>
            </w:r>
          </w:p>
        </w:tc>
      </w:tr>
    </w:tbl>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color w:val="000000"/>
        </w:rPr>
      </w:pPr>
      <w:r>
        <w:rPr>
          <w:color w:val="000000"/>
        </w:rPr>
        <w:t> </w:t>
      </w:r>
      <w:r>
        <w:rPr>
          <w:rFonts w:ascii="Times New Roman" w:hAnsi="Times New Roman"/>
          <w:color w:val="000000"/>
          <w:sz w:val="20"/>
        </w:rPr>
        <w:t>(continued)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2" w:name="z8fa078b013e145adb04a25efb9657c4f"/>
      <w:bookmarkStart w:id="73" w:name="z8fa078b013e145adb04a25efb9657c4f"/>
      <w:bookmarkEnd w:id="73"/>
    </w:p>
    <w:tbl>
      <w:tblPr>
        <w:tblW w:w="5370" w:type="dxa"/>
        <w:jc w:val="left"/>
        <w:tblInd w:w="0" w:type="dxa"/>
        <w:tblLayout w:type="fixed"/>
        <w:tblCellMar>
          <w:top w:w="0" w:type="dxa"/>
          <w:left w:w="0" w:type="dxa"/>
          <w:bottom w:w="0" w:type="dxa"/>
          <w:right w:w="0" w:type="dxa"/>
        </w:tblCellMar>
      </w:tblPr>
      <w:tblGrid>
        <w:gridCol w:w="75"/>
        <w:gridCol w:w="1145"/>
        <w:gridCol w:w="3905"/>
        <w:gridCol w:w="245"/>
      </w:tblGrid>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11.13</w:t>
            </w:r>
          </w:p>
        </w:tc>
        <w:tc>
          <w:tcPr>
            <w:tcW w:w="3905" w:type="dxa"/>
            <w:tcBorders/>
            <w:shd w:fill="CCEEFF" w:val="clear"/>
            <w:vAlign w:val="center"/>
          </w:tcPr>
          <w:p>
            <w:pPr>
              <w:pStyle w:val="TableContents"/>
              <w:bidi w:val="0"/>
              <w:spacing w:before="0" w:after="0"/>
              <w:jc w:val="left"/>
              <w:rPr>
                <w:sz w:val="20"/>
              </w:rPr>
            </w:pPr>
            <w:r>
              <w:rPr>
                <w:sz w:val="20"/>
              </w:rPr>
              <w:t>Counterpart Originals</w:t>
            </w:r>
          </w:p>
        </w:tc>
        <w:tc>
          <w:tcPr>
            <w:tcW w:w="245" w:type="dxa"/>
            <w:tcBorders/>
            <w:shd w:fill="CCEEFF" w:val="clear"/>
            <w:vAlign w:val="center"/>
          </w:tcPr>
          <w:p>
            <w:pPr>
              <w:pStyle w:val="TableContents"/>
              <w:bidi w:val="0"/>
              <w:spacing w:before="0" w:after="0"/>
              <w:jc w:val="right"/>
              <w:rPr>
                <w:sz w:val="20"/>
              </w:rPr>
            </w:pPr>
            <w:r>
              <w:rPr>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11.14</w:t>
            </w:r>
          </w:p>
        </w:tc>
        <w:tc>
          <w:tcPr>
            <w:tcW w:w="3905" w:type="dxa"/>
            <w:tcBorders/>
            <w:vAlign w:val="center"/>
          </w:tcPr>
          <w:p>
            <w:pPr>
              <w:pStyle w:val="TableContents"/>
              <w:bidi w:val="0"/>
              <w:spacing w:before="0" w:after="0"/>
              <w:jc w:val="left"/>
              <w:rPr>
                <w:sz w:val="20"/>
              </w:rPr>
            </w:pPr>
            <w:r>
              <w:rPr>
                <w:sz w:val="20"/>
              </w:rPr>
              <w:t>Table of Contents, Headings, etc</w:t>
            </w:r>
          </w:p>
        </w:tc>
        <w:tc>
          <w:tcPr>
            <w:tcW w:w="245" w:type="dxa"/>
            <w:tcBorders/>
            <w:vAlign w:val="center"/>
          </w:tcPr>
          <w:p>
            <w:pPr>
              <w:pStyle w:val="TableContents"/>
              <w:bidi w:val="0"/>
              <w:spacing w:before="0" w:after="0"/>
              <w:jc w:val="right"/>
              <w:rPr>
                <w:sz w:val="20"/>
              </w:rPr>
            </w:pPr>
            <w:r>
              <w:rPr>
                <w:sz w:val="20"/>
              </w:rPr>
              <w:t>33</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11.15</w:t>
            </w:r>
          </w:p>
        </w:tc>
        <w:tc>
          <w:tcPr>
            <w:tcW w:w="3905" w:type="dxa"/>
            <w:tcBorders/>
            <w:shd w:fill="CCEEFF" w:val="clear"/>
            <w:vAlign w:val="center"/>
          </w:tcPr>
          <w:p>
            <w:pPr>
              <w:pStyle w:val="TableContents"/>
              <w:bidi w:val="0"/>
              <w:spacing w:before="0" w:after="0"/>
              <w:jc w:val="left"/>
              <w:rPr>
                <w:sz w:val="20"/>
              </w:rPr>
            </w:pPr>
            <w:r>
              <w:rPr>
                <w:sz w:val="20"/>
              </w:rPr>
              <w:t>Waiver of Jury Trial</w:t>
            </w:r>
          </w:p>
        </w:tc>
        <w:tc>
          <w:tcPr>
            <w:tcW w:w="245" w:type="dxa"/>
            <w:tcBorders/>
            <w:shd w:fill="CCEEFF" w:val="clear"/>
            <w:vAlign w:val="center"/>
          </w:tcPr>
          <w:p>
            <w:pPr>
              <w:pStyle w:val="TableContents"/>
              <w:bidi w:val="0"/>
              <w:spacing w:before="0" w:after="0"/>
              <w:jc w:val="right"/>
              <w:rPr>
                <w:sz w:val="20"/>
              </w:rPr>
            </w:pPr>
            <w:r>
              <w:rPr>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sz w:val="20"/>
              </w:rPr>
            </w:pPr>
            <w:r>
              <w:rPr>
                <w:sz w:val="20"/>
              </w:rPr>
              <w:t>Section 11.16</w:t>
            </w:r>
          </w:p>
        </w:tc>
        <w:tc>
          <w:tcPr>
            <w:tcW w:w="3905" w:type="dxa"/>
            <w:tcBorders/>
            <w:vAlign w:val="center"/>
          </w:tcPr>
          <w:p>
            <w:pPr>
              <w:pStyle w:val="TableContents"/>
              <w:bidi w:val="0"/>
              <w:spacing w:before="0" w:after="0"/>
              <w:jc w:val="left"/>
              <w:rPr>
                <w:sz w:val="20"/>
              </w:rPr>
            </w:pPr>
            <w:r>
              <w:rPr>
                <w:sz w:val="20"/>
              </w:rPr>
              <w:t>Patriot Act Compliance</w:t>
            </w:r>
          </w:p>
        </w:tc>
        <w:tc>
          <w:tcPr>
            <w:tcW w:w="245" w:type="dxa"/>
            <w:tcBorders/>
            <w:vAlign w:val="center"/>
          </w:tcPr>
          <w:p>
            <w:pPr>
              <w:pStyle w:val="TableContents"/>
              <w:bidi w:val="0"/>
              <w:spacing w:before="0" w:after="0"/>
              <w:jc w:val="right"/>
              <w:rPr>
                <w:sz w:val="20"/>
              </w:rPr>
            </w:pPr>
            <w:r>
              <w:rPr>
                <w:sz w:val="20"/>
              </w:rPr>
              <w:t>33</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left"/>
              <w:rPr>
                <w:sz w:val="20"/>
              </w:rPr>
            </w:pPr>
            <w:r>
              <w:rPr>
                <w:sz w:val="20"/>
              </w:rPr>
              <w:t>Section 11.17</w:t>
            </w:r>
          </w:p>
        </w:tc>
        <w:tc>
          <w:tcPr>
            <w:tcW w:w="3905" w:type="dxa"/>
            <w:tcBorders/>
            <w:shd w:fill="CCEEFF" w:val="clear"/>
            <w:vAlign w:val="center"/>
          </w:tcPr>
          <w:p>
            <w:pPr>
              <w:pStyle w:val="TableContents"/>
              <w:bidi w:val="0"/>
              <w:spacing w:before="0" w:after="0"/>
              <w:jc w:val="left"/>
              <w:rPr>
                <w:sz w:val="20"/>
              </w:rPr>
            </w:pPr>
            <w:r>
              <w:rPr>
                <w:sz w:val="20"/>
              </w:rPr>
              <w:t>Foreign Account Tax Compliance Act (FATCA)</w:t>
            </w:r>
          </w:p>
        </w:tc>
        <w:tc>
          <w:tcPr>
            <w:tcW w:w="245" w:type="dxa"/>
            <w:tcBorders/>
            <w:shd w:fill="CCEEFF" w:val="clear"/>
            <w:vAlign w:val="center"/>
          </w:tcPr>
          <w:p>
            <w:pPr>
              <w:pStyle w:val="TableContents"/>
              <w:bidi w:val="0"/>
              <w:spacing w:before="0" w:after="0"/>
              <w:jc w:val="right"/>
              <w:rPr>
                <w:sz w:val="20"/>
              </w:rPr>
            </w:pPr>
            <w:r>
              <w:rPr>
                <w:sz w:val="20"/>
              </w:rPr>
              <w:t>34</w:t>
            </w:r>
          </w:p>
        </w:tc>
      </w:tr>
    </w:tbl>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180" w:after="18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INDENTURE, dated as of [      ], by and between Innventure, Inc., a Delaware corporation (the “</w:t>
      </w:r>
      <w:r>
        <w:rPr>
          <w:rFonts w:ascii="Times New Roman" w:hAnsi="Times New Roman"/>
          <w:color w:val="000000"/>
          <w:sz w:val="20"/>
          <w:u w:val="single"/>
        </w:rPr>
        <w:t>Company</w:t>
      </w:r>
      <w:r>
        <w:rPr>
          <w:rFonts w:ascii="Times New Roman" w:hAnsi="Times New Roman"/>
          <w:color w:val="000000"/>
          <w:sz w:val="20"/>
        </w:rPr>
        <w:t>”), and [      ], as trustee (the “</w:t>
      </w:r>
      <w:r>
        <w:rPr>
          <w:rFonts w:ascii="Times New Roman" w:hAnsi="Times New Roman"/>
          <w:color w:val="000000"/>
          <w:sz w:val="20"/>
          <w:u w:val="single"/>
        </w:rPr>
        <w:t>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and the Trustee agree as follows for the benefit of each other and for the equal and ratable benefit of the Holders of the Notes issued under this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74" w:name="z_Toc40730628"/>
      <w:bookmarkEnd w:id="74"/>
      <w:r>
        <w:rPr>
          <w:rFonts w:ascii="Times New Roman" w:hAnsi="Times New Roman"/>
          <w:b/>
          <w:color w:val="000000"/>
          <w:sz w:val="20"/>
        </w:rPr>
        <w:t>ARTICLE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 AND INCORPORATION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BY REFERENCE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75" w:name="z_Toc40730629"/>
      <w:bookmarkEnd w:id="75"/>
      <w:r>
        <w:rPr>
          <w:rFonts w:ascii="Times New Roman" w:hAnsi="Times New Roman"/>
          <w:b/>
          <w:color w:val="000000"/>
          <w:sz w:val="20"/>
        </w:rPr>
        <w:t>Section 1.01</w:t>
      </w:r>
      <w:r>
        <w:rPr>
          <w:rFonts w:ascii="Times New Roman" w:hAnsi="Times New Roman"/>
          <w:color w:val="000000"/>
          <w:sz w:val="20"/>
        </w:rPr>
        <w:t xml:space="preserve">        </w:t>
      </w:r>
      <w:r>
        <w:rPr>
          <w:rFonts w:ascii="Times New Roman" w:hAnsi="Times New Roman"/>
          <w:b/>
          <w:i/>
          <w:color w:val="000000"/>
          <w:sz w:val="20"/>
        </w:rPr>
        <w:t>Definitions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hAnsi="Times New Roman"/>
          <w:color w:val="000000"/>
          <w:sz w:val="20"/>
          <w:u w:val="single"/>
        </w:rPr>
        <w:t>controlling</w:t>
      </w:r>
      <w:r>
        <w:rPr>
          <w:rFonts w:ascii="Times New Roman" w:hAnsi="Times New Roman"/>
          <w:color w:val="000000"/>
          <w:sz w:val="20"/>
        </w:rPr>
        <w:t>,” “</w:t>
      </w:r>
      <w:r>
        <w:rPr>
          <w:rFonts w:ascii="Times New Roman" w:hAnsi="Times New Roman"/>
          <w:color w:val="000000"/>
          <w:sz w:val="20"/>
          <w:u w:val="single"/>
        </w:rPr>
        <w:t>controlled by</w:t>
      </w:r>
      <w:r>
        <w:rPr>
          <w:rFonts w:ascii="Times New Roman" w:hAnsi="Times New Roman"/>
          <w:color w:val="000000"/>
          <w:sz w:val="20"/>
        </w:rPr>
        <w:t>” and “</w:t>
      </w:r>
      <w:r>
        <w:rPr>
          <w:rFonts w:ascii="Times New Roman" w:hAnsi="Times New Roman"/>
          <w:color w:val="000000"/>
          <w:sz w:val="20"/>
          <w:u w:val="single"/>
        </w:rPr>
        <w:t>under common control with</w:t>
      </w:r>
      <w:r>
        <w:rPr>
          <w:rFonts w:ascii="Times New Roman" w:hAnsi="Times New Roman"/>
          <w:color w:val="000000"/>
          <w:sz w:val="20"/>
        </w:rPr>
        <w:t>” have correlative meanings.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Agent</w:t>
      </w:r>
      <w:r>
        <w:rPr>
          <w:rFonts w:ascii="Times New Roman" w:hAnsi="Times New Roman"/>
          <w:color w:val="000000"/>
          <w:sz w:val="20"/>
        </w:rPr>
        <w:t>” means any Registrar, co-registrar, Custodian, Paying Agent or additional paying agent or conversion agent.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Applicable Procedures</w:t>
      </w:r>
      <w:r>
        <w:rPr>
          <w:rFonts w:ascii="Times New Roman" w:hAnsi="Times New Roman"/>
          <w:color w:val="000000"/>
          <w:sz w:val="20"/>
        </w:rPr>
        <w:t>” means, with respect to any payment, tender, redemption, transfer, exchange, or conversion of or for beneficial interests in any Global Note, the rules and procedures of the Depositary that apply to such payment, tender, redemption, transfer, exchange, or conversion.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Bankruptcy Law</w:t>
      </w:r>
      <w:r>
        <w:rPr>
          <w:rFonts w:ascii="Times New Roman" w:hAnsi="Times New Roman"/>
          <w:color w:val="000000"/>
          <w:sz w:val="20"/>
        </w:rPr>
        <w:t>” means Title 11, U.S. Code or any similar federal or state law for the relief of debtors.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Board of Directors</w:t>
      </w:r>
      <w:r>
        <w:rPr>
          <w:rFonts w:ascii="Times New Roman" w:hAnsi="Times New Roman"/>
          <w:color w:val="000000"/>
          <w:sz w:val="20"/>
        </w:rPr>
        <w:t>” means: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with respect to a corporation, the board of directors of the corporation or any committee thereof duly authorized to act on behalf of such board;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with respect to a partnership, the Board of Directors of the general partner of the partnership;</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with respect to a limited liability company, the managing member or members or any controlling committee of managing members thereof;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with respect to any other Person, the board or committee of such Person serving a similar function.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Board Resolution</w:t>
      </w:r>
      <w:r>
        <w:rPr>
          <w:rFonts w:ascii="Times New Roman" w:hAnsi="Times New Roman"/>
          <w:color w:val="000000"/>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Legal Holiday. If a payment date falls on a day that is not a Business Day, the related payment shall be made on the next succeeding Business Day as if made on the date the payment is due, and no interest shall accrue on such payment for the intervening period.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Capital Lease Obligation</w:t>
      </w:r>
      <w:r>
        <w:rPr>
          <w:rFonts w:ascii="Times New Roman" w:hAnsi="Times New Roman"/>
          <w:color w:val="000000"/>
          <w:sz w:val="20"/>
        </w:rPr>
        <w:t>” means, at the time any determination is to be made, the amount of the liability in respect of a capital lease that would at that time be required to be capitalized on a balance sheet prepared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Capital Stock</w:t>
      </w:r>
      <w:r>
        <w:rPr>
          <w:rFonts w:ascii="Times New Roman" w:hAnsi="Times New Roman"/>
          <w:color w:val="000000"/>
          <w:sz w:val="20"/>
        </w:rPr>
        <w:t>” means: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in the case of a corporation, corporate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in the case of an association or business entity, any and all shares, interests, participations, rights or other equivalents (however designated) of corporate stock;</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in the case of a partnership or limited liability company, partnership interests (whether general or limited) or membership interests;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any other interest or participation that confers on a Person the right to receive a share of the profits and losses of, or distributions of assets of, the issuing Person.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Company</w:t>
      </w:r>
      <w:r>
        <w:rPr>
          <w:rFonts w:ascii="Times New Roman" w:hAnsi="Times New Roman"/>
          <w:color w:val="000000"/>
          <w:sz w:val="20"/>
        </w:rPr>
        <w:t>” means Innventure, Inc., and, subject to Article 5, any and all successors thereto.</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Company Order</w:t>
      </w:r>
      <w:r>
        <w:rPr>
          <w:rFonts w:ascii="Times New Roman" w:hAnsi="Times New Roman"/>
          <w:color w:val="000000"/>
          <w:sz w:val="20"/>
        </w:rPr>
        <w:t>” means a written order signed in the name of the Company by an Officer.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Corporate Trust Office of the Trustee</w:t>
      </w:r>
      <w:r>
        <w:rPr>
          <w:rFonts w:ascii="Times New Roman" w:hAnsi="Times New Roman"/>
          <w:color w:val="000000"/>
          <w:sz w:val="20"/>
        </w:rPr>
        <w:t>” means the designated office of the Trustee at which at any time its corporate trust business in respect of this Indenture shall be administered, which office at the date hereof is located at [      ], Attention: [      ],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Custodian</w:t>
      </w:r>
      <w:r>
        <w:rPr>
          <w:rFonts w:ascii="Times New Roman" w:hAnsi="Times New Roman"/>
          <w:color w:val="000000"/>
          <w:sz w:val="20"/>
        </w:rPr>
        <w:t>” means the Trustee, as custodian for the Depositary with respect to any Global Notes, or any successor entity thereto.</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event that is, or with the passage of time or the giving of notice or both would be, an Event of Default.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Depositary</w:t>
      </w:r>
      <w:r>
        <w:rPr>
          <w:rFonts w:ascii="Times New Roman" w:hAnsi="Times New Roman"/>
          <w:color w:val="000000"/>
          <w:sz w:val="20"/>
        </w:rPr>
        <w:t>” means, with respect to the Notes of any Series issuable or issued in whole or in part in the form of one or more Global Notes, the person designated as Depositary for such Series by the Company, which Depositary shall be a clearing agency registered under the Exchange Act; and if at any time there is more than one such person, “Depositary” as used with respect to the Notes of any Series shall mean the Depositary with respect to the Notes of such Series.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Discount Note</w:t>
      </w:r>
      <w:r>
        <w:rPr>
          <w:rFonts w:ascii="Times New Roman" w:hAnsi="Times New Roman"/>
          <w:color w:val="000000"/>
          <w:sz w:val="20"/>
        </w:rPr>
        <w:t>” means any Note that provides for an amount less than the stated principal amount thereof to be due and payable upon declaration of acceleration of the maturity thereof pursuant to Section 6.02.</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Dollars</w:t>
      </w:r>
      <w:r>
        <w:rPr>
          <w:rFonts w:ascii="Times New Roman" w:hAnsi="Times New Roman"/>
          <w:color w:val="000000"/>
          <w:sz w:val="20"/>
        </w:rPr>
        <w:t>” and “</w:t>
      </w:r>
      <w:r>
        <w:rPr>
          <w:rFonts w:ascii="Times New Roman" w:hAnsi="Times New Roman"/>
          <w:color w:val="000000"/>
          <w:sz w:val="20"/>
          <w:u w:val="single"/>
        </w:rPr>
        <w:t>$</w:t>
      </w:r>
      <w:r>
        <w:rPr>
          <w:rFonts w:ascii="Times New Roman" w:hAnsi="Times New Roman"/>
          <w:color w:val="000000"/>
          <w:sz w:val="20"/>
        </w:rPr>
        <w:t>” means the currency of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Equity Interests</w:t>
      </w:r>
      <w:r>
        <w:rPr>
          <w:rFonts w:ascii="Times New Roman" w:hAnsi="Times New Roman"/>
          <w:color w:val="000000"/>
          <w:sz w:val="20"/>
        </w:rPr>
        <w:t>” means Capital Stock and all warrants, options or other rights to acquire Capital Stock (but excluding any debt security that is convertible into, or exchangeable for, Capital Stock).</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Foreign Currency</w:t>
      </w:r>
      <w:r>
        <w:rPr>
          <w:rFonts w:ascii="Times New Roman" w:hAnsi="Times New Roman"/>
          <w:color w:val="000000"/>
          <w:sz w:val="20"/>
        </w:rPr>
        <w:t>” means any currency or currency unit issued by a government other than the government of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Global Note</w:t>
      </w:r>
      <w:r>
        <w:rPr>
          <w:rFonts w:ascii="Times New Roman" w:hAnsi="Times New Roman"/>
          <w:color w:val="000000"/>
          <w:sz w:val="20"/>
        </w:rPr>
        <w:t>” or “</w:t>
      </w:r>
      <w:r>
        <w:rPr>
          <w:rFonts w:ascii="Times New Roman" w:hAnsi="Times New Roman"/>
          <w:color w:val="000000"/>
          <w:sz w:val="20"/>
          <w:u w:val="single"/>
        </w:rPr>
        <w:t>Global Notes</w:t>
      </w:r>
      <w:r>
        <w:rPr>
          <w:rFonts w:ascii="Times New Roman" w:hAnsi="Times New Roman"/>
          <w:color w:val="000000"/>
          <w:sz w:val="20"/>
        </w:rPr>
        <w:t>” means a Note or Notes, as the case may be, in the form established pursuant to Section 2.02 evidencing all or part of a Series of Notes, issued to the Depositary for such Series or its nominee, and registered in the name of such Depositary or nominee.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Government Securities</w:t>
      </w:r>
      <w:r>
        <w:rPr>
          <w:rFonts w:ascii="Times New Roman" w:hAnsi="Times New Roman"/>
          <w:color w:val="000000"/>
          <w:sz w:val="20"/>
        </w:rPr>
        <w:t>” means direct obligations of, or obligations guaranteed by, The United States of America, and the payment for which the United States pledges its full faith and credit.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Guarantee</w:t>
      </w:r>
      <w:r>
        <w:rPr>
          <w:rFonts w:ascii="Times New Roman" w:hAnsi="Times New Roman"/>
          <w:color w:val="000000"/>
          <w:sz w:val="20"/>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Hedging Obligations</w:t>
      </w:r>
      <w:r>
        <w:rPr>
          <w:rFonts w:ascii="Times New Roman" w:hAnsi="Times New Roman"/>
          <w:color w:val="000000"/>
          <w:sz w:val="20"/>
        </w:rPr>
        <w:t>” means, with respect to any specified Person, the obligations of such Person under: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interest rate swap agreements (whether from fixed to floating or from floating to fixed), interest rate cap agreements and interest rate collar agreements;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other agreements or arrangements designed to manage interest rates or interest rate risk;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other agreements or arrangements designed to protect such Person against fluctuations in currency exchange rates or commodity prices.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means a Person in whose name a Note is registered.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with respect to any specified Person, any indebtedness of such Person, whether or not contingent (without duplication):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in respect of borrowed money;</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evidenced by bonds, notes, debentures or similar instruments;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in respect of banker’s acceptances or other similar instruments or credit transactions (including reimbursement obligations with respect thereto), other than obligations with respect to letters of credit securing obligations (other than obligations described in clauses (1) – (2), (4) or (5) hereof) entered into in the ordinary course of business of such Person to the extent such letters of credit are not drawn upon or, if and to the extent drawn upon, such drawing is reimbursed no later than the third Business Day following receipt by such Person of a demand for reimbursement following payment on the letter of credit;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representing Capital Lease Obligations;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representing the balance deferred and unpaid of the purchase price of any property, except any such balance that constitutes an accrued expense or trade payable;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representing any Hedging Obligations,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 Notwithstanding anything to the contrary in the foregoing, the term “Indebtedness” excludes (x) any indebtedness of the Company or any Subsidiary of the Company to the Company or another Subsidiary of the Company and (y) any Guarantee by the Company or any Subsidiary of the Company of indebtedness of the Company or any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amount of any Indebtedness outstanding as of any date shall be: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accreted value of the Indebtedness, in the case of any Indebtedness that does not require the current payment of interest;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principal amount of the Indebtedness, together with any interest on the Indebtedness that is more than 30 days past due, in the case of any other Indebtedness.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Indenture</w:t>
      </w:r>
      <w:r>
        <w:rPr>
          <w:rFonts w:ascii="Times New Roman" w:hAnsi="Times New Roman"/>
          <w:color w:val="000000"/>
          <w:sz w:val="20"/>
        </w:rPr>
        <w:t>” means this Indenture, as amended, supplemented or restated from time to time and shall include the form and terms of particular Series of Notes established as contemplated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Legal Holiday</w:t>
      </w:r>
      <w:r>
        <w:rPr>
          <w:rFonts w:ascii="Times New Roman" w:hAnsi="Times New Roman"/>
          <w:color w:val="000000"/>
          <w:sz w:val="20"/>
        </w:rPr>
        <w:t>” means a Saturday, a Sunday or a day on which banking institutions in the City of New York or the city where the Corporate Trust Office of the Trustee is located at such time are required or authorized by law, regulation or executive order to close or be closed.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Lien</w:t>
      </w:r>
      <w:r>
        <w:rPr>
          <w:rFonts w:ascii="Times New Roman" w:hAnsi="Times New Roman"/>
          <w:color w:val="000000"/>
          <w:sz w:val="20"/>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hAnsi="Times New Roman"/>
          <w:i/>
          <w:color w:val="000000"/>
          <w:sz w:val="20"/>
        </w:rPr>
        <w:t>provided</w:t>
      </w:r>
      <w:r>
        <w:rPr>
          <w:rFonts w:ascii="Times New Roman" w:hAnsi="Times New Roman"/>
          <w:color w:val="000000"/>
          <w:sz w:val="20"/>
        </w:rPr>
        <w:t xml:space="preserve"> that in no event shall an operating lease be deemed to constitute a Lien.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Notes</w:t>
      </w:r>
      <w:r>
        <w:rPr>
          <w:rFonts w:ascii="Times New Roman" w:hAnsi="Times New Roman"/>
          <w:color w:val="000000"/>
          <w:sz w:val="20"/>
        </w:rPr>
        <w:t>” means notes or other debt instruments of the Company of any Series issued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Officer</w:t>
      </w:r>
      <w:r>
        <w:rPr>
          <w:rFonts w:ascii="Times New Roman" w:hAnsi="Times New Roman"/>
          <w:color w:val="000000"/>
          <w:sz w:val="20"/>
        </w:rPr>
        <w:t>” means, with respect to any Person, the Chief Executive Officer, the President, the Chief Financial Officer, the Executive Chairman of the Board of Directors, the Chief Strategy Officer, the Treasurer, the Controller, the Secretary, the Assistant Secretary or any Vice-President of such Person.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Officer’s Certificate</w:t>
      </w:r>
      <w:r>
        <w:rPr>
          <w:rFonts w:ascii="Times New Roman" w:hAnsi="Times New Roman"/>
          <w:color w:val="000000"/>
          <w:sz w:val="20"/>
        </w:rPr>
        <w:t>” means a certificate signed on behalf of the Company by an Officer of the Company that meets the requirements of Section 11.05 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Opinion of Counsel</w:t>
      </w:r>
      <w:r>
        <w:rPr>
          <w:rFonts w:ascii="Times New Roman" w:hAnsi="Times New Roman"/>
          <w:color w:val="000000"/>
          <w:sz w:val="20"/>
        </w:rPr>
        <w:t>” means an opinion from legal counsel, who may be an employee of or counsel to the Company or any Subsidiary of the Company, or other counsel reasonably acceptable to the Trustee, that meets the requirements of Section 11.05 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any individual, corporation, partnership, joint venture, association, joint-stock company, trust, unincorporated organization, limited liability company or government or other entity.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Responsible Officer</w:t>
      </w:r>
      <w:r>
        <w:rPr>
          <w:rFonts w:ascii="Times New Roman" w:hAnsi="Times New Roman"/>
          <w:color w:val="000000"/>
          <w:sz w:val="20"/>
        </w:rPr>
        <w:t>,” when used with respect to the Trustee, means any director, vice president, assistant vice president or associate within the Corporate Trust Office of the Trustee (or any successor group of the Trustee) or any other officer of the Trustee customarily performing functions similar to those performed by any of the above designated officers who at the time shall have direct responsibility for the administration of this Indenture and also means, with respect to a particular corporate trust matter, any other officer to whom such matter is referred because of such person’s knowledge of and familiarity with the particular subject.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 as amended.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Series</w:t>
      </w:r>
      <w:r>
        <w:rPr>
          <w:rFonts w:ascii="Times New Roman" w:hAnsi="Times New Roman"/>
          <w:color w:val="000000"/>
          <w:sz w:val="20"/>
        </w:rPr>
        <w:t>” or “</w:t>
      </w:r>
      <w:r>
        <w:rPr>
          <w:rFonts w:ascii="Times New Roman" w:hAnsi="Times New Roman"/>
          <w:color w:val="000000"/>
          <w:sz w:val="20"/>
          <w:u w:val="single"/>
        </w:rPr>
        <w:t>Series of Notes</w:t>
      </w:r>
      <w:r>
        <w:rPr>
          <w:rFonts w:ascii="Times New Roman" w:hAnsi="Times New Roman"/>
          <w:color w:val="000000"/>
          <w:sz w:val="20"/>
        </w:rPr>
        <w:t>” means each series of debentures, notes or other debt instruments of the Company created pursuant to Sections 2.01 and 2.02 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Significant Subsidiary</w:t>
      </w:r>
      <w:r>
        <w:rPr>
          <w:rFonts w:ascii="Times New Roman" w:hAnsi="Times New Roman"/>
          <w:color w:val="000000"/>
          <w:sz w:val="20"/>
        </w:rPr>
        <w:t>” means a Subsidiary of any Person that would be a “significant subsidiary” as defined under Regulation S-X promulgated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Stated Maturity</w:t>
      </w:r>
      <w:r>
        <w:rPr>
          <w:rFonts w:ascii="Times New Roman" w:hAnsi="Times New Roman"/>
          <w:color w:val="000000"/>
          <w:sz w:val="20"/>
        </w:rPr>
        <w:t>” means, with respect to any installment of interest or principal on any series of Indebtedness, the date on which the payment of interest or principal was scheduled to be paid in the documentation governing such Indebtedness, and will not include any contingent obligations to repay, redeem or repurchase any such interest or principal prior to the date originally scheduled for the payment thereof.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means, with respect to any specified Person: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any corporation, association or other business entity of which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TIA</w:t>
      </w:r>
      <w:r>
        <w:rPr>
          <w:rFonts w:ascii="Times New Roman" w:hAnsi="Times New Roman"/>
          <w:color w:val="000000"/>
          <w:sz w:val="20"/>
        </w:rPr>
        <w:t>” means the Trust Indenture Act of 1939, as amended (15 U.S.C. §§ 77aaa-77bbbb).</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Trustee</w:t>
      </w:r>
      <w:r>
        <w:rPr>
          <w:rFonts w:ascii="Times New Roman" w:hAnsi="Times New Roman"/>
          <w:color w:val="000000"/>
          <w:sz w:val="20"/>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Notes of any Series shall mean the Trustee with respect to Notes of that Series.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Voting Stock</w:t>
      </w:r>
      <w:r>
        <w:rPr>
          <w:rFonts w:ascii="Times New Roman" w:hAnsi="Times New Roman"/>
          <w:color w:val="000000"/>
          <w:sz w:val="20"/>
        </w:rPr>
        <w:t>” of any specified Person as of any date means the Capital Stock of such Person that is at the time entitled to vote in the election of the Board of Directors of such Person.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76" w:name="z_Toc40730630"/>
      <w:bookmarkEnd w:id="76"/>
      <w:r>
        <w:rPr>
          <w:rFonts w:ascii="Times New Roman" w:hAnsi="Times New Roman"/>
          <w:b/>
          <w:color w:val="000000"/>
          <w:sz w:val="20"/>
        </w:rPr>
        <w:t>Section 1.02</w:t>
      </w:r>
      <w:r>
        <w:rPr>
          <w:rFonts w:ascii="Times New Roman" w:hAnsi="Times New Roman"/>
          <w:color w:val="000000"/>
          <w:sz w:val="20"/>
        </w:rPr>
        <w:t xml:space="preserve">        </w:t>
      </w:r>
      <w:r>
        <w:rPr>
          <w:rFonts w:ascii="Times New Roman" w:hAnsi="Times New Roman"/>
          <w:b/>
          <w:i/>
          <w:color w:val="000000"/>
          <w:sz w:val="20"/>
        </w:rPr>
        <w:t>Other Definitions.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 w:name="z8bf91659123449fe996a6942cf81bc67"/>
      <w:bookmarkStart w:id="78" w:name="z8bf91659123449fe996a6942cf81bc67"/>
      <w:bookmarkEnd w:id="78"/>
    </w:p>
    <w:tbl>
      <w:tblPr>
        <w:tblW w:w="3415" w:type="dxa"/>
        <w:jc w:val="center"/>
        <w:tblInd w:w="0" w:type="dxa"/>
        <w:tblLayout w:type="fixed"/>
        <w:tblCellMar>
          <w:top w:w="28" w:type="dxa"/>
          <w:left w:w="28" w:type="dxa"/>
          <w:bottom w:w="28" w:type="dxa"/>
          <w:right w:w="0" w:type="dxa"/>
        </w:tblCellMar>
      </w:tblPr>
      <w:tblGrid>
        <w:gridCol w:w="60"/>
        <w:gridCol w:w="2300"/>
        <w:gridCol w:w="995"/>
        <w:gridCol w:w="6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30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b/>
                <w:i/>
                <w:u w:val="single"/>
              </w:rPr>
            </w:pPr>
            <w:r>
              <w:rPr>
                <w:b/>
                <w:i/>
                <w:u w:val="single"/>
              </w:rPr>
              <w:t>Term</w:t>
            </w:r>
          </w:p>
        </w:tc>
        <w:tc>
          <w:tcPr>
            <w:tcW w:w="99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b/>
                <w:i/>
              </w:rPr>
            </w:pPr>
            <w:r>
              <w:rPr>
                <w:b/>
                <w:i/>
              </w:rPr>
              <w:t>Defined</w:t>
            </w:r>
          </w:p>
          <w:p>
            <w:pPr>
              <w:pStyle w:val="TableContents"/>
              <w:bidi w:val="0"/>
              <w:spacing w:before="0" w:after="0"/>
              <w:jc w:val="center"/>
              <w:rPr>
                <w:b/>
                <w:i/>
                <w:u w:val="single"/>
              </w:rPr>
            </w:pPr>
            <w:r>
              <w:rPr>
                <w:b/>
                <w:i/>
                <w:u w:val="single"/>
              </w:rPr>
              <w:t>in Section</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Authentication Order</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2.03</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Covenant Defeasance</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8.03</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Event of Default</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6.01</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Legal Defeasance</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8.02</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Paying Agent</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2.04</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30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r>
              <w:rPr>
                <w:u w:val="single"/>
              </w:rPr>
              <w:t>Registrar</w:t>
            </w:r>
            <w:r>
              <w:rPr/>
              <w:t>”</w:t>
            </w:r>
          </w:p>
        </w:tc>
        <w:tc>
          <w:tcPr>
            <w:tcW w:w="995" w:type="dxa"/>
            <w:tcBorders>
              <w:left w:val="single" w:sz="12" w:space="0" w:color="000000"/>
              <w:bottom w:val="single" w:sz="12" w:space="0" w:color="000000"/>
            </w:tcBorders>
            <w:tcMar>
              <w:top w:w="0" w:type="dxa"/>
            </w:tcMar>
            <w:vAlign w:val="center"/>
          </w:tcPr>
          <w:p>
            <w:pPr>
              <w:pStyle w:val="TableContents"/>
              <w:bidi w:val="0"/>
              <w:spacing w:before="0" w:after="0"/>
              <w:jc w:val="right"/>
              <w:rPr/>
            </w:pPr>
            <w:r>
              <w:rPr/>
              <w:t>2.04</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79" w:name="z_Toc40730631"/>
      <w:bookmarkEnd w:id="79"/>
      <w:r>
        <w:rPr>
          <w:rFonts w:ascii="Times New Roman" w:hAnsi="Times New Roman"/>
          <w:b/>
          <w:color w:val="000000"/>
          <w:sz w:val="20"/>
        </w:rPr>
        <w:t>Section 1.03</w:t>
      </w:r>
      <w:r>
        <w:rPr>
          <w:rFonts w:ascii="Times New Roman" w:hAnsi="Times New Roman"/>
          <w:color w:val="000000"/>
          <w:sz w:val="20"/>
        </w:rPr>
        <w:t xml:space="preserve">        </w:t>
      </w:r>
      <w:r>
        <w:rPr>
          <w:rFonts w:ascii="Times New Roman" w:hAnsi="Times New Roman"/>
          <w:b/>
          <w:i/>
          <w:color w:val="000000"/>
          <w:sz w:val="20"/>
        </w:rPr>
        <w:t>Incorporation by Reference of Trust Indenture Act.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Whenever this Indenture refers to a provision of the TIA, the provision is incorporated by reference in and made a part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following TIA terms used in this Indenture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indenture securities</w:t>
      </w:r>
      <w:r>
        <w:rPr>
          <w:rFonts w:ascii="Times New Roman" w:hAnsi="Times New Roman"/>
          <w:color w:val="000000"/>
          <w:sz w:val="20"/>
        </w:rPr>
        <w:t>” means the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indenture security Holder</w:t>
      </w:r>
      <w:r>
        <w:rPr>
          <w:rFonts w:ascii="Times New Roman" w:hAnsi="Times New Roman"/>
          <w:color w:val="000000"/>
          <w:sz w:val="20"/>
        </w:rPr>
        <w:t>” means a Holder of a Note;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indenture to be qualified</w:t>
      </w:r>
      <w:r>
        <w:rPr>
          <w:rFonts w:ascii="Times New Roman" w:hAnsi="Times New Roman"/>
          <w:color w:val="000000"/>
          <w:sz w:val="20"/>
        </w:rPr>
        <w:t>” means this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indenture trustee</w:t>
      </w:r>
      <w:r>
        <w:rPr>
          <w:rFonts w:ascii="Times New Roman" w:hAnsi="Times New Roman"/>
          <w:color w:val="000000"/>
          <w:sz w:val="20"/>
        </w:rPr>
        <w:t>” or “</w:t>
      </w:r>
      <w:r>
        <w:rPr>
          <w:rFonts w:ascii="Times New Roman" w:hAnsi="Times New Roman"/>
          <w:color w:val="000000"/>
          <w:sz w:val="20"/>
          <w:u w:val="single"/>
        </w:rPr>
        <w:t>institutional trustee</w:t>
      </w:r>
      <w:r>
        <w:rPr>
          <w:rFonts w:ascii="Times New Roman" w:hAnsi="Times New Roman"/>
          <w:color w:val="000000"/>
          <w:sz w:val="20"/>
        </w:rPr>
        <w:t>” means the Trustee; and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obligor</w:t>
      </w:r>
      <w:r>
        <w:rPr>
          <w:rFonts w:ascii="Times New Roman" w:hAnsi="Times New Roman"/>
          <w:color w:val="000000"/>
          <w:sz w:val="20"/>
        </w:rPr>
        <w:t>” on the indenture securities means the Company, and any other obligor upon the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All other terms used in this Indenture that are defined by the TIA, defined by TIA reference to another statute or defined by SEC rule under the TIA have the meanings so assigned to them.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0" w:name="z_Toc40730632"/>
      <w:bookmarkEnd w:id="80"/>
      <w:r>
        <w:rPr>
          <w:rFonts w:ascii="Times New Roman" w:hAnsi="Times New Roman"/>
          <w:b/>
          <w:color w:val="000000"/>
          <w:sz w:val="20"/>
        </w:rPr>
        <w:t>Section 1.04</w:t>
      </w:r>
      <w:r>
        <w:rPr>
          <w:rFonts w:ascii="Times New Roman" w:hAnsi="Times New Roman"/>
          <w:color w:val="000000"/>
          <w:sz w:val="20"/>
        </w:rPr>
        <w:t xml:space="preserve">        </w:t>
      </w:r>
      <w:r>
        <w:rPr>
          <w:rFonts w:ascii="Times New Roman" w:hAnsi="Times New Roman"/>
          <w:b/>
          <w:i/>
          <w:color w:val="000000"/>
          <w:sz w:val="20"/>
        </w:rPr>
        <w:t>Rules of Construction.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term has the meaning assigned to it;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an accounting term not otherwise defined has the meaning assigned to it in accordance with GAAP;</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“or” is not exclusive;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words in the singular include the plural, and in the plural include the singular;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“will” shall be interpreted to express a command;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provisions apply to successive events and transactions;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references to sections of or rules under the Securities Act will be deemed to include substitute, replacement or successor sections or rules adopted by the SEC from time to time.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81" w:name="z_Toc40730633"/>
      <w:bookmarkEnd w:id="81"/>
      <w:r>
        <w:rPr>
          <w:rFonts w:ascii="Times New Roman" w:hAnsi="Times New Roman"/>
          <w:b/>
          <w:color w:val="000000"/>
          <w:sz w:val="20"/>
        </w:rPr>
        <w:t>ARTICLE 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2" w:name="z_Toc40730634"/>
      <w:bookmarkEnd w:id="82"/>
      <w:r>
        <w:rPr>
          <w:rFonts w:ascii="Times New Roman" w:hAnsi="Times New Roman"/>
          <w:b/>
          <w:color w:val="000000"/>
          <w:sz w:val="20"/>
        </w:rPr>
        <w:t>Section 2.01</w:t>
      </w:r>
      <w:r>
        <w:rPr>
          <w:rFonts w:ascii="Times New Roman" w:hAnsi="Times New Roman"/>
          <w:color w:val="000000"/>
          <w:sz w:val="20"/>
        </w:rPr>
        <w:t xml:space="preserve">        </w:t>
      </w:r>
      <w:r>
        <w:rPr>
          <w:rFonts w:ascii="Times New Roman" w:hAnsi="Times New Roman"/>
          <w:b/>
          <w:i/>
          <w:color w:val="000000"/>
          <w:sz w:val="20"/>
        </w:rPr>
        <w:t>Issuable in Series.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The aggregate principal amount of Notes that may be authenticated and delivered under this Indenture is unlimited. The Notes may be issued in one or more Series. All Notes of a Series shall be identical except as may be set forth in a Board Resolution, a supplemental indenture or an Officer’s Certificate detailing the adoption of the terms thereof pursuant to the authority granted under a Board Resolution. In the case of Notes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Notes may differ between Series in respect of any matters, </w:t>
      </w:r>
      <w:r>
        <w:rPr>
          <w:rFonts w:ascii="Times New Roman" w:hAnsi="Times New Roman"/>
          <w:i/>
          <w:color w:val="000000"/>
          <w:sz w:val="20"/>
        </w:rPr>
        <w:t>provided</w:t>
      </w:r>
      <w:r>
        <w:rPr>
          <w:rFonts w:ascii="Times New Roman" w:hAnsi="Times New Roman"/>
          <w:color w:val="000000"/>
          <w:sz w:val="20"/>
        </w:rPr>
        <w:t xml:space="preserve"> that all Series of Notes shall be equally and ratably entitled to the benefits of this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3" w:name="z_Toc40730635"/>
      <w:bookmarkEnd w:id="83"/>
      <w:r>
        <w:rPr>
          <w:rFonts w:ascii="Times New Roman" w:hAnsi="Times New Roman"/>
          <w:b/>
          <w:color w:val="000000"/>
          <w:sz w:val="20"/>
        </w:rPr>
        <w:t>Section 2.02</w:t>
      </w:r>
      <w:r>
        <w:rPr>
          <w:rFonts w:ascii="Times New Roman" w:hAnsi="Times New Roman"/>
          <w:color w:val="000000"/>
          <w:sz w:val="20"/>
        </w:rPr>
        <w:t xml:space="preserve">        </w:t>
      </w:r>
      <w:r>
        <w:rPr>
          <w:rFonts w:ascii="Times New Roman" w:hAnsi="Times New Roman"/>
          <w:b/>
          <w:i/>
          <w:color w:val="000000"/>
          <w:sz w:val="20"/>
        </w:rPr>
        <w:t>Establishment of Terms of Series of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At or prior to the issuance of any Notes within a Series, the following shall be established (as to the Series generally, in the case of Subsection 2.02(a) and either as to such Notes within the Series or as to the Series generally in the case of Subsections 2.02(b) through 2.02(s)) by or pursuant to a Board Resolution, and set forth or determined in the manner provided in a Board Resolution, supplemental indenture or an Officer’s Certificate pursuant to authority granted under a Board Resolution: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title of the Series (which shall distinguish the Notes of that particular Series from the Notes of any other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price or prices (expressed as a percentage of the principal amount thereof) at which the Notes of the Series will be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any limit upon the aggregate principal amount of the Notes of the Series which may be authenticated and delivered under this Indenture (except for Notes authenticated and delivered upon registration of transfer of, or in exchange for, or in lieu of, other Notes of the Series pursuant to Section 2.07, 2.08, 2.11, 3.06 or 9.05);</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date or dates on which the principal of the Notes of the Series is payable;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the rate or rates (which may be fixed or variable) per annum or, if applicable, the method used to determine such rate or rates (including, but not limited to, any commodity, commodity index, stock exchange index or financial index) at which the Notes of the Series shall bear interest, if any, the date or dates from which such interest, if any, shall accrue, the date or dates on which such interest, if any, shall commence and be payable and any regular record date for the interest payable on any interest payment date, and the basis of computation of interest if other than on the basis of a 360-day year consisting of twelve 30-day months;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place or places where the principal of, premium and interest, if any, on the Notes of the Series shall be payable, where the Notes of such Series may be surrendered for registration of transfer or exchange and where notices and demands to or upon the Company in respect of the Notes of such Series and this Indenture may be served, and the method of such payment, if by wire transfer, mail or other means;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if applicable, the period or periods within which, the price or prices at which and the terms and conditions upon which the Notes of the Series may be redeemed, in whole or in part, at the option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the obligation, if any, of the Company to redeem or purchase the Notes of the Series pursuant to any sinking fund or analogous provisions or at the option of a Holder thereof and the period or periods within which, the price or prices at which and the terms and conditions upon which Notes of the Series shall be redeemed or purchased, in whole or in part, pursuant to such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the dates, if any, on which and the price or prices at which the Notes of the Series will be repurchased by the Company at the option of the Holders thereof and other detailed terms and provisions of such repurchase obligations;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the denominations in which the Notes of the Series shall be issuable, if other than minimum denominations of $2,000 and integral multiples of $1,000 in excess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the forms of the Notes of the Series in bearer or fully registered form (and, if in fully registered form, whether the Notes will be issuable as Global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if other than the principal amount thereof, the portion of the principal amount of the Notes of the Series that shall be payable upon declaration of acceleration of the maturity thereof pursuant to Section 6.02;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         the designation of the currency, currencies or currency units in which payment of the principal of, premium and interest, if any, on the Notes of the Series will be made if other than Dollars;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          whether the Notes of the Series may be exchangeable for and/or convertible into common shares of the Company or any other security;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          the provisions, if any, relating to any security provided for the Notes of the Series, and any subordination in right of payment, if any, of the Notes of the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          any addition to or change in the Events of Default which applies to any Notes of the Series and any change in the right of the Trustee or the requisite Holders of such Notes to declare the principal amount thereof due and payable pursuant to Section 6.02;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(q)          any addition to or change in the covenants set forth in Articles 4 or 5 that applies to Notes of the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          any other terms of the Notes of the Series (which may modify or delete any provision of this Indenture insofar as it applies to such Series);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          any depositaries, interest rate calculation agents, exchange rate calculation agents or other agents with respect to Notes of such Series if other than those appointed herein.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All Notes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a Series may be reopened, without the consent of the Holders, for issuances of additional Notes of such Series;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such additional Notes are not fungible with the Notes of such Series for U.S. federal income tax purposes, the additional Notes will have a separate CUSIP number. No Board Resolution or Officer’s Certificate may affect the Trustee’s own rights, duties or immunities under this Indenture or otherwise with respect to any series of Notes except as it may agree in writing.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4" w:name="z_Toc40730636"/>
      <w:bookmarkEnd w:id="84"/>
      <w:r>
        <w:rPr>
          <w:rFonts w:ascii="Times New Roman" w:hAnsi="Times New Roman"/>
          <w:b/>
          <w:color w:val="000000"/>
          <w:sz w:val="20"/>
        </w:rPr>
        <w:t>Section 2.03</w:t>
      </w:r>
      <w:r>
        <w:rPr>
          <w:rFonts w:ascii="Times New Roman" w:hAnsi="Times New Roman"/>
          <w:color w:val="000000"/>
          <w:sz w:val="20"/>
        </w:rPr>
        <w:t xml:space="preserve">        </w:t>
      </w:r>
      <w:r>
        <w:rPr>
          <w:rFonts w:ascii="Times New Roman" w:hAnsi="Times New Roman"/>
          <w:b/>
          <w:i/>
          <w:color w:val="000000"/>
          <w:sz w:val="20"/>
        </w:rPr>
        <w:t>Execution and Authentication.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One Officer shall sign the Notes for the Company by manual or facsimile signature. If an Officer whose signature is on a Note no longer holds that office at the time such Note is authenticated, such Note shall nevertheless be valid.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Note shall not be valid until authenticated by the manual signature of the Trustee. The signature shall be conclusive evidence that the Note, as applicable, has been authenticated under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shall, upon a written order of the Company signed by one Officer (an “</w:t>
      </w:r>
      <w:r>
        <w:rPr>
          <w:rFonts w:ascii="Times New Roman" w:hAnsi="Times New Roman"/>
          <w:color w:val="000000"/>
          <w:sz w:val="20"/>
          <w:u w:val="single"/>
        </w:rPr>
        <w:t>Authentication Order</w:t>
      </w:r>
      <w:r>
        <w:rPr>
          <w:rFonts w:ascii="Times New Roman" w:hAnsi="Times New Roman"/>
          <w:color w:val="000000"/>
          <w:sz w:val="20"/>
        </w:rPr>
        <w:t>”), authenticate Notes for original issue in accordance with this Indenture. The Notes shall be dated their date of authentication.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At any time and from time to time after the execution and delivery of this Indenture, the Company may deliver Notes of any Series executed by the Company to the Trustee for authentication, together with a Company Order for the authentication and delivery of such Notes, and the Trustee in accordance with the Company Order will authenticate and deliver such Notes. In authenticating such Notes, and accepting the additional responsibilities under this Indenture in relation to such Notes, the Trustee shall receive, and (subject to Section 7.01) will be fully protected in relying upon, an Opinion of Counsel stating: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that such form has been established in conformity with the provisions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that such terms have been established in conformity with the provisions of this Indenture;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that this Indenture and such Notes, when authenticated and delivered by the Trustee and, with respect to the Notes, when issued by the Company, in the manner and subject to any conditions specified in such Opinion of Counsel, will constitute valid and binding obligations of the Company enforceable in accordance with their terms, except as the enforceability thereof may be limited by bankruptcy, insolvency, reorganization, moratorium, or other laws relating to or affecting creditors’ rights and by general principles of equity.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5" w:name="z_Toc40730637"/>
      <w:bookmarkEnd w:id="85"/>
      <w:r>
        <w:rPr>
          <w:rFonts w:ascii="Times New Roman" w:hAnsi="Times New Roman"/>
          <w:b/>
          <w:color w:val="000000"/>
          <w:sz w:val="20"/>
        </w:rPr>
        <w:t>Section 2.04</w:t>
      </w:r>
      <w:r>
        <w:rPr>
          <w:rFonts w:ascii="Times New Roman" w:hAnsi="Times New Roman"/>
          <w:color w:val="000000"/>
          <w:sz w:val="20"/>
        </w:rPr>
        <w:t xml:space="preserve">        </w:t>
      </w:r>
      <w:r>
        <w:rPr>
          <w:rFonts w:ascii="Times New Roman" w:hAnsi="Times New Roman"/>
          <w:b/>
          <w:i/>
          <w:color w:val="000000"/>
          <w:sz w:val="20"/>
        </w:rPr>
        <w:t>Registrar and Paying Agent.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shall maintain an office or agency where Notes may be presented for registration of transfer or for exchange (“</w:t>
      </w:r>
      <w:r>
        <w:rPr>
          <w:rFonts w:ascii="Times New Roman" w:hAnsi="Times New Roman"/>
          <w:color w:val="000000"/>
          <w:sz w:val="20"/>
          <w:u w:val="single"/>
        </w:rPr>
        <w:t>Registrar</w:t>
      </w:r>
      <w:r>
        <w:rPr>
          <w:rFonts w:ascii="Times New Roman" w:hAnsi="Times New Roman"/>
          <w:color w:val="000000"/>
          <w:sz w:val="20"/>
        </w:rPr>
        <w:t>”) and an office or agency where Notes may be presented for payment (“</w:t>
      </w:r>
      <w:r>
        <w:rPr>
          <w:rFonts w:ascii="Times New Roman" w:hAnsi="Times New Roman"/>
          <w:color w:val="000000"/>
          <w:sz w:val="20"/>
          <w:u w:val="single"/>
        </w:rPr>
        <w:t>Paying Agent</w:t>
      </w:r>
      <w:r>
        <w:rPr>
          <w:rFonts w:ascii="Times New Roman" w:hAnsi="Times New Roman"/>
          <w:color w:val="000000"/>
          <w:sz w:val="20"/>
        </w:rPr>
        <w:t>”). The Registrar shall keep a register with respect to each Series of the Notes and of their transfer and exchange. The Company may appoint one or more co-registrars and one or more additional paying agents or change the office of such Registrar or Paying Agent. The term “Registrar” includes any co-registrar and the term “Paying Agent” includes any additional paying agent. The Company may change any Paying Agent or Registrar without notice to any Holder; however, the Company shall maintain a Paying Agent in each place of payment for the Notes of each Series.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initially appoints the Trustee to act as the Registrar and Paying Agent and to act as Custodian with respect to the Global Notes. The Company shall be responsible for making calculations called for under the Notes and this Indenture, including, but not limited to, determination of interest, additional amounts, redemption price, premium, if any, and any other amounts payable on the Notes. The Company will make the calculations in good faith and, absent manifest error, its calculations will be final and binding on the Holders. The Company will provide a schedule of its calculations to the Trustee when requested by the Trustee in writing, and the Trustee is entitled to rely conclusively on the accuracy of the Company’s calculations without independent verification. The Trustee shall forward the Company’s calculations to any Holder of the Notes upon the written request of such Holder.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6" w:name="z_Toc40730638"/>
      <w:bookmarkEnd w:id="86"/>
      <w:r>
        <w:rPr>
          <w:rFonts w:ascii="Times New Roman" w:hAnsi="Times New Roman"/>
          <w:b/>
          <w:color w:val="000000"/>
          <w:sz w:val="20"/>
        </w:rPr>
        <w:t>Section 2.05</w:t>
      </w:r>
      <w:r>
        <w:rPr>
          <w:rFonts w:ascii="Times New Roman" w:hAnsi="Times New Roman"/>
          <w:color w:val="000000"/>
          <w:sz w:val="20"/>
        </w:rPr>
        <w:t xml:space="preserve">        </w:t>
      </w:r>
      <w:r>
        <w:rPr>
          <w:rFonts w:ascii="Times New Roman" w:hAnsi="Times New Roman"/>
          <w:b/>
          <w:i/>
          <w:color w:val="000000"/>
          <w:sz w:val="20"/>
        </w:rPr>
        <w:t>Paying Agent to Hold Money in Trust.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shall require each Paying Agent other than the Trustee to agree in writing that the Paying Agent will hold in trust, for the benefit of Holders of any Series of Notes, or the Trustee, all money held by the Paying Agent for the payment of principal or interest on the Series of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Subject to applicable abandoned property law, all payments to a Paying Agent on any Notes which remain unclaimed for a period of two years after such payment was due shall be repaid to the Company. Thereafter, the Holder may look only to the Company for repayment. Upon payment over to the Trustee, or to the Company, as the case may be, the Paying Agent (if other than the Company or a Subsidiary) shall have no further liability for the money. If the Company or a Subsidiary acts as Paying Agent, it shall segregate and hold in a separate trust fund for the benefit of Holders of any Series of Notes all money held by it as Paying Agent. Upon any bankruptcy or reorganization proceedings relating to the Company, the Trustee shall serve as Paying Agent for the Notes.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87" w:name="z_Toc40730639"/>
      <w:bookmarkEnd w:id="87"/>
      <w:r>
        <w:rPr>
          <w:rFonts w:ascii="Times New Roman" w:hAnsi="Times New Roman"/>
          <w:b/>
          <w:color w:val="000000"/>
          <w:sz w:val="20"/>
        </w:rPr>
        <w:t>Section 2.06</w:t>
      </w:r>
      <w:r>
        <w:rPr>
          <w:rFonts w:ascii="Times New Roman" w:hAnsi="Times New Roman"/>
          <w:color w:val="000000"/>
          <w:sz w:val="20"/>
        </w:rPr>
        <w:t xml:space="preserve">        </w:t>
      </w:r>
      <w:r>
        <w:rPr>
          <w:rFonts w:ascii="Times New Roman" w:hAnsi="Times New Roman"/>
          <w:b/>
          <w:i/>
          <w:color w:val="000000"/>
          <w:sz w:val="20"/>
        </w:rPr>
        <w:t>Holder Lists.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shall preserve in as current a form as is reasonably practicable the most recent list available to it of the names and addresses of Holders of each Series of Notes and shall otherwise comply with TIA Section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Holders of each Series of Notes and the Company shall otherwise comply with Section 312(a) of the TIA.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8" w:name="z_Toc40730640"/>
      <w:bookmarkEnd w:id="88"/>
      <w:r>
        <w:rPr>
          <w:rFonts w:ascii="Times New Roman" w:hAnsi="Times New Roman"/>
          <w:b/>
          <w:color w:val="000000"/>
          <w:sz w:val="20"/>
        </w:rPr>
        <w:t>Section 2.07</w:t>
      </w:r>
      <w:r>
        <w:rPr>
          <w:rFonts w:ascii="Times New Roman" w:hAnsi="Times New Roman"/>
          <w:color w:val="000000"/>
          <w:sz w:val="20"/>
        </w:rPr>
        <w:t xml:space="preserve">        </w:t>
      </w:r>
      <w:r>
        <w:rPr>
          <w:rFonts w:ascii="Times New Roman" w:hAnsi="Times New Roman"/>
          <w:b/>
          <w:i/>
          <w:color w:val="000000"/>
          <w:sz w:val="20"/>
        </w:rPr>
        <w:t>Transfer and Exchange.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Notes may be transferred or exchanged at the office of the Registrar or co-registrar designated by the Company. Where Notes of a Series are presented to the Registrar or a co-registrar with a request to register a transfer or to exchange them for an equal principal amount of Notes of the same Series, the Registrar shall register the transfer or make the exchange if its requirements for such transactions are met. To permit registrations of transfers and exchanges, the Trustee shall authenticate Notes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9.05).</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Neither the Company nor the Registrar shall be required (a) to issue, register the transfer of, or exchange Notes of any Series for the period beginning at the opening of business fifteen days immediately preceding the mailing or sending of a notice of redemption of Notes of that Series selected for redemption and ending at the close of business on the day of such mailing or sending, or (b) to register the transfer of or exchange Notes of any Series selected, called or being called for redemption as a whole or a portion thereof, except the unredeemed portion of Notes being redeemed in part.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89" w:name="z_Toc40730641"/>
      <w:bookmarkEnd w:id="89"/>
      <w:r>
        <w:rPr>
          <w:rFonts w:ascii="Times New Roman" w:hAnsi="Times New Roman"/>
          <w:b/>
          <w:color w:val="000000"/>
          <w:sz w:val="20"/>
        </w:rPr>
        <w:t>Section 2.08</w:t>
      </w:r>
      <w:r>
        <w:rPr>
          <w:rFonts w:ascii="Times New Roman" w:hAnsi="Times New Roman"/>
          <w:color w:val="000000"/>
          <w:sz w:val="20"/>
        </w:rPr>
        <w:t xml:space="preserve">        </w:t>
      </w:r>
      <w:r>
        <w:rPr>
          <w:rFonts w:ascii="Times New Roman" w:hAnsi="Times New Roman"/>
          <w:b/>
          <w:i/>
          <w:color w:val="000000"/>
          <w:sz w:val="20"/>
        </w:rPr>
        <w:t>Replacement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any mutilated Note is surrendered to the Trustee, or if the Company and the Trustee receive evidence to their satisfaction of the destruction, loss or theft of any Note, the Company shall issue and the Trustee, upon receipt of an Authentication Order together with such indemnity or security sufficient in the judgment of the Trustee and the Company to protect the Company, the Trustee, any Agent and any authenticating agent from any loss that any of them may suffer if a Note is replaced, shall authenticate a replacement Note of the same Series if the Trustee’s requirements are met. The Company may charge for its expenses in replacing a Note.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Every replacement Note of any Series is an additional obligation of the Company and shall be entitled to all of the benefits of this Indenture equally and proportionately with all other Notes of that Series duly issued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90" w:name="z_Toc40730642"/>
      <w:bookmarkEnd w:id="90"/>
      <w:r>
        <w:rPr>
          <w:rFonts w:ascii="Times New Roman" w:hAnsi="Times New Roman"/>
          <w:b/>
          <w:color w:val="000000"/>
          <w:sz w:val="20"/>
        </w:rPr>
        <w:t>Section 2.09</w:t>
      </w:r>
      <w:r>
        <w:rPr>
          <w:rFonts w:ascii="Times New Roman" w:hAnsi="Times New Roman"/>
          <w:color w:val="000000"/>
          <w:sz w:val="20"/>
        </w:rPr>
        <w:t xml:space="preserve">        </w:t>
      </w:r>
      <w:r>
        <w:rPr>
          <w:rFonts w:ascii="Times New Roman" w:hAnsi="Times New Roman"/>
          <w:b/>
          <w:i/>
          <w:color w:val="000000"/>
          <w:sz w:val="20"/>
        </w:rPr>
        <w:t>Outstanding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2.10 hereof, a Note does not cease to be outstanding because the Company or an Affiliate of the Company holds the Note.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 Note is replaced pursuant to Section 2.08 hereof, it ceases to be outstanding unless the Trustee receives proof satisfactory to it that the replaced Note is held by a bona fide purchaser.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principal amount of any Note is considered paid under Section 4.01 hereof, it ceases to be outstanding and interest on it ceases to accrue.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1" w:name="z_Toc40730643"/>
      <w:bookmarkEnd w:id="91"/>
      <w:r>
        <w:rPr>
          <w:rFonts w:ascii="Times New Roman" w:hAnsi="Times New Roman"/>
          <w:b/>
          <w:color w:val="000000"/>
          <w:sz w:val="20"/>
        </w:rPr>
        <w:t>Section 2.10</w:t>
      </w:r>
      <w:r>
        <w:rPr>
          <w:rFonts w:ascii="Times New Roman" w:hAnsi="Times New Roman"/>
          <w:color w:val="000000"/>
          <w:sz w:val="20"/>
        </w:rPr>
        <w:t xml:space="preserve">        </w:t>
      </w:r>
      <w:r>
        <w:rPr>
          <w:rFonts w:ascii="Times New Roman" w:hAnsi="Times New Roman"/>
          <w:b/>
          <w:i/>
          <w:color w:val="000000"/>
          <w:sz w:val="20"/>
        </w:rPr>
        <w:t>Treasury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determining whether the Holders of the required principal amount of Notes of a Series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of a Series that a Responsible Officer of the Trustee actually knows are so owned shall be so disregarded.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2" w:name="z_Toc40730644"/>
      <w:bookmarkEnd w:id="92"/>
      <w:r>
        <w:rPr>
          <w:rFonts w:ascii="Times New Roman" w:hAnsi="Times New Roman"/>
          <w:b/>
          <w:color w:val="000000"/>
          <w:sz w:val="20"/>
        </w:rPr>
        <w:t>Section 2.11</w:t>
      </w:r>
      <w:r>
        <w:rPr>
          <w:rFonts w:ascii="Times New Roman" w:hAnsi="Times New Roman"/>
          <w:color w:val="000000"/>
          <w:sz w:val="20"/>
        </w:rPr>
        <w:t xml:space="preserve">        </w:t>
      </w:r>
      <w:r>
        <w:rPr>
          <w:rFonts w:ascii="Times New Roman" w:hAnsi="Times New Roman"/>
          <w:b/>
          <w:i/>
          <w:color w:val="000000"/>
          <w:sz w:val="20"/>
        </w:rPr>
        <w:t>Temporary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definitive Notes in exchange for temporary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Holders of temporary Notes shall be entitled to all of the benefits of this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3" w:name="z_Toc40730645"/>
      <w:bookmarkEnd w:id="93"/>
      <w:r>
        <w:rPr>
          <w:rFonts w:ascii="Times New Roman" w:hAnsi="Times New Roman"/>
          <w:b/>
          <w:color w:val="000000"/>
          <w:sz w:val="20"/>
        </w:rPr>
        <w:t>Section 2.12</w:t>
      </w:r>
      <w:r>
        <w:rPr>
          <w:rFonts w:ascii="Times New Roman" w:hAnsi="Times New Roman"/>
          <w:color w:val="000000"/>
          <w:sz w:val="20"/>
        </w:rPr>
        <w:t xml:space="preserve">        </w:t>
      </w:r>
      <w:r>
        <w:rPr>
          <w:rFonts w:ascii="Times New Roman" w:hAnsi="Times New Roman"/>
          <w:b/>
          <w:i/>
          <w:color w:val="000000"/>
          <w:sz w:val="20"/>
        </w:rPr>
        <w:t>Cancellation.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The Company may not issue new Notes to replace Notes that it has paid or that have been delivered to the Trustee for cancellation. Cancelled Notes shall be disposed of by the Trustee (subject to the record retention requirement of the Exchange Act) pursuant to its standard procedures and, upon request by the Company, the Trustee shall deliver a certificate or other evidence of such disposition.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4" w:name="z_Toc40730646"/>
      <w:bookmarkEnd w:id="94"/>
      <w:r>
        <w:rPr>
          <w:rFonts w:ascii="Times New Roman" w:hAnsi="Times New Roman"/>
          <w:b/>
          <w:color w:val="000000"/>
          <w:sz w:val="20"/>
        </w:rPr>
        <w:t>Section 2.13</w:t>
      </w:r>
      <w:r>
        <w:rPr>
          <w:rFonts w:ascii="Times New Roman" w:hAnsi="Times New Roman"/>
          <w:color w:val="000000"/>
          <w:sz w:val="20"/>
        </w:rPr>
        <w:t xml:space="preserve">        </w:t>
      </w:r>
      <w:r>
        <w:rPr>
          <w:rFonts w:ascii="Times New Roman" w:hAnsi="Times New Roman"/>
          <w:b/>
          <w:i/>
          <w:color w:val="000000"/>
          <w:sz w:val="20"/>
        </w:rPr>
        <w:t>Defaulted Interest.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If the Company defaults in a payment of interest on a Series of Notes, it shall pay the defaulted interest in any lawful manner plus, to the extent lawful, interest payable on the defaulted interest, to the Persons who are Holders of the Series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w:t>
      </w:r>
      <w:r>
        <w:rPr>
          <w:rFonts w:ascii="Times New Roman" w:hAnsi="Times New Roman"/>
          <w:i/>
          <w:color w:val="000000"/>
          <w:sz w:val="20"/>
        </w:rPr>
        <w:t>provided</w:t>
      </w:r>
      <w:r>
        <w:rPr>
          <w:rFonts w:ascii="Times New Roman" w:hAnsi="Times New Roman"/>
          <w:color w:val="000000"/>
          <w:sz w:val="20"/>
        </w:rPr>
        <w:t xml:space="preserve"> that no 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(or, in the case of the Depositary with respect to any Global Note, sent electronically) to Holders a notice that states the special record date, the related payment date and the amount of such interest to be paid.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95" w:name="z_Toc40730647"/>
      <w:bookmarkEnd w:id="95"/>
      <w:r>
        <w:rPr>
          <w:rFonts w:ascii="Times New Roman" w:hAnsi="Times New Roman"/>
          <w:b/>
          <w:color w:val="000000"/>
          <w:sz w:val="20"/>
        </w:rPr>
        <w:t>Section 2.14</w:t>
      </w:r>
      <w:r>
        <w:rPr>
          <w:rFonts w:ascii="Times New Roman" w:hAnsi="Times New Roman"/>
          <w:color w:val="000000"/>
          <w:sz w:val="20"/>
        </w:rPr>
        <w:t xml:space="preserve">        </w:t>
      </w:r>
      <w:r>
        <w:rPr>
          <w:rFonts w:ascii="Times New Roman" w:hAnsi="Times New Roman"/>
          <w:b/>
          <w:i/>
          <w:color w:val="000000"/>
          <w:sz w:val="20"/>
        </w:rPr>
        <w:t>Global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Terms of Notes</w:t>
      </w:r>
      <w:r>
        <w:rPr>
          <w:rFonts w:ascii="Times New Roman" w:hAnsi="Times New Roman"/>
          <w:color w:val="000000"/>
          <w:sz w:val="20"/>
        </w:rPr>
        <w:t>. A Board Resolution, a supplemental indenture hereto, or an Officer’s Certificate shall establish whether the Notes of a Series shall be issued in whole or in part in the form of one or more Global Notes and shall name the Depositary for such Global Note or Notes. Except as provided herein, each Global Note shall be (i) registered in the name of the Depositary, (ii) deposited with the Depositary or its nominee, and (iii) bear the legend indicated in Section 2.14(c).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Transfer and Exchange</w:t>
      </w:r>
      <w:r>
        <w:rPr>
          <w:rFonts w:ascii="Times New Roman" w:hAnsi="Times New Roman"/>
          <w:color w:val="000000"/>
          <w:sz w:val="20"/>
        </w:rPr>
        <w:t>. Notwithstanding any provisions to the contrary contained in Section 2.07 and in addition thereto, any Global Note shall be exchangeable pursuant to Section 2.07 for Notes registered in the names of Holders other than the Depositary for such Note or its nominee only if (i) such Depositary notifies the Company that it is unwilling or unable to continue as Depositary for such Global Note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Note shall be so exchangeable or (iii) an Event of Default with respect to the Notes represented by such Global Note shall have happened and be continuing. Any Global Note that is exchangeable pursuant to the preceding sentence shall be exchangeable for Notes registered in such names as the Depositary shall direct in writing in an aggregate principal amount equal to the principal amount of the Global Note with like tenor and terms.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Except as provided in this Section 2.14(b),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Legend</w:t>
      </w:r>
      <w:r>
        <w:rPr>
          <w:rFonts w:ascii="Times New Roman" w:hAnsi="Times New Roman"/>
          <w:color w:val="000000"/>
          <w:sz w:val="20"/>
        </w:rPr>
        <w:t>. Any Global Note issued hereunder shall bear a legend in substantially the following form:</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Acts of Holders</w:t>
      </w:r>
      <w:r>
        <w:rPr>
          <w:rFonts w:ascii="Times New Roman" w:hAnsi="Times New Roman"/>
          <w:color w:val="000000"/>
          <w:sz w:val="20"/>
        </w:rPr>
        <w:t>. The Depositary, as a Holder, may appoint agents and otherwise authorize participants to give or take any request, demand, authorization, direction, notice, consent, waiver or other action which a Holder is entitled to give or take under this Indenture. The record date for purposes of determining the identity of Holders entitled to vote or consent to any action by vote or consent authorized or permitted under this Indenture may be determined as provided for in Section 316(c) of the TIA.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Payments</w:t>
      </w:r>
      <w:r>
        <w:rPr>
          <w:rFonts w:ascii="Times New Roman" w:hAnsi="Times New Roman"/>
          <w:color w:val="000000"/>
          <w:sz w:val="20"/>
        </w:rPr>
        <w:t>. Notwithstanding the other provisions of this Indenture, unless otherwise specified as contemplated by Section 2.02, payment of the principal of and interest, if any, on any Global Note shall be made to the Holder thereof. Prior to due presentment of a Note for registration of transfer, the Company, the Trustee, and any agent of the Company or the Trustee may treat the Person in whose name such Note is registered as the owner of such Note at the close of business on the regular record date for the purpose of receiving payment of principal of and any premium and (subject to Section 2.13) any interest on such Note and for all other purposes whatsoever, whether or not such Note shall be overdue, and neither the Company, the Trustee nor any agent of the Company or the Trustee will be affected by notice to the contrary.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Consents, Declaration and Directions</w:t>
      </w:r>
      <w:r>
        <w:rPr>
          <w:rFonts w:ascii="Times New Roman" w:hAnsi="Times New Roman"/>
          <w:color w:val="000000"/>
          <w:sz w:val="20"/>
        </w:rPr>
        <w:t>. Except as provided in Section 2.14(e), the Company, the Trustee and any Agent shall treat a person as the Holder of such principal amount of outstanding Notes of such Series represented by a Global Note as shall be specified in a written statement of the Depositary with respect to such Global Note, for purposes of obtaining any consents, declarations, waivers or directions required to be given by the Holders pursuant to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Responsibility of Trustee or Agents</w:t>
      </w:r>
      <w:r>
        <w:rPr>
          <w:rFonts w:ascii="Times New Roman" w:hAnsi="Times New Roman"/>
          <w:color w:val="000000"/>
          <w:sz w:val="20"/>
        </w:rPr>
        <w:t>. Neither the Trustee nor any Agent shall have any responsibility for any actions taken or not taken by the Depositary. The Company has entered into a letter of representations with the Depositary in the form provided by the Depositary and the Trustee and each Agent is hereby authorized to act in accordance with such letter and the Applicable Procedures.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6" w:name="z_Toc40730648"/>
      <w:bookmarkEnd w:id="96"/>
      <w:r>
        <w:rPr>
          <w:rFonts w:ascii="Times New Roman" w:hAnsi="Times New Roman"/>
          <w:b/>
          <w:color w:val="000000"/>
          <w:sz w:val="20"/>
        </w:rPr>
        <w:t>Section 2.15</w:t>
      </w:r>
      <w:r>
        <w:rPr>
          <w:rFonts w:ascii="Times New Roman" w:hAnsi="Times New Roman"/>
          <w:color w:val="000000"/>
          <w:sz w:val="20"/>
        </w:rPr>
        <w:t xml:space="preserve">        </w:t>
      </w:r>
      <w:r>
        <w:rPr>
          <w:rFonts w:ascii="Times New Roman" w:hAnsi="Times New Roman"/>
          <w:b/>
          <w:i/>
          <w:color w:val="000000"/>
          <w:sz w:val="20"/>
        </w:rPr>
        <w:t>CUSIP Number.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The Company in issuing the Notes may use “CUSIP” numbers (if then generally in use), and, if so, the Trustee shall use CUSIP numbers in notices as a convenience to Holders; </w:t>
      </w:r>
      <w:r>
        <w:rPr>
          <w:rFonts w:ascii="Times New Roman" w:hAnsi="Times New Roman"/>
          <w:i/>
          <w:color w:val="000000"/>
          <w:sz w:val="20"/>
        </w:rPr>
        <w:t>provided</w:t>
      </w:r>
      <w:r>
        <w:rPr>
          <w:rFonts w:ascii="Times New Roman" w:hAnsi="Times New Roman"/>
          <w:color w:val="000000"/>
          <w:sz w:val="20"/>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such notice shall not be affected by any defect in or the omission of such numbers. The Company shall promptly notify the Trustee in writing of any change in the CUSIP numbers.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97" w:name="z_Toc40730649"/>
      <w:bookmarkEnd w:id="97"/>
      <w:r>
        <w:rPr>
          <w:rFonts w:ascii="Times New Roman" w:hAnsi="Times New Roman"/>
          <w:b/>
          <w:color w:val="000000"/>
          <w:sz w:val="20"/>
        </w:rPr>
        <w:t>ARTICLE 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REDEMPTION AND PREPAYMENT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8" w:name="z_Toc40730650"/>
      <w:bookmarkEnd w:id="98"/>
      <w:r>
        <w:rPr>
          <w:rFonts w:ascii="Times New Roman" w:hAnsi="Times New Roman"/>
          <w:b/>
          <w:color w:val="000000"/>
          <w:sz w:val="20"/>
        </w:rPr>
        <w:t>Section 3.01</w:t>
      </w:r>
      <w:r>
        <w:rPr>
          <w:rFonts w:ascii="Times New Roman" w:hAnsi="Times New Roman"/>
          <w:color w:val="000000"/>
          <w:sz w:val="20"/>
        </w:rPr>
        <w:t xml:space="preserve">        </w:t>
      </w:r>
      <w:r>
        <w:rPr>
          <w:rFonts w:ascii="Times New Roman" w:hAnsi="Times New Roman"/>
          <w:b/>
          <w:i/>
          <w:color w:val="000000"/>
          <w:sz w:val="20"/>
        </w:rPr>
        <w:t>Notice to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may, with respect to any Series of Notes, reserve the right to redeem and pay the Series of Notes or may covenant to redeem and pay the Series of Notes or any part thereof prior to the Stated Maturity thereof at such time and on such terms as provided for in such Notes. If a Series of Notes is redeemable and the Company wants or is obligated to redeem prior to the Stated Maturity thereof all or part of the Series of Notes pursuant to the terms of such Notes, it shall notify the Trustee in writing of the redemption date and the principal amount of Series of Notes to be redeemed. The Company shall give the notice at least 15 days prior to the mailing or sending of notice of redemption to the Holders of the Notes to be redeemed (or such shorter notice as may be acceptable to the Trustee).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99" w:name="z_Toc40730651"/>
      <w:bookmarkEnd w:id="99"/>
      <w:r>
        <w:rPr>
          <w:rFonts w:ascii="Times New Roman" w:hAnsi="Times New Roman"/>
          <w:b/>
          <w:color w:val="000000"/>
          <w:sz w:val="20"/>
        </w:rPr>
        <w:t>Section 3.02</w:t>
      </w:r>
      <w:r>
        <w:rPr>
          <w:rFonts w:ascii="Times New Roman" w:hAnsi="Times New Roman"/>
          <w:color w:val="000000"/>
          <w:sz w:val="20"/>
        </w:rPr>
        <w:t xml:space="preserve">        </w:t>
      </w:r>
      <w:r>
        <w:rPr>
          <w:rFonts w:ascii="Times New Roman" w:hAnsi="Times New Roman"/>
          <w:b/>
          <w:i/>
          <w:color w:val="000000"/>
          <w:sz w:val="20"/>
        </w:rPr>
        <w:t>Selection of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If less than all of the Notes of a Series are to be redeemed or purchased in an offer to purchase at any time, the Trustee (subject to the applicable procedures of the Depositary) shall select the Notes of a Series to be redeemed or purchased among the Holders of the Notes (a) in compliance with the requirements of the principal national securities exchange, if any, on which the Notes are listed or, (b) if the Notes are not so listed, on a </w:t>
      </w:r>
      <w:r>
        <w:rPr>
          <w:rFonts w:ascii="Times New Roman" w:hAnsi="Times New Roman"/>
          <w:i/>
          <w:color w:val="000000"/>
          <w:sz w:val="20"/>
        </w:rPr>
        <w:t>pro rata</w:t>
      </w:r>
      <w:r>
        <w:rPr>
          <w:rFonts w:ascii="Times New Roman" w:hAnsi="Times New Roman"/>
          <w:color w:val="000000"/>
          <w:sz w:val="20"/>
        </w:rPr>
        <w:t xml:space="preserve"> basis, by lot or in accordance with any other method the Trustee considers fair and appropriate.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shall promptly notify the Company in writing of the Notes selected for redemption and, in the case of any Note selected for partial redemption, the principal amount thereof to be redeemed. Notes of a Series and portions of them selected shall be in amounts of no less than $2,000 and whole multiples of $1,000 in excess thereof, or with respect to Notes of any Series issuable in other denominations pursuant to Section 2.02(j), the minimum principal denomination for each Series and integral multiples thereof. Except as provided in the preceding sentence, provisions of this Indenture that apply to Notes of a Series called for redemption or repurchase also apply to portions of Notes of a Series called for redemption or repurchase.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0" w:name="z_Toc40730652"/>
      <w:bookmarkEnd w:id="100"/>
      <w:r>
        <w:rPr>
          <w:rFonts w:ascii="Times New Roman" w:hAnsi="Times New Roman"/>
          <w:b/>
          <w:color w:val="000000"/>
          <w:sz w:val="20"/>
        </w:rPr>
        <w:t>Section 3.03</w:t>
      </w:r>
      <w:r>
        <w:rPr>
          <w:rFonts w:ascii="Times New Roman" w:hAnsi="Times New Roman"/>
          <w:color w:val="000000"/>
          <w:sz w:val="20"/>
        </w:rPr>
        <w:t xml:space="preserve">        </w:t>
      </w:r>
      <w:r>
        <w:rPr>
          <w:rFonts w:ascii="Times New Roman" w:hAnsi="Times New Roman"/>
          <w:b/>
          <w:i/>
          <w:color w:val="000000"/>
          <w:sz w:val="20"/>
        </w:rPr>
        <w:t>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Unless otherwise indicated for a particular Series by Board Resolution, a supplemental indenture hereto or an Officer’s Certificate, at least 30 days but not more than 60 days before a redemption date, the Company shall mail or cause to be mailed, by first class mail, or, in the case of the Depositary with respect to any Global Note, sent electronically, a notice of redemption to each Holder whose Notes are to be redeemed at its registered address.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notice shall identify the Notes of the Series to be redeemed and shall state: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redemption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redemption price (or manner of calculation if not then known);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name and address of the Paying Agent;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that Notes of the Series called for redemption must be surrendered to the Paying Agent to collect the redemption price;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that interest on Notes of the Series called for redemption ceases to accrue on and after the redemption date;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the CUSIP number, if any, provided that no representation is made as to the correctness or accuracy of the CUSIP number, if any, listed in such notice or printed on the Notes;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the conditions precedent, if any, to the redemption;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(8)          any other information as may be required by the terms of the particular Series of the Notes or the Notes of a Series being redeemed.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At the Company’s request, and upon receipt of an Officer’s Certificate complying with Section 11.04 hereof at least 15 days prior to the date notice is to be given (unless a shorter period shall be satisfactory to the Trustee), together with the notice to be given setting forth the information to be stated therein as provided in the preceding paragraph, the Trustee shall give the notice of redemption in the Company’s name and at its expense.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1" w:name="z_Toc40730653"/>
      <w:bookmarkEnd w:id="101"/>
      <w:r>
        <w:rPr>
          <w:rFonts w:ascii="Times New Roman" w:hAnsi="Times New Roman"/>
          <w:b/>
          <w:color w:val="000000"/>
          <w:sz w:val="20"/>
        </w:rPr>
        <w:t>Section 3.04</w:t>
      </w:r>
      <w:r>
        <w:rPr>
          <w:rFonts w:ascii="Times New Roman" w:hAnsi="Times New Roman"/>
          <w:color w:val="000000"/>
          <w:sz w:val="20"/>
        </w:rPr>
        <w:t xml:space="preserve">        </w:t>
      </w:r>
      <w:r>
        <w:rPr>
          <w:rFonts w:ascii="Times New Roman" w:hAnsi="Times New Roman"/>
          <w:b/>
          <w:i/>
          <w:color w:val="000000"/>
          <w:sz w:val="20"/>
        </w:rPr>
        <w:t>Effect of 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Once notice of redemption is sent in accordance with Section 3.03 hereof, Notes called for redemption become irrevocably due and payable on the redemption date at the redemption price. Unless otherwise indicated for a particular Series by Board Resolution, a supplemental indenture hereto or an Officer’s Certificate, a notice of redemption may not be conditional.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2" w:name="z_Toc40730654"/>
      <w:bookmarkEnd w:id="102"/>
      <w:r>
        <w:rPr>
          <w:rFonts w:ascii="Times New Roman" w:hAnsi="Times New Roman"/>
          <w:b/>
          <w:color w:val="000000"/>
          <w:sz w:val="20"/>
        </w:rPr>
        <w:t>Section 3.05</w:t>
      </w:r>
      <w:r>
        <w:rPr>
          <w:rFonts w:ascii="Times New Roman" w:hAnsi="Times New Roman"/>
          <w:color w:val="000000"/>
          <w:sz w:val="20"/>
        </w:rPr>
        <w:t xml:space="preserve">        </w:t>
      </w:r>
      <w:r>
        <w:rPr>
          <w:rFonts w:ascii="Times New Roman" w:hAnsi="Times New Roman"/>
          <w:b/>
          <w:i/>
          <w:color w:val="000000"/>
          <w:sz w:val="20"/>
        </w:rPr>
        <w:t>Deposit of Redemption Price.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At least one Business Day prior to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Company complies with the provisions of the preceding paragraph, on and after the redemption date, interest shall cease to accrue on the Notes or the portions of Notes called for redemption.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3" w:name="z_Toc40730655"/>
      <w:bookmarkEnd w:id="103"/>
      <w:r>
        <w:rPr>
          <w:rFonts w:ascii="Times New Roman" w:hAnsi="Times New Roman"/>
          <w:b/>
          <w:color w:val="000000"/>
          <w:sz w:val="20"/>
        </w:rPr>
        <w:t>Section 3.06</w:t>
      </w:r>
      <w:r>
        <w:rPr>
          <w:rFonts w:ascii="Times New Roman" w:hAnsi="Times New Roman"/>
          <w:color w:val="000000"/>
          <w:sz w:val="20"/>
        </w:rPr>
        <w:t xml:space="preserve">        </w:t>
      </w:r>
      <w:r>
        <w:rPr>
          <w:rFonts w:ascii="Times New Roman" w:hAnsi="Times New Roman"/>
          <w:b/>
          <w:i/>
          <w:color w:val="000000"/>
          <w:sz w:val="20"/>
        </w:rPr>
        <w:t>Notes Redeemed in Part.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surrender of a Note that is redeemed in part, the Company shall issue and, upon the Company’s written request, the Trustee shall authenticate for the Holder, or transfer by book-entry, at the expense of the Company, a new Note equal in principal amount to the unredeemed portion of the Note surrendered.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 Notes of $2,000 or less can be redeemed in part (or with respect to Notes of any Series issuable in other denominations pursuant to Section 2.02(j), the minimum denomination for each Series and integral multiples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04" w:name="z_Toc40730656"/>
      <w:bookmarkEnd w:id="104"/>
      <w:r>
        <w:rPr>
          <w:rFonts w:ascii="Times New Roman" w:hAnsi="Times New Roman"/>
          <w:b/>
          <w:color w:val="000000"/>
          <w:sz w:val="20"/>
        </w:rPr>
        <w:t>ARTICLE 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COVENANTS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5" w:name="z_Toc40730657"/>
      <w:bookmarkEnd w:id="105"/>
      <w:r>
        <w:rPr>
          <w:rFonts w:ascii="Times New Roman" w:hAnsi="Times New Roman"/>
          <w:b/>
          <w:color w:val="000000"/>
          <w:sz w:val="20"/>
        </w:rPr>
        <w:t>Section 4.01</w:t>
      </w:r>
      <w:r>
        <w:rPr>
          <w:rFonts w:ascii="Times New Roman" w:hAnsi="Times New Roman"/>
          <w:color w:val="000000"/>
          <w:sz w:val="20"/>
        </w:rPr>
        <w:t xml:space="preserve">        </w:t>
      </w:r>
      <w:r>
        <w:rPr>
          <w:rFonts w:ascii="Times New Roman" w:hAnsi="Times New Roman"/>
          <w:b/>
          <w:i/>
          <w:color w:val="000000"/>
          <w:sz w:val="20"/>
        </w:rPr>
        <w:t>Payment of Principal and Interest.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covenants and agrees for the benefit of the Holders of each Series of Notes that it will pay or cause to be paid the principal of, premium, if any, and interest on such Series of Notes on the dates and in the manner provided in such Notes. Principal, premium, if any, and interest on any Series of Notes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6" w:name="z_Toc40730658"/>
      <w:bookmarkEnd w:id="106"/>
      <w:r>
        <w:rPr>
          <w:rFonts w:ascii="Times New Roman" w:hAnsi="Times New Roman"/>
          <w:b/>
          <w:color w:val="000000"/>
          <w:sz w:val="20"/>
        </w:rPr>
        <w:t>Section 4.02</w:t>
      </w:r>
      <w:r>
        <w:rPr>
          <w:rFonts w:ascii="Times New Roman" w:hAnsi="Times New Roman"/>
          <w:color w:val="000000"/>
          <w:sz w:val="20"/>
        </w:rPr>
        <w:t xml:space="preserve">        </w:t>
      </w:r>
      <w:r>
        <w:rPr>
          <w:rFonts w:ascii="Times New Roman" w:hAnsi="Times New Roman"/>
          <w:b/>
          <w:i/>
          <w:color w:val="000000"/>
          <w:sz w:val="20"/>
        </w:rPr>
        <w:t>Maintenance of Office or Agency.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covenants and agrees for the benefit of the Holders of each Series of Notes that it will maintain an office or agency (which may be an office of the Trustee for such Notes or an affiliate of the Trustee, Registrar for such Notes or co-registrar) where Notes may be surrendered for registration of transfer or for exchange and where notices and demands to or upon the Company in respect of such Notes and this Indenture may be served. The Company will give prompt written notice to the Trustee for such Notes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With respect to each Series of Notes, the Company hereby designates the Corporate Trust Office of the Trustee as one such office or agency of the Company in accordance with Section 2.04.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7" w:name="z_Toc40730659"/>
      <w:bookmarkEnd w:id="107"/>
      <w:r>
        <w:rPr>
          <w:rFonts w:ascii="Times New Roman" w:hAnsi="Times New Roman"/>
          <w:b/>
          <w:color w:val="000000"/>
          <w:sz w:val="20"/>
        </w:rPr>
        <w:t>Section 4.03</w:t>
      </w:r>
      <w:r>
        <w:rPr>
          <w:rFonts w:ascii="Times New Roman" w:hAnsi="Times New Roman"/>
          <w:color w:val="000000"/>
          <w:sz w:val="20"/>
        </w:rPr>
        <w:t xml:space="preserve">        </w:t>
      </w:r>
      <w:r>
        <w:rPr>
          <w:rFonts w:ascii="Times New Roman" w:hAnsi="Times New Roman"/>
          <w:b/>
          <w:i/>
          <w:color w:val="000000"/>
          <w:sz w:val="20"/>
        </w:rPr>
        <w:t>Reports.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will at all times comply with Section 314(a) of the TIA.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8" w:name="z_Toc40730660"/>
      <w:bookmarkEnd w:id="108"/>
      <w:r>
        <w:rPr>
          <w:rFonts w:ascii="Times New Roman" w:hAnsi="Times New Roman"/>
          <w:b/>
          <w:color w:val="000000"/>
          <w:sz w:val="20"/>
        </w:rPr>
        <w:t>Section 4.04</w:t>
      </w:r>
      <w:r>
        <w:rPr>
          <w:rFonts w:ascii="Times New Roman" w:hAnsi="Times New Roman"/>
          <w:color w:val="000000"/>
          <w:sz w:val="20"/>
        </w:rPr>
        <w:t xml:space="preserve">        </w:t>
      </w:r>
      <w:r>
        <w:rPr>
          <w:rFonts w:ascii="Times New Roman" w:hAnsi="Times New Roman"/>
          <w:b/>
          <w:i/>
          <w:color w:val="000000"/>
          <w:sz w:val="20"/>
        </w:rPr>
        <w:t>Compliance Certificate.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and each guarantor of any Series of Notes (to the extent that such guarantor is so required under the TIA) shall deliver to the Trustee with respect to such Series, within 120 days after the end of each fiscal year, an Officer’s Certificate that need not comply with Section 11.05 signed by the principal executive officer, the principal financial officer or the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the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09" w:name="z_Toc40730661"/>
      <w:bookmarkEnd w:id="109"/>
      <w:r>
        <w:rPr>
          <w:rFonts w:ascii="Times New Roman" w:hAnsi="Times New Roman"/>
          <w:b/>
          <w:color w:val="000000"/>
          <w:sz w:val="20"/>
        </w:rPr>
        <w:t>Section 4.05</w:t>
      </w:r>
      <w:r>
        <w:rPr>
          <w:rFonts w:ascii="Times New Roman" w:hAnsi="Times New Roman"/>
          <w:color w:val="000000"/>
          <w:sz w:val="20"/>
        </w:rPr>
        <w:t xml:space="preserve">        </w:t>
      </w:r>
      <w:r>
        <w:rPr>
          <w:rFonts w:ascii="Times New Roman" w:hAnsi="Times New Roman"/>
          <w:b/>
          <w:i/>
          <w:color w:val="000000"/>
          <w:sz w:val="20"/>
        </w:rPr>
        <w:t>Taxes.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10" w:name="z_Toc40730662"/>
      <w:bookmarkEnd w:id="110"/>
      <w:r>
        <w:rPr>
          <w:rFonts w:ascii="Times New Roman" w:hAnsi="Times New Roman"/>
          <w:b/>
          <w:color w:val="000000"/>
          <w:sz w:val="20"/>
        </w:rPr>
        <w:t>Section 4.06</w:t>
      </w:r>
      <w:r>
        <w:rPr>
          <w:rFonts w:ascii="Times New Roman" w:hAnsi="Times New Roman"/>
          <w:color w:val="000000"/>
          <w:sz w:val="20"/>
        </w:rPr>
        <w:t xml:space="preserve">        </w:t>
      </w:r>
      <w:r>
        <w:rPr>
          <w:rFonts w:ascii="Times New Roman" w:hAnsi="Times New Roman"/>
          <w:b/>
          <w:i/>
          <w:color w:val="000000"/>
          <w:sz w:val="20"/>
        </w:rPr>
        <w:t>Stay, Extension and Usury Laws.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covenants (to the extent that it may lawfully do so) that it will not, and each guarantor of such Notes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Notes, but will suffer and permit the execution of every such power as though no such law has been enacted.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1" w:name="z_Toc40730663"/>
      <w:bookmarkEnd w:id="111"/>
      <w:r>
        <w:rPr>
          <w:rFonts w:ascii="Times New Roman" w:hAnsi="Times New Roman"/>
          <w:b/>
          <w:color w:val="000000"/>
          <w:sz w:val="20"/>
        </w:rPr>
        <w:t>Section 4.07</w:t>
      </w:r>
      <w:r>
        <w:rPr>
          <w:rFonts w:ascii="Times New Roman" w:hAnsi="Times New Roman"/>
          <w:color w:val="000000"/>
          <w:sz w:val="20"/>
        </w:rPr>
        <w:t xml:space="preserve">        </w:t>
      </w:r>
      <w:r>
        <w:rPr>
          <w:rFonts w:ascii="Times New Roman" w:hAnsi="Times New Roman"/>
          <w:b/>
          <w:i/>
          <w:color w:val="000000"/>
          <w:sz w:val="20"/>
        </w:rPr>
        <w:t>Corporate Existence.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Subject to Articles 5 hereof, the Company shall do or cause to be done all things necessary to preserve and keep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corporate, partnership or other existence of itself and each of its Subsidiaries, in accordance with the respective organizational documents (as the same may be amended from time to time) of the Company or any such Subsidiary;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the rights (charter and statutory), licenses and franchises of the Company and its Subsidiaries;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Company shall not be required to preserve any such right, license or franchise, or the corporate, partnership or other existence of any of its Subsidiaries, if an Officer shall determine that the preservation thereof is no longer desirable in the conduct of the business of the Company and its Subsidiaries, taken as a whole, and that the loss thereof is not adverse in any material respect to the Holders of the Notes.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12" w:name="z_Toc40730664"/>
      <w:bookmarkEnd w:id="112"/>
      <w:r>
        <w:rPr>
          <w:rFonts w:ascii="Times New Roman" w:hAnsi="Times New Roman"/>
          <w:b/>
          <w:color w:val="000000"/>
          <w:sz w:val="20"/>
        </w:rPr>
        <w:t>ARTICLE 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SUCCESSORS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3" w:name="z_Toc40730665"/>
      <w:bookmarkEnd w:id="113"/>
      <w:r>
        <w:rPr>
          <w:rFonts w:ascii="Times New Roman" w:hAnsi="Times New Roman"/>
          <w:b/>
          <w:color w:val="000000"/>
          <w:sz w:val="20"/>
        </w:rPr>
        <w:t>Section 5.01</w:t>
      </w:r>
      <w:r>
        <w:rPr>
          <w:rFonts w:ascii="Times New Roman" w:hAnsi="Times New Roman"/>
          <w:color w:val="000000"/>
          <w:sz w:val="20"/>
        </w:rPr>
        <w:t xml:space="preserve">        </w:t>
      </w:r>
      <w:r>
        <w:rPr>
          <w:rFonts w:ascii="Times New Roman" w:hAnsi="Times New Roman"/>
          <w:b/>
          <w:i/>
          <w:color w:val="000000"/>
          <w:sz w:val="20"/>
        </w:rPr>
        <w:t>Merger, Consolidation, or Sale of Assets.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shall not, directly or indirectly: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merge or consolidate with or into another Person or Persons;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sell, convey, transfer, lease or otherwise dispose of all or substantially all of the properties or assets of the Company and its Subsidiaries, taken as a whole, in one or more related transactions, to another Person or Persons, unless: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either: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the transaction is a merger or consolidation and the Company is the surviving entity;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the Person formed by or surviving any such consolidation or merger (if other than the Company) or to which such sale, conveyance, transfer, lease or other disposition has been made is a corporation, limited liability company, partnership, trust or other entity organized and existing under the laws of the United States, any state of the United States or the District of Columbia and expressly assumes all the obligations of the Company under the Notes and this Indenture pursuant to a supplemental indenture in form reasonably satisfactory to the Trustee;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immediately after giving effect to such transaction and treating the Company’s obligations in connection with or as a result of such transaction as having been incurred as of the time of such transaction, no Default or Event of Default shall have occurred and be continuing;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Company or the surviving entity shall have delivered to the Trustee (a) an Officer’s Certificate stating that the conditions in (1) and (2) above have been satisfied and any other conditions precedent in this Indenture relating to such transaction have been satisfied and (b) an Opinion of Counsel stating that the conditions in (1) above have been satisfied and any other conditions precedent in this Indenture relating to such transaction have been satisfied.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4" w:name="z_Toc40730666"/>
      <w:bookmarkEnd w:id="114"/>
      <w:r>
        <w:rPr>
          <w:rFonts w:ascii="Times New Roman" w:hAnsi="Times New Roman"/>
          <w:b/>
          <w:color w:val="000000"/>
          <w:sz w:val="20"/>
        </w:rPr>
        <w:t>Section 5.02</w:t>
      </w:r>
      <w:r>
        <w:rPr>
          <w:rFonts w:ascii="Times New Roman" w:hAnsi="Times New Roman"/>
          <w:color w:val="000000"/>
          <w:sz w:val="20"/>
        </w:rPr>
        <w:t xml:space="preserve">        </w:t>
      </w:r>
      <w:r>
        <w:rPr>
          <w:rFonts w:ascii="Times New Roman" w:hAnsi="Times New Roman"/>
          <w:b/>
          <w:i/>
          <w:color w:val="000000"/>
          <w:sz w:val="20"/>
        </w:rPr>
        <w:t>Successor Corporation Substituted.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any merger or consolidation, or any sale, conveyance, transfer, lease or other disposition of all or substantially all of the properties or assets of the Company and its Subsidiaries, taken as a whole, in a transaction that is subject to, and that complies with the provisions of, Section 5.01 hereof, the successor Person into which the Company is merged or formed by such consolidation or to which such sale, conveyance, transfer, lease or other disposition is made shall succeed to, and be substituted for (so that from and after the date of such merger, consolidation, sale, conveyance, transfer, lease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and (except in the case of a lease) when the successor Person duly assumes all the obligations of the Company under the Notes and this Indenture, the predecessor Company shall be relieved from all such obligations.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15" w:name="z_Toc40730667"/>
      <w:bookmarkEnd w:id="115"/>
      <w:r>
        <w:rPr>
          <w:rFonts w:ascii="Times New Roman" w:hAnsi="Times New Roman"/>
          <w:b/>
          <w:color w:val="000000"/>
          <w:sz w:val="20"/>
        </w:rPr>
        <w:t>ARTICLE 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DEFAULTS AND REMEDIES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6" w:name="z_Toc40730668"/>
      <w:bookmarkEnd w:id="116"/>
      <w:r>
        <w:rPr>
          <w:rFonts w:ascii="Times New Roman" w:hAnsi="Times New Roman"/>
          <w:b/>
          <w:color w:val="000000"/>
          <w:sz w:val="20"/>
        </w:rPr>
        <w:t>Section 6.01</w:t>
      </w:r>
      <w:r>
        <w:rPr>
          <w:rFonts w:ascii="Times New Roman" w:hAnsi="Times New Roman"/>
          <w:color w:val="000000"/>
          <w:sz w:val="20"/>
        </w:rPr>
        <w:t xml:space="preserve">        </w:t>
      </w:r>
      <w:r>
        <w:rPr>
          <w:rFonts w:ascii="Times New Roman" w:hAnsi="Times New Roman"/>
          <w:b/>
          <w:i/>
          <w:color w:val="000000"/>
          <w:sz w:val="20"/>
        </w:rPr>
        <w:t>Events of Default.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u w:val="single"/>
        </w:rPr>
        <w:t>Event of Default</w:t>
      </w:r>
      <w:r>
        <w:rPr>
          <w:rFonts w:ascii="Times New Roman" w:hAnsi="Times New Roman"/>
          <w:color w:val="000000"/>
          <w:sz w:val="20"/>
        </w:rPr>
        <w:t>,” wherever used herein with respect to Notes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default in the payment of any interest on any Note of that Series when it becomes due and payable, and continuance of such default for a period of 30 days;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default in payment when due of the principal of, or premium, if any, on any Note of that Series;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default in the performance or breach of any covenant or warranty of the Company in this Indenture or in any Board Resolution, supplemental indenture or Officer’s Certificate with respect to such Series (other than a covenant or warranty that has been included in this Indenture or a Board Resolution, supplemental indenture or Officer’s Certificate solely for the benefit of Series of Notes other than that Series), which default continues uncured for a period of 90 days after (i) the Company receives written notice from the Trustee for such Notes or (ii) the Company and the Trustee receive written notice from Holders of not less than 25% in aggregate principal amount of Notes of that Series outstanding;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Company or any of its Significant Subsidiaries: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commences a voluntary case in bankruptcy,</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consents to the entry of an order for relief against it in an involuntary bankruptcy case,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applies for or consents to the appointment of any custodian, receiver, trustee, conservator, liquidator, rehabilitator or similar officer of it or a Significant Subsidiary or for all or substantially all of any of its property,</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makes a general assignment for the benefit of its creditors,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generally is unable to pay its debts as they become due;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a court of competent jurisdiction enters an order or decree under any Bankruptcy Law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is for relief against the Company or any of its Significant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appoints a custodian of the Company or any of its Significant Subsidiaries or for all or substantially all of the property of the Company or any of its Significant Subsidiaries;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orders the winding up or liquidation of the Company or any of its Significant Subsidiaries;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and the order or decree remains unstayed and in effect for 60 consecutive days;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any other Event of Default provided with respect to Notes of that Series, which is specified in a Board Resolution, a supplemental indenture hereto or an Officer’s Certificate, in accordance with Section 2.02.</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shall deliver to the Trustee promptly after becoming aware of the occurrence thereof, written notice in the form of an Officer’s Certificate of any event which with the giving of notice and the lapse of time would become an Event of Default under clause (c) or (f), its status and what action the Company is taking or proposes to take with respect thereto.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7" w:name="z_Toc40730669"/>
      <w:bookmarkEnd w:id="117"/>
      <w:r>
        <w:rPr>
          <w:rFonts w:ascii="Times New Roman" w:hAnsi="Times New Roman"/>
          <w:b/>
          <w:color w:val="000000"/>
          <w:sz w:val="20"/>
        </w:rPr>
        <w:t>Section 6.02</w:t>
      </w:r>
      <w:r>
        <w:rPr>
          <w:rFonts w:ascii="Times New Roman" w:hAnsi="Times New Roman"/>
          <w:color w:val="000000"/>
          <w:sz w:val="20"/>
        </w:rPr>
        <w:t xml:space="preserve">        </w:t>
      </w:r>
      <w:r>
        <w:rPr>
          <w:rFonts w:ascii="Times New Roman" w:hAnsi="Times New Roman"/>
          <w:b/>
          <w:i/>
          <w:color w:val="000000"/>
          <w:sz w:val="20"/>
        </w:rPr>
        <w:t>Acceleration.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an Event of Default with respect to Notes of any Series at the time outstanding occurs and is continuing (other than an Event of Default referred to in Section 6.01(d) or (e)) (in either case with respect to the Company) then in every such case the Trustee or the Holders of not less than 25% in aggregate principal amount of the outstanding Notes of that Series may declare the principal amount (or, if any Notes of that Series are Discount Notes, such portion of the principal amount as may be specified in the terms of such Notes) of and accrued and unpaid interest, if any, on all of the Notes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(in either case with respect to the Company) shall occur, the principal amount (or specified amount) of and accrued and unpaid interest, if any, on all outstanding Notes shall ipso facto become and be immediately due and payable without any declaration or other act on the part of the Trustee or any Holder.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At any time after such a declaration of acceleration with respect to any Series has been made, the Holders of a majority in principal amount of the outstanding Notes of that Series, by written notice to the Company and the Trustee, may rescind and annul such declaration and its consequences if the rescission and annulment would not conflict with any judgment or decree already rendered and if all existing Events of Default with respect to that Series (except nonpayment of principal, interest or premium that has become due solely because of the acceleration) have been cured or waived and all sums paid or advanced by the Trustee hereunder and the reasonable compensation expenses and disbursements of the Trustee and its agents and counsel have been paid.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 such rescission shall affect any subsequent Event of Default or impair any right consequent thereon.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8" w:name="z_Toc40730670"/>
      <w:bookmarkEnd w:id="118"/>
      <w:r>
        <w:rPr>
          <w:rFonts w:ascii="Times New Roman" w:hAnsi="Times New Roman"/>
          <w:b/>
          <w:color w:val="000000"/>
          <w:sz w:val="20"/>
        </w:rPr>
        <w:t>Section 6.03</w:t>
      </w:r>
      <w:r>
        <w:rPr>
          <w:rFonts w:ascii="Times New Roman" w:hAnsi="Times New Roman"/>
          <w:color w:val="000000"/>
          <w:sz w:val="20"/>
        </w:rPr>
        <w:t xml:space="preserve">        </w:t>
      </w:r>
      <w:r>
        <w:rPr>
          <w:rFonts w:ascii="Times New Roman" w:hAnsi="Times New Roman"/>
          <w:b/>
          <w:i/>
          <w:color w:val="000000"/>
          <w:sz w:val="20"/>
        </w:rPr>
        <w:t>Other Remedies.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an Event of Default with respect to Notes of any Series at the time outstanding occurs and is continuing, the Trustee may pursue any available remedy to collect the payment of principal, premium, if any, and interest on such Notes or to enforce the performance of any provision of such Notes or this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19" w:name="z_Toc40730671"/>
      <w:bookmarkEnd w:id="119"/>
      <w:r>
        <w:rPr>
          <w:rFonts w:ascii="Times New Roman" w:hAnsi="Times New Roman"/>
          <w:b/>
          <w:color w:val="000000"/>
          <w:sz w:val="20"/>
        </w:rPr>
        <w:t>Section 6.04</w:t>
      </w:r>
      <w:r>
        <w:rPr>
          <w:rFonts w:ascii="Times New Roman" w:hAnsi="Times New Roman"/>
          <w:color w:val="000000"/>
          <w:sz w:val="20"/>
        </w:rPr>
        <w:t xml:space="preserve">        </w:t>
      </w:r>
      <w:r>
        <w:rPr>
          <w:rFonts w:ascii="Times New Roman" w:hAnsi="Times New Roman"/>
          <w:b/>
          <w:i/>
          <w:color w:val="000000"/>
          <w:sz w:val="20"/>
        </w:rPr>
        <w:t>Waiver of Past Defaults.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Prior to the acceleration of the maturity of the Notes of any Series as provided in Section 6.02, the Holders of a majority in aggregate principal amount of the Notes of any Series then outstanding by notice to the Trustee may on behalf of the Holders of all of the Notes of such Series waive any existing Default or Event of Default with respect to such Series and its consequences under this Indenture except (i) a continuing Default or Event of Default in the payment of premium or interest on, or the principal of, the Notes of such Series (including in connection with an offer to purchase) or (ii) a Default or Event of Default in respect of a provision that under Section 9.02 cannot be amended without the consent of each Holder affected thereby. Upon any such waiver, such Default or Event of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20" w:name="z_Toc40730672"/>
      <w:bookmarkEnd w:id="120"/>
      <w:r>
        <w:rPr>
          <w:rFonts w:ascii="Times New Roman" w:hAnsi="Times New Roman"/>
          <w:b/>
          <w:color w:val="000000"/>
          <w:sz w:val="20"/>
        </w:rPr>
        <w:t>Section 6.05</w:t>
      </w:r>
      <w:r>
        <w:rPr>
          <w:rFonts w:ascii="Times New Roman" w:hAnsi="Times New Roman"/>
          <w:color w:val="000000"/>
          <w:sz w:val="20"/>
        </w:rPr>
        <w:t xml:space="preserve">        </w:t>
      </w:r>
      <w:r>
        <w:rPr>
          <w:rFonts w:ascii="Times New Roman" w:hAnsi="Times New Roman"/>
          <w:b/>
          <w:i/>
          <w:color w:val="000000"/>
          <w:sz w:val="20"/>
        </w:rPr>
        <w:t>Control by Majority.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Holders of a majority in aggregate principal amount of the then outstanding Notes of any Series may in writing direct the time, method and place of conducting any proceeding for exercising any remedy available to the Trustee or exercising any trust or power conferred on it, subject to Section 7.02(f). However, the Trustee may refuse to follow any direction that conflicts with law or this Indenture that the Trustee determines may be unduly prejudicial to the rights of other Holders of Notes of such Series (it being understood that the Trustee does not have an affirmative duty to ascertain whether any such directions are unduly prejudicial to such Holders) or that may involve the Trustee in personal liability. The Trustee may take any other action deemed proper by the Trustee that is not inconsistent with such direction.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1" w:name="z_Toc40730673"/>
      <w:bookmarkEnd w:id="121"/>
      <w:r>
        <w:rPr>
          <w:rFonts w:ascii="Times New Roman" w:hAnsi="Times New Roman"/>
          <w:b/>
          <w:color w:val="000000"/>
          <w:sz w:val="20"/>
        </w:rPr>
        <w:t>Section 6.06</w:t>
      </w:r>
      <w:r>
        <w:rPr>
          <w:rFonts w:ascii="Times New Roman" w:hAnsi="Times New Roman"/>
          <w:color w:val="000000"/>
          <w:sz w:val="20"/>
        </w:rPr>
        <w:t xml:space="preserve">        </w:t>
      </w:r>
      <w:r>
        <w:rPr>
          <w:rFonts w:ascii="Times New Roman" w:hAnsi="Times New Roman"/>
          <w:b/>
          <w:i/>
          <w:color w:val="000000"/>
          <w:sz w:val="20"/>
        </w:rPr>
        <w:t>Limitation on Suits.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Holder of any Series of Notes may pursue a remedy with respect to this Indenture or the Notes only if: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Holder of a Note gives to the Trustee written notice of a continuing Event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Holders of at least 25% in aggregate principal amount of the then outstanding Notes of such Series make a written request to the Trustee to pursue the remedy;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such Holder of a Note or Holders of Notes offer and, if requested, provide to the Trustee security or indemnity satisfactory to the Trustee against any loss, liability or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Trustee does not comply with the request within 60 days after receipt of the request and the offer and, if requested, the provision of security or indemnity;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during such 60-day period the Holders of a majority in aggregate principal amount of the then outstanding Notes of such Series do not give the Trustee a direction inconsistent with the request.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 Holder of any Series of Notes may not use this Indenture to prejudice the rights of another Holder of Notes or to obtain a preference or priority over another Holder of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2" w:name="z_Toc40730674"/>
      <w:bookmarkEnd w:id="122"/>
      <w:r>
        <w:rPr>
          <w:rFonts w:ascii="Times New Roman" w:hAnsi="Times New Roman"/>
          <w:b/>
          <w:color w:val="000000"/>
          <w:sz w:val="20"/>
        </w:rPr>
        <w:t>Section 6.07</w:t>
      </w:r>
      <w:r>
        <w:rPr>
          <w:rFonts w:ascii="Times New Roman" w:hAnsi="Times New Roman"/>
          <w:color w:val="000000"/>
          <w:sz w:val="20"/>
        </w:rPr>
        <w:t xml:space="preserve">        </w:t>
      </w:r>
      <w:r>
        <w:rPr>
          <w:rFonts w:ascii="Times New Roman" w:hAnsi="Times New Roman"/>
          <w:b/>
          <w:i/>
          <w:color w:val="000000"/>
          <w:sz w:val="20"/>
        </w:rPr>
        <w:t>Rights of Holders of Notes to Receive Payment.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3" w:name="z_Toc40730675"/>
      <w:bookmarkEnd w:id="123"/>
      <w:r>
        <w:rPr>
          <w:rFonts w:ascii="Times New Roman" w:hAnsi="Times New Roman"/>
          <w:b/>
          <w:color w:val="000000"/>
          <w:sz w:val="20"/>
        </w:rPr>
        <w:t>Section 6.08</w:t>
      </w:r>
      <w:r>
        <w:rPr>
          <w:rFonts w:ascii="Times New Roman" w:hAnsi="Times New Roman"/>
          <w:color w:val="000000"/>
          <w:sz w:val="20"/>
        </w:rPr>
        <w:t xml:space="preserve">        </w:t>
      </w:r>
      <w:r>
        <w:rPr>
          <w:rFonts w:ascii="Times New Roman" w:hAnsi="Times New Roman"/>
          <w:b/>
          <w:i/>
          <w:color w:val="000000"/>
          <w:sz w:val="20"/>
        </w:rPr>
        <w:t>Collection Suit by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an Event of Default specified in Section 6.01 (a) or (b) hereof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24" w:name="z_Toc40730676"/>
      <w:bookmarkEnd w:id="124"/>
      <w:r>
        <w:rPr>
          <w:rFonts w:ascii="Times New Roman" w:hAnsi="Times New Roman"/>
          <w:b/>
          <w:color w:val="000000"/>
          <w:sz w:val="20"/>
        </w:rPr>
        <w:t>Section 6.09</w:t>
      </w:r>
      <w:r>
        <w:rPr>
          <w:rFonts w:ascii="Times New Roman" w:hAnsi="Times New Roman"/>
          <w:color w:val="000000"/>
          <w:sz w:val="20"/>
        </w:rPr>
        <w:t xml:space="preserve">        </w:t>
      </w:r>
      <w:r>
        <w:rPr>
          <w:rFonts w:ascii="Times New Roman" w:hAnsi="Times New Roman"/>
          <w:b/>
          <w:i/>
          <w:color w:val="000000"/>
          <w:sz w:val="20"/>
        </w:rPr>
        <w:t>Trustee May File Proofs of Claim.</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for each Series of Notes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of such Series allowed in any judicial proceedings relative to the Company (or any other obligor upon the Notes of such Series), its creditors or its property and shall be entitled and empowered to collect, receive and distribute any money or other property payable or deliverable on any such claims and any custodian in any such judicial proceeding is hereby authorized by each Holder of such Series to make such payments to the Trustee, and in the event that the Trustee shall consent to the making of such payments directly to the Holders of such Series,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of such Series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5" w:name="z_Toc40730677"/>
      <w:bookmarkEnd w:id="125"/>
      <w:r>
        <w:rPr>
          <w:rFonts w:ascii="Times New Roman" w:hAnsi="Times New Roman"/>
          <w:b/>
          <w:color w:val="000000"/>
          <w:sz w:val="20"/>
        </w:rPr>
        <w:t>Section 6.10</w:t>
      </w:r>
      <w:r>
        <w:rPr>
          <w:rFonts w:ascii="Times New Roman" w:hAnsi="Times New Roman"/>
          <w:color w:val="000000"/>
          <w:sz w:val="20"/>
        </w:rPr>
        <w:t xml:space="preserve">        </w:t>
      </w:r>
      <w:r>
        <w:rPr>
          <w:rFonts w:ascii="Times New Roman" w:hAnsi="Times New Roman"/>
          <w:b/>
          <w:i/>
          <w:color w:val="000000"/>
          <w:sz w:val="20"/>
        </w:rPr>
        <w:t>Priorities.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Trustee collects any money or property with respect to a Series of Notes pursuant to this Article 6, or, after an Event of Default, any money or other property distributable in respect of the Company’s obligations under this Indenture, it shall pay out the money or property in the following order: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i/>
          <w:color w:val="000000"/>
          <w:sz w:val="20"/>
        </w:rPr>
        <w:t>First</w:t>
      </w:r>
      <w:r>
        <w:rPr>
          <w:rFonts w:ascii="Times New Roman" w:hAnsi="Times New Roman"/>
          <w:color w:val="000000"/>
          <w:sz w:val="20"/>
        </w:rPr>
        <w:t>: to the Trustee, its agents and attorneys for amounts due under Section 7.07 hereof applicable to the Notes of such Series, including payment of all compensation, expenses and liabilities incurred, and all advances made, by the Trustee and the costs and expenses of collection;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i/>
          <w:color w:val="000000"/>
          <w:sz w:val="20"/>
        </w:rPr>
        <w:t>Second</w:t>
      </w:r>
      <w:r>
        <w:rPr>
          <w:rFonts w:ascii="Times New Roman" w:hAnsi="Times New Roman"/>
          <w:color w:val="000000"/>
          <w:sz w:val="20"/>
        </w:rPr>
        <w:t>: to Holders of Notes of such Series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i/>
          <w:color w:val="000000"/>
          <w:sz w:val="20"/>
        </w:rPr>
        <w:t>Third</w:t>
      </w:r>
      <w:r>
        <w:rPr>
          <w:rFonts w:ascii="Times New Roman" w:hAnsi="Times New Roman"/>
          <w:color w:val="000000"/>
          <w:sz w:val="20"/>
        </w:rPr>
        <w:t>: to the Company or to such party as a court of competent jurisdiction shall direct.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may fix a record date and payment date for any payment to Holders pursuant to this Section 6.10.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6" w:name="z_Toc40730678"/>
      <w:bookmarkEnd w:id="126"/>
      <w:r>
        <w:rPr>
          <w:rFonts w:ascii="Times New Roman" w:hAnsi="Times New Roman"/>
          <w:b/>
          <w:color w:val="000000"/>
          <w:sz w:val="20"/>
        </w:rPr>
        <w:t>Section 6.11</w:t>
      </w:r>
      <w:r>
        <w:rPr>
          <w:rFonts w:ascii="Times New Roman" w:hAnsi="Times New Roman"/>
          <w:color w:val="000000"/>
          <w:sz w:val="20"/>
        </w:rPr>
        <w:t xml:space="preserve">        </w:t>
      </w:r>
      <w:r>
        <w:rPr>
          <w:rFonts w:ascii="Times New Roman" w:hAnsi="Times New Roman"/>
          <w:b/>
          <w:i/>
          <w:color w:val="000000"/>
          <w:sz w:val="20"/>
        </w:rPr>
        <w:t>Undertaking for Costs.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Note pursuant to Section 6.07 hereof, or a suit by Holders or group of Holders of more than 10% in principal amount of the then outstanding Notes of any Series.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7" w:name="z_Toc40730679"/>
      <w:bookmarkEnd w:id="127"/>
      <w:r>
        <w:rPr>
          <w:rFonts w:ascii="Times New Roman" w:hAnsi="Times New Roman"/>
          <w:b/>
          <w:color w:val="000000"/>
          <w:sz w:val="20"/>
        </w:rPr>
        <w:t>Section 6.12</w:t>
      </w:r>
      <w:r>
        <w:rPr>
          <w:rFonts w:ascii="Times New Roman" w:hAnsi="Times New Roman"/>
          <w:color w:val="000000"/>
          <w:sz w:val="20"/>
        </w:rPr>
        <w:t xml:space="preserve">        </w:t>
      </w:r>
      <w:r>
        <w:rPr>
          <w:rFonts w:ascii="Times New Roman" w:hAnsi="Times New Roman"/>
          <w:b/>
          <w:i/>
          <w:color w:val="000000"/>
          <w:sz w:val="20"/>
        </w:rPr>
        <w:t>Restoration of Rights and Remedies.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will be restored severally and respectively to their former positions hereunder and thereafter all rights and remedies of the Trustee and the Holders will continue as though no such proceeding had been instituted.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28" w:name="z_Toc40730680"/>
      <w:bookmarkEnd w:id="128"/>
      <w:r>
        <w:rPr>
          <w:rFonts w:ascii="Times New Roman" w:hAnsi="Times New Roman"/>
          <w:b/>
          <w:color w:val="000000"/>
          <w:sz w:val="20"/>
        </w:rPr>
        <w:t>ARTICLE 7</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TRUSTEE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29" w:name="z_Toc40730681"/>
      <w:bookmarkEnd w:id="129"/>
      <w:r>
        <w:rPr>
          <w:rFonts w:ascii="Times New Roman" w:hAnsi="Times New Roman"/>
          <w:b/>
          <w:color w:val="000000"/>
          <w:sz w:val="20"/>
        </w:rPr>
        <w:t>Section 7.01</w:t>
      </w:r>
      <w:r>
        <w:rPr>
          <w:rFonts w:ascii="Times New Roman" w:hAnsi="Times New Roman"/>
          <w:color w:val="000000"/>
          <w:sz w:val="20"/>
        </w:rPr>
        <w:t xml:space="preserve">        </w:t>
      </w:r>
      <w:r>
        <w:rPr>
          <w:rFonts w:ascii="Times New Roman" w:hAnsi="Times New Roman"/>
          <w:b/>
          <w:i/>
          <w:color w:val="000000"/>
          <w:sz w:val="20"/>
        </w:rPr>
        <w:t>Duties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Except during the continuance of an Event of Default,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Trustee may not be relieved from liabilities for its own negligent action, its own negligent failure to act, or its own willful misconduct, except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this paragraph does not limit the effect of paragraph (b) of this Section 7.01;</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Trustee will not be liable for any error of judgment made in good faith by a Responsible Officer, unless it is proved that the Trustee was negligent in ascertaining the pertinent facts;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Trustee will not be liable with respect to any action it takes or omits to take in good faith in accordance with a direction received by it pursuant to Section 6.05 hereof;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Whether or not therein expressly so provided, every provision of this Indenture that in any way relates to the Trustee is subject to paragraphs (a), (b), (c) and (d) of this Section 7.01.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Trustee will not be liable for interest on any money received by it except as the Trustee may agree in writing with the Company. Money held in trust by the Trustee need not be segregated from other funds except to the extent required by law. The Trustee shall not be required to give any bond or surety in respect of the performance of its powers or duties hereunder. The permissive rights or powers of the Trustee to do things enumerated in this Indenture shall not be construed as a duty of the Trustee.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0" w:name="z_Toc40730682"/>
      <w:bookmarkEnd w:id="130"/>
      <w:r>
        <w:rPr>
          <w:rFonts w:ascii="Times New Roman" w:hAnsi="Times New Roman"/>
          <w:b/>
          <w:color w:val="000000"/>
          <w:sz w:val="20"/>
        </w:rPr>
        <w:t>Section 7.02</w:t>
      </w:r>
      <w:r>
        <w:rPr>
          <w:rFonts w:ascii="Times New Roman" w:hAnsi="Times New Roman"/>
          <w:color w:val="000000"/>
          <w:sz w:val="20"/>
        </w:rPr>
        <w:t xml:space="preserve">         </w:t>
      </w:r>
      <w:r>
        <w:rPr>
          <w:rFonts w:ascii="Times New Roman" w:hAnsi="Times New Roman"/>
          <w:b/>
          <w:i/>
          <w:color w:val="000000"/>
          <w:sz w:val="20"/>
        </w:rPr>
        <w:t>Rights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Trustee may conclusively rely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Before the Trustee acts or refrains from acting or as specifically called for in this Indenture, it may require an Officer’s Certificate or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Trustee may act through its attorneys and agents and will not be responsible for the misconduct or negligence of any attorney or agent appointed with due care.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Trustee will not be liable for any action it takes or omits to take in good faith that it believes to be authorized or within the rights or powers conferred upon it by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Unless otherwise specifically provided in this Indenture, any demand, request, direction or notice from the Company will be sufficient if signed by an Officer of the Company. Any resolution of the Board of Directors may be sufficiently evidenced by a Board Resolution.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Trustee will be under no obligation to exercise any of the rights or powers vested in it by this Indenture at the request or direction of any of the Holders unless such Holders have offered to the Trustee indemnity or security satisfactory to the Trustee against the losses, liabilities and expenses that might be incurred by it in compliance with such request or direction.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or other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The rights, privileges, protections, immunities and benefits given to the Trustee, including, without limitation, its right to be compensated, reimbursed, and indemnified, are extended to, and shall be enforceable by, the Trustee in each of its capacities hereunder, and each agent, custodian and other Person employed to act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The Trustee shall not be deemed to have notice of any Default or Event of Default unless a Responsible Officer of the Trustee has actual knowledge thereof or unless written notice of a Default or Event of Default from the Company or by the Holders of at least 25% in aggregate principal amount of the then outstanding Notes of such Series is received by the Trustee at the Corporate Trust Office of the Trustee, and such notice references the Notes and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The Trustee may request that the Company deliver a certificate setting forth the names of individuals and/or titles of officers authorized at such time to take specified actions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The Trustee will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Company or any guarantor of any of their covenants in this Indenture, but the Trustee, in its discretion, may make such further inquiry or investigation into such facts or matters as it may see fit, and, if the Trustee shall determine to make such further inquiry or investigation, it will be entitled to examine the books, records, and premises of the Company or any such guarantor, personally or by agent or attorney at the sole cost of the Company and shall incur no liability or additional liability of any kind by reason of such inquiry or investigation.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1" w:name="z_Toc40730683"/>
      <w:bookmarkEnd w:id="131"/>
      <w:r>
        <w:rPr>
          <w:rFonts w:ascii="Times New Roman" w:hAnsi="Times New Roman"/>
          <w:b/>
          <w:color w:val="000000"/>
          <w:sz w:val="20"/>
        </w:rPr>
        <w:t>Section 7.03</w:t>
      </w:r>
      <w:r>
        <w:rPr>
          <w:rFonts w:ascii="Times New Roman" w:hAnsi="Times New Roman"/>
          <w:color w:val="000000"/>
          <w:sz w:val="20"/>
        </w:rPr>
        <w:t xml:space="preserve">        </w:t>
      </w:r>
      <w:r>
        <w:rPr>
          <w:rFonts w:ascii="Times New Roman" w:hAnsi="Times New Roman"/>
          <w:b/>
          <w:i/>
          <w:color w:val="000000"/>
          <w:sz w:val="20"/>
        </w:rPr>
        <w:t>Individual Rights of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32" w:name="z_Toc40730684"/>
      <w:bookmarkEnd w:id="132"/>
      <w:r>
        <w:rPr>
          <w:rFonts w:ascii="Times New Roman" w:hAnsi="Times New Roman"/>
          <w:b/>
          <w:color w:val="000000"/>
          <w:sz w:val="20"/>
        </w:rPr>
        <w:t>Section 7.04</w:t>
      </w:r>
      <w:r>
        <w:rPr>
          <w:rFonts w:ascii="Times New Roman" w:hAnsi="Times New Roman"/>
          <w:color w:val="000000"/>
          <w:sz w:val="20"/>
        </w:rPr>
        <w:t xml:space="preserve">        </w:t>
      </w:r>
      <w:r>
        <w:rPr>
          <w:rFonts w:ascii="Times New Roman" w:hAnsi="Times New Roman"/>
          <w:b/>
          <w:i/>
          <w:color w:val="000000"/>
          <w:sz w:val="20"/>
        </w:rPr>
        <w:t>Trustee’s Disclaimer.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Under no circumstances shall the Trustee be liable in its individual capacity for the obligations evidenced by any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3" w:name="z_Toc40730685"/>
      <w:bookmarkEnd w:id="133"/>
      <w:r>
        <w:rPr>
          <w:rFonts w:ascii="Times New Roman" w:hAnsi="Times New Roman"/>
          <w:b/>
          <w:color w:val="000000"/>
          <w:sz w:val="20"/>
        </w:rPr>
        <w:t>Section 7.05</w:t>
      </w:r>
      <w:r>
        <w:rPr>
          <w:rFonts w:ascii="Times New Roman" w:hAnsi="Times New Roman"/>
          <w:color w:val="000000"/>
          <w:sz w:val="20"/>
        </w:rPr>
        <w:t xml:space="preserve">        </w:t>
      </w:r>
      <w:r>
        <w:rPr>
          <w:rFonts w:ascii="Times New Roman" w:hAnsi="Times New Roman"/>
          <w:b/>
          <w:i/>
          <w:color w:val="000000"/>
          <w:sz w:val="20"/>
        </w:rPr>
        <w:t>Notice of Defaults.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 Default or Event of Default occurs and is continuing and if it is known to the Trustee, the Trustee will mail to Holders of Notes a notice of the Default or Event of Default within 90 days after it occurs. Except in the case of a Default or Event of Default in payment of principal of, premium, if any, or interest on, any Note, the Trustee may withhold the notice from Holders of the Notes if and so long as a committee of its Responsible Officers in good faith determines that withholding the notice is in the interests of the Holders of the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4" w:name="z_Toc40730686"/>
      <w:bookmarkEnd w:id="134"/>
      <w:r>
        <w:rPr>
          <w:rFonts w:ascii="Times New Roman" w:hAnsi="Times New Roman"/>
          <w:b/>
          <w:color w:val="000000"/>
          <w:sz w:val="20"/>
        </w:rPr>
        <w:t>Section 7.06</w:t>
      </w:r>
      <w:r>
        <w:rPr>
          <w:rFonts w:ascii="Times New Roman" w:hAnsi="Times New Roman"/>
          <w:color w:val="000000"/>
          <w:sz w:val="20"/>
        </w:rPr>
        <w:t xml:space="preserve">        </w:t>
      </w:r>
      <w:r>
        <w:rPr>
          <w:rFonts w:ascii="Times New Roman" w:hAnsi="Times New Roman"/>
          <w:b/>
          <w:i/>
          <w:color w:val="000000"/>
          <w:sz w:val="20"/>
        </w:rPr>
        <w:t>Reports by Trustee to Holders of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Within 60 days after each December 15 beginning with the December 15 following the first issuance of Notes under this Indenture, and for so long as Notes remain outstanding, the Trustee will mail to the Holders of the Notes a brief report dated as of such reporting date that complies with Section 313(a) of the TIA (but if no event described in Section 313(a) of the TIA has occurred within the twelve months preceding the reporting date, no report need be transmitted). The Trustee also will comply with Section 313(b)(2) of the TIA. The Trustee will also transmit by mail all reports as required by Section 313(c) of the TIA.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 copy of each report at the time of its mailing to the Holders of Notes will be mailed by the Trustee to the Company and filed by the Trustee with the SEC and each stock exchange on which the Notes are listed in accordance with Section 313(d) of the TIA. The Company will promptly notify the Trustee when the Notes are listed on any stock exchange or delisted therefrom.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5" w:name="z_Toc40730687"/>
      <w:bookmarkEnd w:id="135"/>
      <w:r>
        <w:rPr>
          <w:rFonts w:ascii="Times New Roman" w:hAnsi="Times New Roman"/>
          <w:b/>
          <w:color w:val="000000"/>
          <w:sz w:val="20"/>
        </w:rPr>
        <w:t>Section 7.07</w:t>
      </w:r>
      <w:r>
        <w:rPr>
          <w:rFonts w:ascii="Times New Roman" w:hAnsi="Times New Roman"/>
          <w:color w:val="000000"/>
          <w:sz w:val="20"/>
        </w:rPr>
        <w:t xml:space="preserve">        </w:t>
      </w:r>
      <w:r>
        <w:rPr>
          <w:rFonts w:ascii="Times New Roman" w:hAnsi="Times New Roman"/>
          <w:b/>
          <w:i/>
          <w:color w:val="000000"/>
          <w:sz w:val="20"/>
        </w:rPr>
        <w:t>Compensation and Indemnity.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will pay to the Trustee from time to time such compensation for its acceptance of this Indenture and services hereunder as the Trustee and the Company may agree from time to time in writing.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Company will indemnify the Trustee, its officers, directors, employees, representatives and agents from and against any and all losses, liabilities or expenses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any Holder or any other Person) or liability in connection with the exercise or performance of any of its powers or duties hereunder, except to the extent any such loss, liability or expense may be attributable to its negligence or willful misconduct as finally adjudicated by a court of competent jurisdiction.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need not pay for any settlement made without its consent, which consent will not be unreasonably withheld.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obligations of the Company under this Section 7.07 will survive the resignation or removal of the Trustee and the satisfaction and discharge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To secure the Company’s payment obligations in this Section 7.07, the Trustee will have a Lien prior to the Notes on all money or property held or collected by the Trustee. Such Lien will survive the resignation or removal of the Trustee and the satisfaction and discharge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When the Trustee incurs expenses or renders services after an Event of Default specified in Section 6.01(e) or (f) hereof occurs, the expenses and the compensation for the services (including the fees and expenses of its agents and counsel) are intended to constitute expenses of administration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Trustee will comply with the provisions of Section 313(b)(2) of the TIA to the extent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“Trustee” for the purposes of this Section 7.07 shall include any predecessor Trustee and the Trustee in each of its capacities hereunder and each agent, custodian and other person employed to act hereunder;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negligence or willful misconduct of any Trustee hereunder shall not affect the rights of any other Trustee hereunder.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6" w:name="z_Toc40730688"/>
      <w:bookmarkEnd w:id="136"/>
      <w:r>
        <w:rPr>
          <w:rFonts w:ascii="Times New Roman" w:hAnsi="Times New Roman"/>
          <w:b/>
          <w:color w:val="000000"/>
          <w:sz w:val="20"/>
        </w:rPr>
        <w:t>Section 7.08</w:t>
      </w:r>
      <w:r>
        <w:rPr>
          <w:rFonts w:ascii="Times New Roman" w:hAnsi="Times New Roman"/>
          <w:color w:val="000000"/>
          <w:sz w:val="20"/>
        </w:rPr>
        <w:t xml:space="preserve">        </w:t>
      </w:r>
      <w:r>
        <w:rPr>
          <w:rFonts w:ascii="Times New Roman" w:hAnsi="Times New Roman"/>
          <w:b/>
          <w:i/>
          <w:color w:val="000000"/>
          <w:sz w:val="20"/>
        </w:rPr>
        <w:t>Replacement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 resignation or removal of the Trustee and appointment of a successor Trustee will become effective only upon the successor Trustee’s acceptance of appointment as provided in this Section 7.08.</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Trustee may resign in writing at any time and be discharged from the trust hereby created with respect to one or more Series of Notes by so notifying the Company with 30 days prior notice. The Holders of a majority in aggregate principal amount of the then outstanding Notes of such Series may remove the Trustee by so notifying the Trustee and the Company with 30 days prior notice in writing. The Company may remove the Trustee with respect to one or more Series of Notes with 30 days prior written notice if: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Trustee fails to comply with Section 7.10 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Trustee is adjudged a bankrupt or an insolvent or an order for relief is entered with respect to the Trustee under any Bankruptcy Law;</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 custodian or public officer takes charge of the Trustee or its property;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the Trustee becomes incapable of acting.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of such Series may appoint a successor Trustee to replace the successor Trustee appointed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If a successor Trustee does not take office within 60 days after the retiring Trustee resigns or is removed, the retiring Trustee, the Company, or the Holders of at least 10% in aggregate principal amount of the then outstanding Notes of such Series may petition any court of competent jurisdiction, at the expense of the Company, for the appointment of a successor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or send a notice of its succession to Holders. The retiring Trustee will promptly transfer all properly held by it as Trustee to the successor Trustee; </w:t>
      </w:r>
      <w:r>
        <w:rPr>
          <w:rFonts w:ascii="Times New Roman" w:hAnsi="Times New Roman"/>
          <w:i/>
          <w:color w:val="000000"/>
          <w:sz w:val="20"/>
        </w:rPr>
        <w:t>provided</w:t>
      </w:r>
      <w:r>
        <w:rPr>
          <w:rFonts w:ascii="Times New Roman" w:hAnsi="Times New Roman"/>
          <w:color w:val="000000"/>
          <w:sz w:val="20"/>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37" w:name="z_Toc40730689"/>
      <w:bookmarkEnd w:id="137"/>
      <w:r>
        <w:rPr>
          <w:rFonts w:ascii="Times New Roman" w:hAnsi="Times New Roman"/>
          <w:b/>
          <w:color w:val="000000"/>
          <w:sz w:val="20"/>
        </w:rPr>
        <w:t>Section 7.09</w:t>
      </w:r>
      <w:r>
        <w:rPr>
          <w:rFonts w:ascii="Times New Roman" w:hAnsi="Times New Roman"/>
          <w:color w:val="000000"/>
          <w:sz w:val="20"/>
        </w:rPr>
        <w:t xml:space="preserve">        </w:t>
      </w:r>
      <w:r>
        <w:rPr>
          <w:rFonts w:ascii="Times New Roman" w:hAnsi="Times New Roman"/>
          <w:b/>
          <w:i/>
          <w:color w:val="000000"/>
          <w:sz w:val="20"/>
        </w:rPr>
        <w:t>Successor Trustee by Merger, etc.</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Trustee consolidates, merges or converts into, or transfers all or substantially all of its corporate trust business to, another corporation, the successor corporation without any further act will be the successor Trustee.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8" w:name="z_Toc40730690"/>
      <w:bookmarkEnd w:id="138"/>
      <w:r>
        <w:rPr>
          <w:rFonts w:ascii="Times New Roman" w:hAnsi="Times New Roman"/>
          <w:b/>
          <w:color w:val="000000"/>
          <w:sz w:val="20"/>
        </w:rPr>
        <w:t>Section 7.10</w:t>
      </w:r>
      <w:r>
        <w:rPr>
          <w:rFonts w:ascii="Times New Roman" w:hAnsi="Times New Roman"/>
          <w:color w:val="000000"/>
          <w:sz w:val="20"/>
        </w:rPr>
        <w:t xml:space="preserve">        </w:t>
      </w:r>
      <w:r>
        <w:rPr>
          <w:rFonts w:ascii="Times New Roman" w:hAnsi="Times New Roman"/>
          <w:b/>
          <w:i/>
          <w:color w:val="000000"/>
          <w:sz w:val="20"/>
        </w:rPr>
        <w:t>Eligibility; Disqualification.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This Indenture will always have a Trustee who satisfies the requirements of Sections 310(a)(1), (2) and (5) of the TIA. The Trustee is subject to Section 310(b) of the TIA. There shall be excluded from the operation of Section 310(b)(1) of the TIA any series of Notes under this Indenture if the requirements for such exclusion set forth in Section 310(b)(1) of the TIA are met.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39" w:name="z_Toc40730691"/>
      <w:bookmarkEnd w:id="139"/>
      <w:r>
        <w:rPr>
          <w:rFonts w:ascii="Times New Roman" w:hAnsi="Times New Roman"/>
          <w:b/>
          <w:color w:val="000000"/>
          <w:sz w:val="20"/>
        </w:rPr>
        <w:t>Section 7.11</w:t>
      </w:r>
      <w:r>
        <w:rPr>
          <w:rFonts w:ascii="Times New Roman" w:hAnsi="Times New Roman"/>
          <w:color w:val="000000"/>
          <w:sz w:val="20"/>
        </w:rPr>
        <w:t xml:space="preserve">        </w:t>
      </w:r>
      <w:r>
        <w:rPr>
          <w:rFonts w:ascii="Times New Roman" w:hAnsi="Times New Roman"/>
          <w:b/>
          <w:i/>
          <w:color w:val="000000"/>
          <w:sz w:val="20"/>
        </w:rPr>
        <w:t>Preferential Collection of Claims Against Company.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is subject to Section 311(a) of the TIA, excluding any creditor relationship listed in Section 311(b) of the TIA. A Trustee who has resigned or been removed shall be subject to Section 311(a) of the TIA to the extent indicated therein.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40" w:name="z_Toc40730692"/>
      <w:bookmarkEnd w:id="140"/>
      <w:r>
        <w:rPr>
          <w:rFonts w:ascii="Times New Roman" w:hAnsi="Times New Roman"/>
          <w:b/>
          <w:color w:val="000000"/>
          <w:sz w:val="20"/>
        </w:rPr>
        <w:t>ARTICLE 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LEGAL DEFEASANCE AND COVENANT DEFEASANCE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1" w:name="z_Toc40730693"/>
      <w:bookmarkEnd w:id="141"/>
      <w:r>
        <w:rPr>
          <w:rFonts w:ascii="Times New Roman" w:hAnsi="Times New Roman"/>
          <w:b/>
          <w:color w:val="000000"/>
          <w:sz w:val="20"/>
        </w:rPr>
        <w:t>Section 8.01</w:t>
      </w:r>
      <w:r>
        <w:rPr>
          <w:rFonts w:ascii="Times New Roman" w:hAnsi="Times New Roman"/>
          <w:color w:val="000000"/>
          <w:sz w:val="20"/>
        </w:rPr>
        <w:t xml:space="preserve">        </w:t>
      </w:r>
      <w:r>
        <w:rPr>
          <w:rFonts w:ascii="Times New Roman" w:hAnsi="Times New Roman"/>
          <w:b/>
          <w:i/>
          <w:color w:val="000000"/>
          <w:sz w:val="20"/>
        </w:rPr>
        <w:t>Option to Effect Legal Defeasance or Covenant Defeasance.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2" w:name="z_Toc40730694"/>
      <w:bookmarkEnd w:id="142"/>
      <w:r>
        <w:rPr>
          <w:rFonts w:ascii="Times New Roman" w:hAnsi="Times New Roman"/>
          <w:b/>
          <w:color w:val="000000"/>
          <w:sz w:val="20"/>
        </w:rPr>
        <w:t>Section 8.02</w:t>
      </w:r>
      <w:r>
        <w:rPr>
          <w:rFonts w:ascii="Times New Roman" w:hAnsi="Times New Roman"/>
          <w:color w:val="000000"/>
          <w:sz w:val="20"/>
        </w:rPr>
        <w:t xml:space="preserve">        </w:t>
      </w:r>
      <w:r>
        <w:rPr>
          <w:rFonts w:ascii="Times New Roman" w:hAnsi="Times New Roman"/>
          <w:b/>
          <w:i/>
          <w:color w:val="000000"/>
          <w:sz w:val="20"/>
        </w:rPr>
        <w:t>Legal Defeasance and Discharge.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the Company’s exercise under Section 8.01 hereof of the option applicable to this Section 8.02, the Company will, subject to the satisfaction of the conditions set forth in Section 8.04 hereof, be deemed to have been discharged from its obligations with respect to all outstanding Notes of such Series on the date the conditions set forth below are satisfied (hereinafter, “</w:t>
      </w:r>
      <w:r>
        <w:rPr>
          <w:rFonts w:ascii="Times New Roman" w:hAnsi="Times New Roman"/>
          <w:color w:val="000000"/>
          <w:sz w:val="20"/>
          <w:u w:val="single"/>
        </w:rPr>
        <w:t>Legal Defeasance</w:t>
      </w:r>
      <w:r>
        <w:rPr>
          <w:rFonts w:ascii="Times New Roman" w:hAnsi="Times New Roman"/>
          <w:color w:val="000000"/>
          <w:sz w:val="20"/>
        </w:rPr>
        <w:t>”). For this purpose, Legal Defeasance means that the Company will be deemed to have paid and discharged the entire Indebtedness represented by the outstanding Notes of such Series, which will thereafter be deemed to be “outstanding” only for the purposes of Section 8.05 hereof and the other Sections of this Indenture referred to in clauses (a) and (b) below, and to have satisfied all their other obligations under such Notes and this Indenture (and the Trustee, on written demand of and at the expense of the Company, shall execute proper instruments acknowledging the same), except for the following provisions which will survive until otherwise terminated or discharged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rights of Holders of outstanding Notes to receive payments in respect of the principal of, or interest or premium, if any, on, such Notes when such payments are due from the trust referred to in Section 8.04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Company’s obligations with respect to such Notes under Article 2 and Section 4.02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rights, powers, trusts, duties and immunities of the Trustee hereunder and the Company’s obligations in connection therewith;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this Article 8.</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Subject to compliance with this Article 8, the Company may exercise its option under this Section 8.02 notwithstanding the prior exercise of its option under Section 8.03 hereof.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3" w:name="z_Toc40730695"/>
      <w:bookmarkEnd w:id="143"/>
      <w:r>
        <w:rPr>
          <w:rFonts w:ascii="Times New Roman" w:hAnsi="Times New Roman"/>
          <w:b/>
          <w:color w:val="000000"/>
          <w:sz w:val="20"/>
        </w:rPr>
        <w:t>Section 8.03</w:t>
      </w:r>
      <w:r>
        <w:rPr>
          <w:rFonts w:ascii="Times New Roman" w:hAnsi="Times New Roman"/>
          <w:color w:val="000000"/>
          <w:sz w:val="20"/>
        </w:rPr>
        <w:t xml:space="preserve">        </w:t>
      </w:r>
      <w:r>
        <w:rPr>
          <w:rFonts w:ascii="Times New Roman" w:hAnsi="Times New Roman"/>
          <w:b/>
          <w:i/>
          <w:color w:val="000000"/>
          <w:sz w:val="20"/>
        </w:rPr>
        <w:t>Covenant Defeasance.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the Company’s exercise under Section 8.01 hereof of the option applicable to this Section 8.03, the Company and each of the guarantors, if any, will, subject to the satisfaction of the conditions set forth in Section 8.04 hereof, be released from their obligations under the covenants contained in Section 4.03 and any other covenants specified in the applicable Board Resolutions, supplemental indenture or Officer’s Certificate as being subject to covenant defeasance pursuant to this Section 8.03, in each case, with respect to the outstanding Notes of the applicable Series on and after the date the conditions set forth in Section 8.04 are satisfied (hereinafter, “</w:t>
      </w:r>
      <w:r>
        <w:rPr>
          <w:rFonts w:ascii="Times New Roman" w:hAnsi="Times New Roman"/>
          <w:color w:val="000000"/>
          <w:sz w:val="20"/>
          <w:u w:val="single"/>
        </w:rPr>
        <w:t>Covenant Defeasance</w:t>
      </w:r>
      <w:r>
        <w:rPr>
          <w:rFonts w:ascii="Times New Roman" w:hAnsi="Times New Roman"/>
          <w:color w:val="000000"/>
          <w:sz w:val="20"/>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hereof, subject to the satisfaction of the conditions set forth in Section 8.04 hereof, (i) the failure to comply with any such covenants shall not constitute an Event of Default pursuant to Section 6.01(d) and (ii) Section 6.01(f) (with respect to Significant Subsidiaries only) and (g) (with respect to Significant Subsidiaries only) shall not constitute an Event of Default.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4" w:name="z_Toc40730696"/>
      <w:bookmarkEnd w:id="144"/>
      <w:r>
        <w:rPr>
          <w:rFonts w:ascii="Times New Roman" w:hAnsi="Times New Roman"/>
          <w:b/>
          <w:color w:val="000000"/>
          <w:sz w:val="20"/>
        </w:rPr>
        <w:t>Section 8.04</w:t>
      </w:r>
      <w:r>
        <w:rPr>
          <w:rFonts w:ascii="Times New Roman" w:hAnsi="Times New Roman"/>
          <w:color w:val="000000"/>
          <w:sz w:val="20"/>
        </w:rPr>
        <w:t xml:space="preserve">        </w:t>
      </w:r>
      <w:r>
        <w:rPr>
          <w:rFonts w:ascii="Times New Roman" w:hAnsi="Times New Roman"/>
          <w:b/>
          <w:i/>
          <w:color w:val="000000"/>
          <w:sz w:val="20"/>
        </w:rPr>
        <w:t>Conditions to Legal or Covenant Defeasance.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order to exercise either Legal Defeasance or Covenant Defeasance under either Section 8.02 or 8.03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must irrevocably deposit with the Trustee, in trust, for the benefit of the Holders, cash in Dollars, non-callable Government Securities, or a combination thereof, in such amounts as will be sufficient, in the written opinion of a nationally recognized investment bank, appraisal firm, or firm of independent public accountants delivered to the Trustee,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in the case of an election under Section 8.02 hereof, the Company must deliver to the Trustee an Opinion of Counsel confirming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Company has received from, or there has been published by, the Internal Revenue Service a ruling;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since the date of this Indenture, there has been a change in the applicable federal income tax law,</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either case to the effect that, and based thereon such Opinion of Counsel shall confirm that, the beneficial owners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in the case of an election under Section 8.03 hereof, the Company must deliver to the Trustee an Opinion of Counsel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no Default or Event of Default shall have occurred and be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Company must deliver to the Trustee an Officer’s Certificate and an Opinion of Counsel, each stating that all conditions precedent relating to the Legal Defeasance or the Covenant Defeasance have been complied with.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5" w:name="z_Toc40730697"/>
      <w:bookmarkEnd w:id="145"/>
      <w:r>
        <w:rPr>
          <w:rFonts w:ascii="Times New Roman" w:hAnsi="Times New Roman"/>
          <w:b/>
          <w:color w:val="000000"/>
          <w:sz w:val="20"/>
        </w:rPr>
        <w:t>Section 8.05</w:t>
      </w:r>
      <w:r>
        <w:rPr>
          <w:rFonts w:ascii="Times New Roman" w:hAnsi="Times New Roman"/>
          <w:color w:val="000000"/>
          <w:sz w:val="20"/>
        </w:rPr>
        <w:t xml:space="preserve">        </w:t>
      </w:r>
      <w:r>
        <w:rPr>
          <w:rFonts w:ascii="Times New Roman" w:hAnsi="Times New Roman"/>
          <w:b/>
          <w:i/>
          <w:color w:val="000000"/>
          <w:sz w:val="20"/>
        </w:rPr>
        <w:t>Deposited Money and Government Securities to be Held in Trust; Other Miscellaneous Provisions.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Subject to Section 8.06 hereof, all money and non-callable Government Securities (including the proceeds thereof) deposited with the Trustee (or other qualifying trustee, collectively for purposes of this Section 8.05, the “</w:t>
      </w:r>
      <w:r>
        <w:rPr>
          <w:rFonts w:ascii="Times New Roman" w:hAnsi="Times New Roman"/>
          <w:color w:val="000000"/>
          <w:sz w:val="20"/>
          <w:u w:val="single"/>
        </w:rPr>
        <w:t>Trustee</w:t>
      </w:r>
      <w:r>
        <w:rPr>
          <w:rFonts w:ascii="Times New Roman" w:hAnsi="Times New Roman"/>
          <w:color w:val="000000"/>
          <w:sz w:val="20"/>
        </w:rPr>
        <w:t>”) pursuant to Section 8.04 hereof in respect of the outstanding Notes of any Series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of the applicable Series.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Notwithstanding anything in this Article 8 to the contrary, the Trustee will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6" w:name="z_Toc40730698"/>
      <w:bookmarkEnd w:id="146"/>
      <w:r>
        <w:rPr>
          <w:rFonts w:ascii="Times New Roman" w:hAnsi="Times New Roman"/>
          <w:b/>
          <w:color w:val="000000"/>
          <w:sz w:val="20"/>
        </w:rPr>
        <w:t>Section 8.06</w:t>
      </w:r>
      <w:r>
        <w:rPr>
          <w:rFonts w:ascii="Times New Roman" w:hAnsi="Times New Roman"/>
          <w:color w:val="000000"/>
          <w:sz w:val="20"/>
        </w:rPr>
        <w:t xml:space="preserve">        </w:t>
      </w:r>
      <w:r>
        <w:rPr>
          <w:rFonts w:ascii="Times New Roman" w:hAnsi="Times New Roman"/>
          <w:b/>
          <w:i/>
          <w:color w:val="000000"/>
          <w:sz w:val="20"/>
        </w:rPr>
        <w:t>Repayment to Company.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Any money deposited with the Trustee or any Paying Agent, or then held by the Company, in trust for the payment of the principal of, premium, if any, or interest on, any Series of Notes and remaining unclaimed for two years after such principal, premium, if any, or interest has become due and payable shall, subject to applicable abandoned property law,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Trustee or such Paying Agent, before being required to make any such repayment, may at the expense of the Company cause to be published once, in </w:t>
      </w:r>
      <w:r>
        <w:rPr>
          <w:rFonts w:ascii="Times New Roman" w:hAnsi="Times New Roman"/>
          <w:i/>
          <w:color w:val="000000"/>
          <w:sz w:val="20"/>
        </w:rPr>
        <w:t>The New York Times</w:t>
      </w:r>
      <w:r>
        <w:rPr>
          <w:rFonts w:ascii="Times New Roman" w:hAnsi="Times New Roman"/>
          <w:color w:val="000000"/>
          <w:sz w:val="20"/>
        </w:rPr>
        <w:t xml:space="preserve"> and </w:t>
      </w:r>
      <w:r>
        <w:rPr>
          <w:rFonts w:ascii="Times New Roman" w:hAnsi="Times New Roman"/>
          <w:i/>
          <w:color w:val="000000"/>
          <w:sz w:val="20"/>
        </w:rPr>
        <w:t>The Wall Street Journal</w:t>
      </w:r>
      <w:r>
        <w:rPr>
          <w:rFonts w:ascii="Times New Roman" w:hAnsi="Times New Roman"/>
          <w:color w:val="000000"/>
          <w:sz w:val="20"/>
        </w:rPr>
        <w:t xml:space="preserve">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47" w:name="z_Toc40730699"/>
      <w:bookmarkEnd w:id="147"/>
      <w:r>
        <w:rPr>
          <w:rFonts w:ascii="Times New Roman" w:hAnsi="Times New Roman"/>
          <w:b/>
          <w:color w:val="000000"/>
          <w:sz w:val="20"/>
        </w:rPr>
        <w:t>Section 8.07</w:t>
      </w:r>
      <w:r>
        <w:rPr>
          <w:rFonts w:ascii="Times New Roman" w:hAnsi="Times New Roman"/>
          <w:color w:val="000000"/>
          <w:sz w:val="20"/>
        </w:rPr>
        <w:t xml:space="preserve">        </w:t>
      </w:r>
      <w:r>
        <w:rPr>
          <w:rFonts w:ascii="Times New Roman" w:hAnsi="Times New Roman"/>
          <w:b/>
          <w:i/>
          <w:color w:val="000000"/>
          <w:sz w:val="20"/>
        </w:rPr>
        <w:t>Reinstatement.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If the Trustee or Paying Agent is unable to apply any Dollars or non-callable Government Securities in accordance with Section 8.02 or 8.03 hereof, as the case may be, by reason of any order or judgment of any court or governmental authority enjoining, restraining or otherwise prohibiting such application, then the Company’s and any applicable guarantors’ obligations under this Indenture and the applicable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48" w:name="z_Toc40730700"/>
      <w:bookmarkEnd w:id="148"/>
      <w:r>
        <w:rPr>
          <w:rFonts w:ascii="Times New Roman" w:hAnsi="Times New Roman"/>
          <w:b/>
          <w:color w:val="000000"/>
          <w:sz w:val="20"/>
        </w:rPr>
        <w:t>ARTICLE 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SUPPLEMENT AND WAIVER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49" w:name="z_Toc40730701"/>
      <w:bookmarkEnd w:id="149"/>
      <w:r>
        <w:rPr>
          <w:rFonts w:ascii="Times New Roman" w:hAnsi="Times New Roman"/>
          <w:b/>
          <w:color w:val="000000"/>
          <w:sz w:val="20"/>
        </w:rPr>
        <w:t>Section 9.01</w:t>
      </w:r>
      <w:r>
        <w:rPr>
          <w:rFonts w:ascii="Times New Roman" w:hAnsi="Times New Roman"/>
          <w:color w:val="000000"/>
          <w:sz w:val="20"/>
        </w:rPr>
        <w:t xml:space="preserve">        </w:t>
      </w:r>
      <w:r>
        <w:rPr>
          <w:rFonts w:ascii="Times New Roman" w:hAnsi="Times New Roman"/>
          <w:b/>
          <w:i/>
          <w:color w:val="000000"/>
          <w:sz w:val="20"/>
        </w:rPr>
        <w:t>Without Consent of Holders of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Notwithstanding Section 9.02 of this Indenture, the Company and the Trustee may amend or supplement this Indenture or the Notes of one or more Series without the consent of any Holder of Note: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to cure any ambiguity or to correct or supplement any provision contained herein or in any supplemental indenture that may be defective or inconsistent with any other provision contained herein or in any supplemental indenture, or to conform the provisions of this Indenture to the description of the Notes contained in the prospectus or other offering document pursuant to which the Notes of one or more Series were sold, as evidenced by an Officer’s Certificate stating that such text constitutes an unintended conflict with the description of the corresponding provision in the offering document;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to provide for uncertificated Notes in addition to or in place of certificated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to provide for the assumption of the Company’s obligations to the Holders of the Notes by a successor to the Company pursuant to Article 5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to make any change that would provide any additional rights or benefits to the Holders of all or any Series of Notes or that does not adversely affect the rights hereunder of any Holder in any material respect, as evidenced by an Officer’s Certificate;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to comply with requirements of the SEC in order to effect or maintain the qualification of this Indenture under the TIA;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to provide for the issuance of and establish the form and terms and conditions of Notes of any Series as permitted by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to add guarantees with respect to the Notes of any Series or to provide security for the Notes of any Series;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to evidence and provide for the acceptance of appointment hereunder by a successor Trustee with respect to the Notes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the request of the Company accompanied by a Board Resolution authorizing the execution of any such amended or supplemental indenture, and upon receipt by the Trustee of the documents described in Section 7.02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50" w:name="z_Toc40730702"/>
      <w:bookmarkEnd w:id="150"/>
      <w:r>
        <w:rPr>
          <w:rFonts w:ascii="Times New Roman" w:hAnsi="Times New Roman"/>
          <w:b/>
          <w:color w:val="000000"/>
          <w:sz w:val="20"/>
        </w:rPr>
        <w:t>Section 9.02</w:t>
      </w:r>
      <w:r>
        <w:rPr>
          <w:rFonts w:ascii="Times New Roman" w:hAnsi="Times New Roman"/>
          <w:color w:val="000000"/>
          <w:sz w:val="20"/>
        </w:rPr>
        <w:t xml:space="preserve">        </w:t>
      </w:r>
      <w:r>
        <w:rPr>
          <w:rFonts w:ascii="Times New Roman" w:hAnsi="Times New Roman"/>
          <w:b/>
          <w:i/>
          <w:color w:val="000000"/>
          <w:sz w:val="20"/>
        </w:rPr>
        <w:t>With Consent of Holders of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and the Trustee may enter into a supplemental indenture with the written consent of the Holders of at least a majority in aggregate principal amount of the outstanding Notes of each Series affected by such supplemental indenture (including consents obtained in connection with a tender offer or exchange offer for the Notes of such Series), for the purpose of adding any provisions to or changing in any manner or eliminating any of the provisions of this Indenture or of any supplemental indenture or of modifying in any manner the rights of the Holders of Notes of each such Series. Except as otherwise provided herein, the Holders of at least a majority in aggregate principal amount of the outstanding Notes of each Series, by notice to the Trustee (including consents obtained in connection with a tender offer or exchange offer for the Notes of such Series) may waive compliance by the Company with any provision of this Indenture or the Notes with respect to such Series.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It shall not be necessary for the consent of the Holders of Notes under this Section 9.02 to approve the particular form of any proposed supplemental indenture or waiver, but it shall be sufficient if such consent approves the substance thereof. 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After a supplemental indenture or waiver under this section becomes effective, the Company shall mail or send to the Holders of Notes affected thereby a notice briefly describing the supplemental indenture or waiver. Any failure by the Company to mail such notice, or any defect therein, shall not, however, in any way impair or affect the validity of any such supplemental indenture or waiver. However, without the consent of each Holder affected, an amendment or waiver under this Section 9.02 may not, with respect to any Notes held by a non-consenting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reduce the principal amount, any premium or change the Stated Maturity of any Note or alter or waive any of the provisions with respect to the redemption or repurchase of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reduce the rate (or alter the method of computation) of or extend the time for payment of interest, including defaulted interest, on any Note;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waive a Default or Event of Default in the payment of principal of or premium, if any, or interest on the Notes, except a rescission of acceleration of the Notes by the Holders of at least a majority in aggregate principal amount of the then outstanding Notes of such Series with respect to a nonpayment default and a waiver of the payment default that resulted from such acceleration;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make the principal of or premium, if any or interest on any Note payable in currency other than that stated in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change any place of payment where the Notes of any series or interest thereon is payable;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make any change in the provisions of this Indenture relating to waivers of past Defaults or the rights of Holders of the Notes to receive payments of principal of or premium, interest, if any, on the Notes and to institute suit for the enforcement of any such payments;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make any change in the foregoing amendment and waiver provisions;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reduce the percentage in principal amount of any Notes, the consent of the Holders of which is required for any of the foregoing modifications or otherwise necessary to modify or amend this Indenture or to waive any past Defaults.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1" w:name="z_Toc40730703"/>
      <w:bookmarkEnd w:id="151"/>
      <w:r>
        <w:rPr>
          <w:rFonts w:ascii="Times New Roman" w:hAnsi="Times New Roman"/>
          <w:b/>
          <w:color w:val="000000"/>
          <w:sz w:val="20"/>
        </w:rPr>
        <w:t>Section 9.03</w:t>
      </w:r>
      <w:r>
        <w:rPr>
          <w:rFonts w:ascii="Times New Roman" w:hAnsi="Times New Roman"/>
          <w:color w:val="000000"/>
          <w:sz w:val="20"/>
        </w:rPr>
        <w:t>          </w:t>
      </w:r>
      <w:r>
        <w:rPr>
          <w:rFonts w:ascii="Times New Roman" w:hAnsi="Times New Roman"/>
          <w:b/>
          <w:i/>
          <w:color w:val="000000"/>
          <w:sz w:val="20"/>
        </w:rPr>
        <w:t>Compliance with Trust Indenture Act.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Every amendment to this Indenture or the Notes of one or more Series will be set forth in a supplemental indenture hereto that complies with the TIA as then in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52" w:name="z_Toc40730704"/>
      <w:bookmarkEnd w:id="152"/>
      <w:r>
        <w:rPr>
          <w:rFonts w:ascii="Times New Roman" w:hAnsi="Times New Roman"/>
          <w:b/>
          <w:color w:val="000000"/>
          <w:sz w:val="20"/>
        </w:rPr>
        <w:t>Section 9.04</w:t>
      </w:r>
      <w:r>
        <w:rPr>
          <w:rFonts w:ascii="Times New Roman" w:hAnsi="Times New Roman"/>
          <w:color w:val="000000"/>
          <w:sz w:val="20"/>
        </w:rPr>
        <w:t xml:space="preserve">        </w:t>
      </w:r>
      <w:r>
        <w:rPr>
          <w:rFonts w:ascii="Times New Roman" w:hAnsi="Times New Roman"/>
          <w:b/>
          <w:i/>
          <w:color w:val="000000"/>
          <w:sz w:val="20"/>
        </w:rPr>
        <w:t>Revocation and Effect of Consents.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Until an amendment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or waiver becomes effective. An amendment or waiver becomes effective in accordance with its terms and thereafter binds every Holder.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3" w:name="z_Toc40730705"/>
      <w:bookmarkEnd w:id="153"/>
      <w:r>
        <w:rPr>
          <w:rFonts w:ascii="Times New Roman" w:hAnsi="Times New Roman"/>
          <w:b/>
          <w:color w:val="000000"/>
          <w:sz w:val="20"/>
        </w:rPr>
        <w:t>Section 9.05</w:t>
      </w:r>
      <w:r>
        <w:rPr>
          <w:rFonts w:ascii="Times New Roman" w:hAnsi="Times New Roman"/>
          <w:color w:val="000000"/>
          <w:sz w:val="20"/>
        </w:rPr>
        <w:t xml:space="preserve">        </w:t>
      </w:r>
      <w:r>
        <w:rPr>
          <w:rFonts w:ascii="Times New Roman" w:hAnsi="Times New Roman"/>
          <w:b/>
          <w:i/>
          <w:color w:val="000000"/>
          <w:sz w:val="20"/>
        </w:rPr>
        <w:t>Notation on or Exchange of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may place an appropriate notation about an amendment or waiver on any Note of any Series thereafter authenticated. The Company in exchange for Notes of that Series may issue and the Trustee shall authenticate upon request new Notes of that Series that reflect the amendment or waiver.</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Failure to make the appropriate notation or issue a new Note will not affect the validity and effect of such amendment or waiver.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4" w:name="z_Toc40730706"/>
      <w:bookmarkEnd w:id="154"/>
      <w:r>
        <w:rPr>
          <w:rFonts w:ascii="Times New Roman" w:hAnsi="Times New Roman"/>
          <w:b/>
          <w:color w:val="000000"/>
          <w:sz w:val="20"/>
        </w:rPr>
        <w:t>Section 9.06</w:t>
      </w:r>
      <w:r>
        <w:rPr>
          <w:rFonts w:ascii="Times New Roman" w:hAnsi="Times New Roman"/>
          <w:color w:val="000000"/>
          <w:sz w:val="20"/>
        </w:rPr>
        <w:t xml:space="preserve">        </w:t>
      </w:r>
      <w:r>
        <w:rPr>
          <w:rFonts w:ascii="Times New Roman" w:hAnsi="Times New Roman"/>
          <w:b/>
          <w:i/>
          <w:color w:val="000000"/>
          <w:sz w:val="20"/>
        </w:rPr>
        <w:t>Trustee to Sign Amendments, etc.</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Officer’s Certificate and an Opinion of Counsel stating that the execution of such supplemental indenture is authorized or permitted by this Indenture, and an Opinion of Counsel stating that it will be the legal, valid and binding upon the Company in accordance with its terms, subject to customary exceptions. The Trustee shall sign all supplemental indentures, except that the Trustee need not sign any supplemental indenture that adversely affects its rights, duties, liabilities or immunities under this Indenture or otherwise.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55" w:name="z_Toc40730707"/>
      <w:bookmarkEnd w:id="155"/>
      <w:r>
        <w:rPr>
          <w:rFonts w:ascii="Times New Roman" w:hAnsi="Times New Roman"/>
          <w:b/>
          <w:color w:val="000000"/>
          <w:sz w:val="20"/>
        </w:rPr>
        <w:t>ARTICLE 10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SATISFACTION AND DISCHARGE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6" w:name="z_Toc40730708"/>
      <w:bookmarkEnd w:id="156"/>
      <w:r>
        <w:rPr>
          <w:rFonts w:ascii="Times New Roman" w:hAnsi="Times New Roman"/>
          <w:b/>
          <w:color w:val="000000"/>
          <w:sz w:val="20"/>
        </w:rPr>
        <w:t>Section 10.01</w:t>
      </w:r>
      <w:r>
        <w:rPr>
          <w:rFonts w:ascii="Times New Roman" w:hAnsi="Times New Roman"/>
          <w:color w:val="000000"/>
          <w:sz w:val="20"/>
        </w:rPr>
        <w:t xml:space="preserve">      </w:t>
      </w:r>
      <w:r>
        <w:rPr>
          <w:rFonts w:ascii="Times New Roman" w:hAnsi="Times New Roman"/>
          <w:b/>
          <w:i/>
          <w:color w:val="000000"/>
          <w:sz w:val="20"/>
        </w:rPr>
        <w:t>Satisfaction and Discharge.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This Indenture will be discharged and will cease to be of further effect as to a Series of Notes issued hereunder, when: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either: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all such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all such Notes that have not been delivered to the Trustee for cancellation have become due and payable by reason of the sending of a notice of redemption or otherwise or will become due and payable within one year and the Company has irrevocably deposited or caused to be deposited with the Trustee as trust funds in trust solely for the benefit of the Holders of such Notes, cash in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material instrument to which the Company or any guarantor, as applicable, is a party or by which the Company, or any guarantor, as applicable, is bound;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Company or any guarantor of such Notes has paid or caused to be paid all sums payable by it under this Indenture;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Company has delivered irrevocable instructions to the Trustee under this Indenture to apply the deposited money toward the payment of the Notes at maturity or on the redemption date, as the case may be.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addition, the Company must deliver an Officer’s Certificate and an Opinion of Counsel to the Trustee stating that all conditions precedent to satisfaction and discharge have been satisfied.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Notwithstanding the satisfaction and discharge of this Indenture, if money has been deposited with the Trustee pursuant to subclause (2) of clause (a) of this Section 10.01, the provisions of Sections 10.02 and 8.06 hereof will survive. In addition, nothing in this Section 10.01 will be deemed to discharge those provisions of Section 7.07 hereof, that, by their terms, survive the satisfaction and discharge of this Indenture. After the conditions to discharge contained in this Article Ten have been satisfied, and the Company has paid or caused to be paid all other sums payable hereunder by the Company, and delivered to the Trustee an Officer’s Certificate and Opinion of Counsel, each stating that all conditions precedent to satisfaction and discharge have been satisfied, the Trustee upon Company request shall acknowledge in writing the discharge of the obligations of the Company (except for those surviving obligations specified in this Section 10.01 and the rights, powers, trusts, duties and immunities of the Trustee hereunder and the Company’s obligations in connection therewith).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7" w:name="z_Toc40730709"/>
      <w:bookmarkEnd w:id="157"/>
      <w:r>
        <w:rPr>
          <w:rFonts w:ascii="Times New Roman" w:hAnsi="Times New Roman"/>
          <w:b/>
          <w:color w:val="000000"/>
          <w:sz w:val="20"/>
        </w:rPr>
        <w:t>Section 10.02</w:t>
      </w:r>
      <w:r>
        <w:rPr>
          <w:rFonts w:ascii="Times New Roman" w:hAnsi="Times New Roman"/>
          <w:color w:val="000000"/>
          <w:sz w:val="20"/>
        </w:rPr>
        <w:t xml:space="preserve">      </w:t>
      </w:r>
      <w:r>
        <w:rPr>
          <w:rFonts w:ascii="Times New Roman" w:hAnsi="Times New Roman"/>
          <w:b/>
          <w:i/>
          <w:color w:val="000000"/>
          <w:sz w:val="20"/>
        </w:rPr>
        <w:t>Application of Trust Money.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Subject to the provisions of Section 8.06 hereof, all money deposited with the Trustee pursuant to Section 10.01 hereof shall be held in trust and applied by it, in accordance with the provisions of the Notes with respect to which such deposit was made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Company’s and any applicable guarantor’s obligations under this Indenture and the applicable Notes shall be revived and reinstated as though no deposit had occurred pursuant to Section 10.01 hereof; </w:t>
      </w:r>
      <w:r>
        <w:rPr>
          <w:rFonts w:ascii="Times New Roman" w:hAnsi="Times New Roman"/>
          <w:i/>
          <w:color w:val="000000"/>
          <w:sz w:val="20"/>
        </w:rPr>
        <w:t>provided</w:t>
      </w:r>
      <w:r>
        <w:rPr>
          <w:rFonts w:ascii="Times New Roman" w:hAnsi="Times New Roman"/>
          <w:color w:val="000000"/>
          <w:sz w:val="20"/>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58" w:name="z_Toc40730710"/>
      <w:bookmarkEnd w:id="158"/>
      <w:r>
        <w:rPr>
          <w:rFonts w:ascii="Times New Roman" w:hAnsi="Times New Roman"/>
          <w:b/>
          <w:color w:val="000000"/>
          <w:sz w:val="20"/>
        </w:rPr>
        <w:t>ARTICLE 11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59" w:name="z_Toc40730711"/>
      <w:bookmarkEnd w:id="159"/>
      <w:r>
        <w:rPr>
          <w:rFonts w:ascii="Times New Roman" w:hAnsi="Times New Roman"/>
          <w:b/>
          <w:color w:val="000000"/>
          <w:sz w:val="20"/>
        </w:rPr>
        <w:t>Section 11.01</w:t>
      </w:r>
      <w:r>
        <w:rPr>
          <w:rFonts w:ascii="Times New Roman" w:hAnsi="Times New Roman"/>
          <w:color w:val="000000"/>
          <w:sz w:val="20"/>
        </w:rPr>
        <w:t xml:space="preserve">      </w:t>
      </w:r>
      <w:r>
        <w:rPr>
          <w:rFonts w:ascii="Times New Roman" w:hAnsi="Times New Roman"/>
          <w:b/>
          <w:i/>
          <w:color w:val="000000"/>
          <w:sz w:val="20"/>
        </w:rPr>
        <w:t>Trust Indenture Act Controls.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any provision of this Indenture limits, qualifies or conflicts with the duties imposed by Section 318(c) of the TIA, the imposed duties will control.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0" w:name="z_Toc40730712"/>
      <w:bookmarkEnd w:id="160"/>
      <w:r>
        <w:rPr>
          <w:rFonts w:ascii="Times New Roman" w:hAnsi="Times New Roman"/>
          <w:b/>
          <w:color w:val="000000"/>
          <w:sz w:val="20"/>
        </w:rPr>
        <w:t>Section 11.02</w:t>
      </w:r>
      <w:r>
        <w:rPr>
          <w:rFonts w:ascii="Times New Roman" w:hAnsi="Times New Roman"/>
          <w:color w:val="000000"/>
          <w:sz w:val="20"/>
        </w:rPr>
        <w:t xml:space="preserve">      </w:t>
      </w:r>
      <w:r>
        <w:rPr>
          <w:rFonts w:ascii="Times New Roman" w:hAnsi="Times New Roman"/>
          <w:b/>
          <w:i/>
          <w:color w:val="000000"/>
          <w:sz w:val="20"/>
        </w:rPr>
        <w:t>Notices.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Any notice or communication by the Company or the Trustee to the other is duly given if in writing and delivered in Person or by first class mail (registered or certified, return receipt requested), facsimile transmission or overnight air courier guaranteeing next day delivery, to the other’s address: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1440" w:right="0" w:hanging="72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Innventure, Inc.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6900 Tavistock Lakes Blvd.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Orlando, Florida 32827</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General Counsel</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Telephone No.: (321) 209-6787</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color w:val="000000"/>
        </w:rPr>
      </w:pPr>
      <w:r>
        <w:rPr>
          <w:color w:val="00000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Jones Day</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1221 Peachtree Street, N.E., Suite 400</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Atlanta, Georgia 30361</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Attention: Joel T. May, Esq.</w:t>
      </w:r>
    </w:p>
    <w:p>
      <w:pPr>
        <w:pStyle w:val="TextBody"/>
        <w:bidi w:val="0"/>
        <w:spacing w:before="0" w:after="0"/>
        <w:ind w:left="2160" w:right="0" w:hanging="720"/>
        <w:jc w:val="left"/>
        <w:rPr>
          <w:color w:val="000000"/>
        </w:rPr>
      </w:pPr>
      <w:r>
        <w:rPr>
          <w:color w:val="000000"/>
        </w:rPr>
        <w:t>                 </w:t>
      </w:r>
      <w:r>
        <w:rPr>
          <w:rFonts w:ascii="Times New Roman" w:hAnsi="Times New Roman"/>
          <w:color w:val="000000"/>
          <w:sz w:val="20"/>
        </w:rPr>
        <w:t>Thomas L. Short, Esq.</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Telephone No.: (404) 521-3939</w:t>
      </w:r>
    </w:p>
    <w:p>
      <w:pPr>
        <w:pStyle w:val="TextBody"/>
        <w:bidi w:val="0"/>
        <w:spacing w:before="0" w:after="0"/>
        <w:jc w:val="left"/>
        <w:rPr>
          <w:color w:val="000000"/>
        </w:rPr>
      </w:pPr>
      <w:r>
        <w:rPr>
          <w:color w:val="000000"/>
        </w:rPr>
        <w:t> </w:t>
      </w:r>
    </w:p>
    <w:p>
      <w:pPr>
        <w:pStyle w:val="TextBody"/>
        <w:bidi w:val="0"/>
        <w:spacing w:before="0" w:after="0"/>
        <w:ind w:left="1440" w:right="0" w:hanging="720"/>
        <w:jc w:val="left"/>
        <w:rPr>
          <w:rFonts w:ascii="Times New Roman" w:hAnsi="Times New Roman"/>
          <w:color w:val="000000"/>
          <w:sz w:val="20"/>
        </w:rPr>
      </w:pPr>
      <w:r>
        <w:rPr>
          <w:rFonts w:ascii="Times New Roman" w:hAnsi="Times New Roman"/>
          <w:color w:val="000000"/>
          <w:sz w:val="20"/>
        </w:rPr>
        <w:t>If to the Trustee:</w:t>
      </w:r>
    </w:p>
    <w:p>
      <w:pPr>
        <w:pStyle w:val="TextBody"/>
        <w:bidi w:val="0"/>
        <w:spacing w:before="0" w:after="0"/>
        <w:jc w:val="left"/>
        <w:rPr>
          <w:color w:val="000000"/>
        </w:rPr>
      </w:pPr>
      <w:r>
        <w:rPr>
          <w:color w:val="00000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Attention: [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Facsimile No.: [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Telephone No.: [      ]</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Company or the Trustee, by notice to the other, may designate additional or different addresses for subsequent notices or communications.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Section 313(c) of the TIA, to the extent required by the TIA. Failure to mail a notice or communication to a Holder or any defect in it will not affect its sufficiency with respect to other Holders. Notwithstanding any other provision of this Indenture or any Global Note, where this Indenture or any Global Note provides for notice of any event (including any notice of redemption or repurchase) to a Holder of a Global Note (whether by mail or otherwise), such notice shall be sufficiently given if given to the Depositary (or its designee) pursuant to the Applicable Procedures, including by electronic mail in accordance with the standing instructions from the Depositary.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a notice or communication is mailed in the manner provided above within the time prescribed, it is duly given, whether or not the addressee receives it.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If the Company mails a notice or communication to Holders, it will mail a copy to the Trustee and each Agent at the same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Trustee agrees to accept and act upon instructions or directions pursuant to this Indenture sent by unsecured e-mail, pdf,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1" w:name="z_Toc40730713"/>
      <w:bookmarkEnd w:id="161"/>
      <w:r>
        <w:rPr>
          <w:rFonts w:ascii="Times New Roman" w:hAnsi="Times New Roman"/>
          <w:b/>
          <w:color w:val="000000"/>
          <w:sz w:val="20"/>
        </w:rPr>
        <w:t>Section 11.03</w:t>
      </w:r>
      <w:r>
        <w:rPr>
          <w:rFonts w:ascii="Times New Roman" w:hAnsi="Times New Roman"/>
          <w:color w:val="000000"/>
          <w:sz w:val="20"/>
        </w:rPr>
        <w:t xml:space="preserve">      </w:t>
      </w:r>
      <w:r>
        <w:rPr>
          <w:rFonts w:ascii="Times New Roman" w:hAnsi="Times New Roman"/>
          <w:b/>
          <w:i/>
          <w:color w:val="000000"/>
          <w:sz w:val="20"/>
        </w:rPr>
        <w:t>Communication by Holders of Notes with Other Holders of Notes.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Holders may communicate pursuant to Section 312(b) of the TIA with other Holders with respect to their rights under this Indenture or the Notes. The Company, the Trustee, the Registrar and anyone else shall have the protection of Section 312(c) of the TIA.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2" w:name="z_Toc40730714"/>
      <w:bookmarkEnd w:id="162"/>
      <w:r>
        <w:rPr>
          <w:rFonts w:ascii="Times New Roman" w:hAnsi="Times New Roman"/>
          <w:b/>
          <w:color w:val="000000"/>
          <w:sz w:val="20"/>
        </w:rPr>
        <w:t>Section 11.04</w:t>
      </w:r>
      <w:r>
        <w:rPr>
          <w:rFonts w:ascii="Times New Roman" w:hAnsi="Times New Roman"/>
          <w:color w:val="000000"/>
          <w:sz w:val="20"/>
        </w:rPr>
        <w:t xml:space="preserve">      </w:t>
      </w:r>
      <w:r>
        <w:rPr>
          <w:rFonts w:ascii="Times New Roman" w:hAnsi="Times New Roman"/>
          <w:b/>
          <w:i/>
          <w:color w:val="000000"/>
          <w:sz w:val="20"/>
        </w:rPr>
        <w:t>Certificate and Opinion as to Conditions Precedent.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Upon any request or application by the Company to the Trustee to take any action under this Indenture, the Company shall furnish to the Trustee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an Officer’s Certificate stating that, in the opinion of the signers (who may rely upon an Opinion of Counsel as to matters of law), all conditions precedent, if any, provided for in this Indenture relating to the proposed action have been satisfied;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an Opinion of Counsel stating that, in the opinion of such counsel (who may rely upon an Officer’s Certificate as to matters of fact), all such conditions precedent and covenants have been satisfied.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3" w:name="z_Toc40730715"/>
      <w:bookmarkEnd w:id="163"/>
      <w:r>
        <w:rPr>
          <w:rFonts w:ascii="Times New Roman" w:hAnsi="Times New Roman"/>
          <w:b/>
          <w:color w:val="000000"/>
          <w:sz w:val="20"/>
        </w:rPr>
        <w:t>Section 11.05</w:t>
      </w:r>
      <w:r>
        <w:rPr>
          <w:rFonts w:ascii="Times New Roman" w:hAnsi="Times New Roman"/>
          <w:color w:val="000000"/>
          <w:sz w:val="20"/>
        </w:rPr>
        <w:t xml:space="preserve">      </w:t>
      </w:r>
      <w:r>
        <w:rPr>
          <w:rFonts w:ascii="Times New Roman" w:hAnsi="Times New Roman"/>
          <w:b/>
          <w:i/>
          <w:color w:val="000000"/>
          <w:sz w:val="20"/>
        </w:rPr>
        <w:t>Statements Required in Certificate or Opinion.</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Each certificate or opinion with respect to compliance with a condition or covenant provided for in this Indenture (other than a certificate provided pursuant to Section 314(a)(4) of the TIA) must comply with the provisions of Section 314(e) of the TIA and must include: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statement that the Person making such certificate or opinion has read such covenant or condition;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 brief statement as to the nature and scope of the examination or investigation upon which the statements or opinions contained in such certificate or opinion are based;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 statement that, in the opinion of such Person, he or she has made such examination or investigation as is necessary to enable him or her to express an informed opinion as to whether or not such covenant or condition has been satisfied;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a statement as to whether or not, in the opinion of such Person, such condition or covenant has been satisfied.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4" w:name="z_Toc40730716"/>
      <w:bookmarkEnd w:id="164"/>
      <w:r>
        <w:rPr>
          <w:rFonts w:ascii="Times New Roman" w:hAnsi="Times New Roman"/>
          <w:b/>
          <w:color w:val="000000"/>
          <w:sz w:val="20"/>
        </w:rPr>
        <w:t>Section 11.06</w:t>
      </w:r>
      <w:r>
        <w:rPr>
          <w:rFonts w:ascii="Times New Roman" w:hAnsi="Times New Roman"/>
          <w:color w:val="000000"/>
          <w:sz w:val="20"/>
        </w:rPr>
        <w:t xml:space="preserve">      </w:t>
      </w:r>
      <w:r>
        <w:rPr>
          <w:rFonts w:ascii="Times New Roman" w:hAnsi="Times New Roman"/>
          <w:b/>
          <w:i/>
          <w:color w:val="000000"/>
          <w:sz w:val="20"/>
        </w:rPr>
        <w:t>Rules by Holders and Agents.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Holders may make reasonable rules for action by or at a meeting of Holders. The Registrar or Paying Agent may make reasonable rules and set reasonable requirements for its functions.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5" w:name="z_Toc40730717"/>
      <w:bookmarkEnd w:id="165"/>
      <w:r>
        <w:rPr>
          <w:rFonts w:ascii="Times New Roman" w:hAnsi="Times New Roman"/>
          <w:b/>
          <w:color w:val="000000"/>
          <w:sz w:val="20"/>
        </w:rPr>
        <w:t>Section 11.07</w:t>
      </w:r>
      <w:r>
        <w:rPr>
          <w:rFonts w:ascii="Times New Roman" w:hAnsi="Times New Roman"/>
          <w:color w:val="000000"/>
          <w:sz w:val="20"/>
        </w:rPr>
        <w:t xml:space="preserve">      </w:t>
      </w:r>
      <w:r>
        <w:rPr>
          <w:rFonts w:ascii="Times New Roman" w:hAnsi="Times New Roman"/>
          <w:b/>
          <w:i/>
          <w:color w:val="000000"/>
          <w:sz w:val="20"/>
        </w:rPr>
        <w:t>Calculation of Foreign Currency Amounts.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calculation of the Dollar equivalent amount for any amount denominated in a foreign currency shall be the noon buying rate in the City of New York as certified by the Federal Reserve Bank of New York on the date on which such determination is required to be made or, if such day is not a day on which such rate is published, the rate most recently published prior to such day.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66" w:name="z_Toc40730718"/>
      <w:bookmarkEnd w:id="166"/>
      <w:r>
        <w:rPr>
          <w:rFonts w:ascii="Times New Roman" w:hAnsi="Times New Roman"/>
          <w:b/>
          <w:color w:val="000000"/>
          <w:sz w:val="20"/>
        </w:rPr>
        <w:t>Section 11.08</w:t>
      </w:r>
      <w:r>
        <w:rPr>
          <w:rFonts w:ascii="Times New Roman" w:hAnsi="Times New Roman"/>
          <w:color w:val="000000"/>
          <w:sz w:val="20"/>
        </w:rPr>
        <w:t xml:space="preserve">      </w:t>
      </w:r>
      <w:r>
        <w:rPr>
          <w:rFonts w:ascii="Times New Roman" w:hAnsi="Times New Roman"/>
          <w:b/>
          <w:i/>
          <w:color w:val="000000"/>
          <w:sz w:val="20"/>
        </w:rPr>
        <w:t>No Personal Liability of Directors, Officers, Employees and Shareholders.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No past, present or future director, officer, employee, incorporator or shareholder of the Company, as such, will have any liability for any obligations of the Company under the Notes, this Indenture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7" w:name="z_Toc40730719"/>
      <w:bookmarkEnd w:id="167"/>
      <w:r>
        <w:rPr>
          <w:rFonts w:ascii="Times New Roman" w:hAnsi="Times New Roman"/>
          <w:b/>
          <w:color w:val="000000"/>
          <w:sz w:val="20"/>
        </w:rPr>
        <w:t>Section 11.09</w:t>
      </w:r>
      <w:r>
        <w:rPr>
          <w:rFonts w:ascii="Times New Roman" w:hAnsi="Times New Roman"/>
          <w:color w:val="000000"/>
          <w:sz w:val="20"/>
        </w:rPr>
        <w:t xml:space="preserve">      </w:t>
      </w:r>
      <w:r>
        <w:rPr>
          <w:rFonts w:ascii="Times New Roman" w:hAnsi="Times New Roman"/>
          <w:b/>
          <w:i/>
          <w:color w:val="000000"/>
          <w:sz w:val="20"/>
        </w:rPr>
        <w:t>Governing Law.</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INTERNAL LAW OF THE STATE OF NEW YORK WILL GOVERN AND BE USED TO CONSTRUE THIS INDENTURE, THE NOTES, AND THE GUARANTEES, IF ANY, WITHOUT GIVING EFFECT TO APPLICABLE PRINCIPLES OF CONFLICTS OF LAW TO THE EXTENT THAT THE APPLICATION OF THE LAWS OF ANOTHER JURISDICTION WOULD BE REQUIRED THEREBY.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8" w:name="z_Toc40730720"/>
      <w:bookmarkEnd w:id="168"/>
      <w:r>
        <w:rPr>
          <w:rFonts w:ascii="Times New Roman" w:hAnsi="Times New Roman"/>
          <w:b/>
          <w:color w:val="000000"/>
          <w:sz w:val="20"/>
        </w:rPr>
        <w:t>Section 11.10</w:t>
      </w:r>
      <w:r>
        <w:rPr>
          <w:rFonts w:ascii="Times New Roman" w:hAnsi="Times New Roman"/>
          <w:color w:val="000000"/>
          <w:sz w:val="20"/>
        </w:rPr>
        <w:t xml:space="preserve">      </w:t>
      </w:r>
      <w:r>
        <w:rPr>
          <w:rFonts w:ascii="Times New Roman" w:hAnsi="Times New Roman"/>
          <w:b/>
          <w:i/>
          <w:color w:val="000000"/>
          <w:sz w:val="20"/>
        </w:rPr>
        <w:t>No Adverse Interpretation of Other Agreements.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This Indenture may not be used to interpret any other indenture, loan or debt agreement of the Company or its Subsidiaries or of any other Person. Any such indenture, loan or debt agreement may not be used to interpret this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69" w:name="z_Toc40730721"/>
      <w:bookmarkEnd w:id="169"/>
      <w:r>
        <w:rPr>
          <w:rFonts w:ascii="Times New Roman" w:hAnsi="Times New Roman"/>
          <w:b/>
          <w:color w:val="000000"/>
          <w:sz w:val="20"/>
        </w:rPr>
        <w:t>Section 11.11</w:t>
      </w:r>
      <w:r>
        <w:rPr>
          <w:rFonts w:ascii="Times New Roman" w:hAnsi="Times New Roman"/>
          <w:color w:val="000000"/>
          <w:sz w:val="20"/>
        </w:rPr>
        <w:t xml:space="preserve">       </w:t>
      </w:r>
      <w:r>
        <w:rPr>
          <w:rFonts w:ascii="Times New Roman" w:hAnsi="Times New Roman"/>
          <w:b/>
          <w:i/>
          <w:color w:val="000000"/>
          <w:sz w:val="20"/>
        </w:rPr>
        <w:t>Successors.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All agreements of the Company in this Indenture and the Notes will bind its successors. All agreements of the Trustee in this Indenture will bind its successors.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70" w:name="z_Toc40730722"/>
      <w:bookmarkEnd w:id="170"/>
      <w:r>
        <w:rPr>
          <w:rFonts w:ascii="Times New Roman" w:hAnsi="Times New Roman"/>
          <w:b/>
          <w:color w:val="000000"/>
          <w:sz w:val="20"/>
        </w:rPr>
        <w:t>Section 11.12</w:t>
      </w:r>
      <w:r>
        <w:rPr>
          <w:rFonts w:ascii="Times New Roman" w:hAnsi="Times New Roman"/>
          <w:color w:val="000000"/>
          <w:sz w:val="20"/>
        </w:rPr>
        <w:t xml:space="preserve">      </w:t>
      </w:r>
      <w:r>
        <w:rPr>
          <w:rFonts w:ascii="Times New Roman" w:hAnsi="Times New Roman"/>
          <w:b/>
          <w:i/>
          <w:color w:val="000000"/>
          <w:sz w:val="20"/>
        </w:rPr>
        <w:t>Severability.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case any provision in this Indenture or in the Notes is invalid, illegal or unenforceable, the validity, legality and enforceability of the remaining provisions will not in any way be affected or impaired thereby.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71" w:name="z_Toc40730723"/>
      <w:bookmarkEnd w:id="171"/>
      <w:r>
        <w:rPr>
          <w:rFonts w:ascii="Times New Roman" w:hAnsi="Times New Roman"/>
          <w:b/>
          <w:color w:val="000000"/>
          <w:sz w:val="20"/>
        </w:rPr>
        <w:t>Section 11.13</w:t>
      </w:r>
      <w:r>
        <w:rPr>
          <w:rFonts w:ascii="Times New Roman" w:hAnsi="Times New Roman"/>
          <w:color w:val="000000"/>
          <w:sz w:val="20"/>
        </w:rPr>
        <w:t xml:space="preserve">      </w:t>
      </w:r>
      <w:r>
        <w:rPr>
          <w:rFonts w:ascii="Times New Roman" w:hAnsi="Times New Roman"/>
          <w:b/>
          <w:i/>
          <w:color w:val="000000"/>
          <w:sz w:val="20"/>
        </w:rPr>
        <w:t>Counterpart Originals.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72" w:name="z_Toc40730724"/>
      <w:bookmarkEnd w:id="172"/>
      <w:r>
        <w:rPr>
          <w:rFonts w:ascii="Times New Roman" w:hAnsi="Times New Roman"/>
          <w:b/>
          <w:color w:val="000000"/>
          <w:sz w:val="20"/>
        </w:rPr>
        <w:t>Section 11.14</w:t>
      </w:r>
      <w:r>
        <w:rPr>
          <w:rFonts w:ascii="Times New Roman" w:hAnsi="Times New Roman"/>
          <w:color w:val="000000"/>
          <w:sz w:val="20"/>
        </w:rPr>
        <w:t xml:space="preserve">      </w:t>
      </w:r>
      <w:r>
        <w:rPr>
          <w:rFonts w:ascii="Times New Roman" w:hAnsi="Times New Roman"/>
          <w:b/>
          <w:i/>
          <w:color w:val="000000"/>
          <w:sz w:val="20"/>
        </w:rPr>
        <w:t>Table of Contents, Headings, etc.</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73" w:name="z_Toc40730725"/>
      <w:bookmarkEnd w:id="173"/>
      <w:r>
        <w:rPr>
          <w:rFonts w:ascii="Times New Roman" w:hAnsi="Times New Roman"/>
          <w:b/>
          <w:color w:val="000000"/>
          <w:sz w:val="20"/>
        </w:rPr>
        <w:t>Section 11.15</w:t>
      </w:r>
      <w:r>
        <w:rPr>
          <w:rFonts w:ascii="Times New Roman" w:hAnsi="Times New Roman"/>
          <w:color w:val="000000"/>
          <w:sz w:val="20"/>
        </w:rPr>
        <w:t xml:space="preserve">      </w:t>
      </w:r>
      <w:r>
        <w:rPr>
          <w:rFonts w:ascii="Times New Roman" w:hAnsi="Times New Roman"/>
          <w:b/>
          <w:i/>
          <w:color w:val="000000"/>
          <w:sz w:val="20"/>
        </w:rPr>
        <w:t>Waiver of Jury Trial</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174" w:name="z_Toc40730726"/>
      <w:bookmarkEnd w:id="174"/>
      <w:r>
        <w:rPr>
          <w:rFonts w:ascii="Times New Roman" w:hAnsi="Times New Roman"/>
          <w:b/>
          <w:color w:val="000000"/>
          <w:sz w:val="20"/>
        </w:rPr>
        <w:t>Section 11.16</w:t>
      </w:r>
      <w:r>
        <w:rPr>
          <w:rFonts w:ascii="Times New Roman" w:hAnsi="Times New Roman"/>
          <w:color w:val="000000"/>
          <w:sz w:val="20"/>
        </w:rPr>
        <w:t xml:space="preserve">      </w:t>
      </w:r>
      <w:r>
        <w:rPr>
          <w:rFonts w:ascii="Times New Roman" w:hAnsi="Times New Roman"/>
          <w:b/>
          <w:i/>
          <w:color w:val="000000"/>
          <w:sz w:val="20"/>
        </w:rPr>
        <w:t>Patriot Act Compliance</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which information includes the name, address, tax identification number and formation documents and other information that will allow Trustee to identify the person or legal entity in accordance with the USA Patriot Act. The parties to this Agreement agree that they will provide the Trustee with such information in order for the Trustee to satisfy the requirements of the USA Patriot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175" w:name="z_Toc40730727"/>
      <w:bookmarkEnd w:id="175"/>
      <w:r>
        <w:rPr>
          <w:rFonts w:ascii="Times New Roman" w:hAnsi="Times New Roman"/>
          <w:b/>
          <w:color w:val="000000"/>
          <w:sz w:val="20"/>
        </w:rPr>
        <w:t>Section 11.17</w:t>
      </w:r>
      <w:r>
        <w:rPr>
          <w:rFonts w:ascii="Times New Roman" w:hAnsi="Times New Roman"/>
          <w:color w:val="000000"/>
          <w:sz w:val="20"/>
        </w:rPr>
        <w:t xml:space="preserve">      </w:t>
      </w:r>
      <w:r>
        <w:rPr>
          <w:rFonts w:ascii="Times New Roman" w:hAnsi="Times New Roman"/>
          <w:b/>
          <w:i/>
          <w:color w:val="000000"/>
          <w:sz w:val="20"/>
        </w:rPr>
        <w:t>Foreign Account Tax Compliance Act (FATCA)</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In order to comply with applicable tax laws, rules and regulations (inclusive of directives, guidelines and interpretations promulgated by competent authorities) in effect from time to time (“Applicable Law”) to which a foreign financial institution, issuer, trustee, paying agent, holder or other institution is or has agreed to be subject related to this Indenture, the Company agrees (i) to provide to the Trustee sufficient information about Holders or other applicable parties and/or transactions (including any modification to the terms of such transactions) so as to enable the Trustee to determine whether it has tax related obligations under Applicable Law and (ii) that the Trustee shall be entitled to make any withholding or deduction from payments under this Indenture to the extent necessary to comply with Applicable Law for which the Trustee shall not have any liability. The terms of this section shall survive the termination of this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following page]</w:t>
      </w:r>
    </w:p>
    <w:p>
      <w:pPr>
        <w:pStyle w:val="TextBody"/>
        <w:bidi w:val="0"/>
        <w:spacing w:before="0" w:after="0"/>
        <w:jc w:val="center"/>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6" w:name="z290d2217c31144d0a969f481a6344aa5"/>
      <w:bookmarkStart w:id="177" w:name="z290d2217c31144d0a969f481a6344aa5"/>
      <w:bookmarkEnd w:id="177"/>
    </w:p>
    <w:tbl>
      <w:tblPr>
        <w:tblW w:w="3983" w:type="dxa"/>
        <w:jc w:val="left"/>
        <w:tblInd w:w="0" w:type="dxa"/>
        <w:tblLayout w:type="fixed"/>
        <w:tblCellMar>
          <w:top w:w="0" w:type="dxa"/>
          <w:left w:w="0" w:type="dxa"/>
          <w:bottom w:w="0" w:type="dxa"/>
          <w:right w:w="0" w:type="dxa"/>
        </w:tblCellMar>
      </w:tblPr>
      <w:tblGrid>
        <w:gridCol w:w="1670"/>
        <w:gridCol w:w="1660"/>
        <w:gridCol w:w="326"/>
        <w:gridCol w:w="327"/>
      </w:tblGrid>
      <w:tr>
        <w:trPr/>
        <w:tc>
          <w:tcPr>
            <w:tcW w:w="1670" w:type="dxa"/>
            <w:tcBorders/>
            <w:vAlign w:val="center"/>
          </w:tcPr>
          <w:p>
            <w:pPr>
              <w:pStyle w:val="TableContents"/>
              <w:bidi w:val="0"/>
              <w:spacing w:before="0" w:after="0"/>
              <w:jc w:val="left"/>
              <w:rPr>
                <w:b w:val="false"/>
              </w:rPr>
            </w:pPr>
            <w:r>
              <w:rPr>
                <w:b w:val="false"/>
              </w:rPr>
              <w:t>Dated as of [      ]</w:t>
            </w:r>
          </w:p>
        </w:tc>
        <w:tc>
          <w:tcPr>
            <w:tcW w:w="2313" w:type="dxa"/>
            <w:gridSpan w:val="3"/>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b/>
              </w:rPr>
            </w:pPr>
            <w:r>
              <w:rPr>
                <w:b/>
              </w:rPr>
              <w:t>INNVENTURE, INC.</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0"/>
              <w:jc w:val="left"/>
              <w:rPr/>
            </w:pPr>
            <w:r>
              <w:rPr/>
              <w:t>By:</w:t>
            </w:r>
          </w:p>
        </w:tc>
        <w:tc>
          <w:tcPr>
            <w:tcW w:w="326" w:type="dxa"/>
            <w:tcBorders>
              <w:bottom w:val="single" w:sz="12" w:space="0" w:color="000000"/>
            </w:tcBorders>
            <w:tcMar>
              <w:bottom w:w="28" w:type="dxa"/>
            </w:tcMar>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pPr>
            <w:r>
              <w:rPr/>
              <w:t>Name:</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pPr>
            <w:r>
              <w:rPr/>
              <w:t>Title:</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b/>
              </w:rPr>
            </w:pPr>
            <w:r>
              <w:rPr>
                <w:b/>
              </w:rPr>
              <w:t>[      ], as Trustee</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0"/>
              <w:jc w:val="left"/>
              <w:rPr/>
            </w:pPr>
            <w:r>
              <w:rPr/>
              <w:t>By:</w:t>
            </w:r>
          </w:p>
        </w:tc>
        <w:tc>
          <w:tcPr>
            <w:tcW w:w="326" w:type="dxa"/>
            <w:tcBorders>
              <w:bottom w:val="single" w:sz="12" w:space="0" w:color="000000"/>
            </w:tcBorders>
            <w:tcMar>
              <w:bottom w:w="28" w:type="dxa"/>
            </w:tcMar>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pPr>
            <w:r>
              <w:rPr/>
              <w:t>Name:</w:t>
            </w:r>
          </w:p>
        </w:tc>
      </w:tr>
      <w:tr>
        <w:trPr/>
        <w:tc>
          <w:tcPr>
            <w:tcW w:w="1670"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0"/>
              <w:jc w:val="left"/>
              <w:rPr/>
            </w:pPr>
            <w:r>
              <w:rPr/>
              <w:t>Title:</w:t>
            </w:r>
          </w:p>
        </w:tc>
      </w:tr>
    </w:tbl>
    <w:p>
      <w:pPr>
        <w:pStyle w:val="TextBody"/>
        <w:bidi w:val="0"/>
        <w:spacing w:before="0" w:after="0"/>
        <w:jc w:val="left"/>
        <w:rPr>
          <w:i/>
          <w:color w:val="000000"/>
        </w:rPr>
      </w:pPr>
      <w:r>
        <w:rPr>
          <w:i/>
          <w:color w:val="00000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to Indenture]</w:t>
      </w:r>
    </w:p>
    <w:p>
      <w:pPr>
        <w:pStyle w:val="TextBody"/>
        <w:bidi w:val="0"/>
        <w:spacing w:before="0" w:after="0"/>
        <w:jc w:val="left"/>
        <w:rPr>
          <w:i/>
          <w:color w:val="000000"/>
        </w:rPr>
      </w:pPr>
      <w:r>
        <w:rPr>
          <w:i/>
          <w:color w:val="00000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8" w:name="ny20061800x1_ex5-1.htm"/>
      <w:bookmarkStart w:id="179" w:name="ksny20061800x1_ex51"/>
      <w:bookmarkStart w:id="180" w:name="ny20061800x1_ex5-1.htm"/>
      <w:bookmarkStart w:id="181" w:name="ksny20061800x1_ex51"/>
      <w:bookmarkEnd w:id="180"/>
      <w:bookmarkEnd w:id="18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3716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371600" cy="152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1221 PEACHTREE STREE, N.E.  •  SUITE 400  •  ATLANTA, GEORGIA  30361</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TELEPHONE: +1.404.521.3939 • JONESDAY.COM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December 23,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Innventure,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6900 Tavistock Lakes Blvd.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Orlando, Florida 32827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372c171b6d8e459e9dbf90e0e9e8b3ca"/>
      <w:bookmarkStart w:id="183" w:name="z372c171b6d8e459e9dbf90e0e9e8b3ca"/>
      <w:bookmarkEnd w:id="183"/>
    </w:p>
    <w:tbl>
      <w:tblPr>
        <w:tblW w:w="6153" w:type="dxa"/>
        <w:jc w:val="left"/>
        <w:tblInd w:w="0" w:type="dxa"/>
        <w:tblLayout w:type="fixed"/>
        <w:tblCellMar>
          <w:top w:w="0" w:type="dxa"/>
          <w:left w:w="0" w:type="dxa"/>
          <w:bottom w:w="0" w:type="dxa"/>
          <w:right w:w="0" w:type="dxa"/>
        </w:tblCellMar>
      </w:tblPr>
      <w:tblGrid>
        <w:gridCol w:w="38"/>
        <w:gridCol w:w="350"/>
        <w:gridCol w:w="576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Re:</w:t>
            </w:r>
          </w:p>
        </w:tc>
        <w:tc>
          <w:tcPr>
            <w:tcW w:w="5765" w:type="dxa"/>
            <w:tcBorders/>
            <w:vAlign w:val="center"/>
          </w:tcPr>
          <w:p>
            <w:pPr>
              <w:pStyle w:val="TableContents"/>
              <w:bidi w:val="0"/>
              <w:spacing w:before="0" w:after="0"/>
              <w:jc w:val="left"/>
              <w:rPr>
                <w:u w:val="single"/>
              </w:rPr>
            </w:pPr>
            <w:r>
              <w:rPr>
                <w:u w:val="single"/>
              </w:rPr>
              <w:t>Registration Statement on Form S-3 filed by Innventure, Inc.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acted as counsel for Innventure, Inc.,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in connection with the authorization of the possible issuance and sale from time to time, on a delayed basis, by the Company of up to $200,000,000 in initial aggregate offering price of: (i) shares of common stock, par value $0.0001 per share, of the Company (the “</w:t>
      </w:r>
      <w:r>
        <w:rPr>
          <w:rFonts w:ascii="Times New Roman;Times;serif" w:hAnsi="Times New Roman;Times;serif"/>
          <w:b/>
          <w:i/>
          <w:color w:val="000000"/>
          <w:sz w:val="20"/>
        </w:rPr>
        <w:t>Common Stock</w:t>
      </w:r>
      <w:r>
        <w:rPr>
          <w:rFonts w:ascii="Times New Roman;Times;serif" w:hAnsi="Times New Roman;Times;serif"/>
          <w:color w:val="000000"/>
          <w:sz w:val="20"/>
        </w:rPr>
        <w:t>”); (ii) shares of preferred stock, par value $0.0001 per share, of the Company (the “</w:t>
      </w:r>
      <w:r>
        <w:rPr>
          <w:rFonts w:ascii="Times New Roman;Times;serif" w:hAnsi="Times New Roman;Times;serif"/>
          <w:b/>
          <w:i/>
          <w:color w:val="000000"/>
          <w:sz w:val="20"/>
        </w:rPr>
        <w:t>Preferred Stock</w:t>
      </w:r>
      <w:r>
        <w:rPr>
          <w:rFonts w:ascii="Times New Roman;Times;serif" w:hAnsi="Times New Roman;Times;serif"/>
          <w:color w:val="000000"/>
          <w:sz w:val="20"/>
        </w:rPr>
        <w:t>”), in one or more series, certain of which may be convertible into or exchangeable for shares of Common Stock or other securities of the Company; (iii) debt securities of the Company (the “</w:t>
      </w:r>
      <w:r>
        <w:rPr>
          <w:rFonts w:ascii="Times New Roman;Times;serif" w:hAnsi="Times New Roman;Times;serif"/>
          <w:b/>
          <w:i/>
          <w:color w:val="000000"/>
          <w:sz w:val="20"/>
        </w:rPr>
        <w:t>Debt Securities</w:t>
      </w:r>
      <w:r>
        <w:rPr>
          <w:rFonts w:ascii="Times New Roman;Times;serif" w:hAnsi="Times New Roman;Times;serif"/>
          <w:color w:val="000000"/>
          <w:sz w:val="20"/>
        </w:rPr>
        <w:t>”), in one or more series, certain of which may be convertible into or exchangeable for shares of Common Stock; (iv) depositary shares representing fractional interests in shares of Preferred Stock (the “</w:t>
      </w:r>
      <w:r>
        <w:rPr>
          <w:rFonts w:ascii="Times New Roman;Times;serif" w:hAnsi="Times New Roman;Times;serif"/>
          <w:b/>
          <w:i/>
          <w:color w:val="000000"/>
          <w:sz w:val="20"/>
        </w:rPr>
        <w:t>Depositary Shares</w:t>
      </w:r>
      <w:r>
        <w:rPr>
          <w:rFonts w:ascii="Times New Roman;Times;serif" w:hAnsi="Times New Roman;Times;serif"/>
          <w:color w:val="000000"/>
          <w:sz w:val="20"/>
        </w:rPr>
        <w:t>”); (v) warrants to purchase shares of Common Stock, shares of Preferred Stock, Depositary Shares or Debt Securities or any combination thereof (the “</w:t>
      </w:r>
      <w:r>
        <w:rPr>
          <w:rFonts w:ascii="Times New Roman;Times;serif" w:hAnsi="Times New Roman;Times;serif"/>
          <w:b/>
          <w:i/>
          <w:color w:val="000000"/>
          <w:sz w:val="20"/>
        </w:rPr>
        <w:t>Warrants</w:t>
      </w:r>
      <w:r>
        <w:rPr>
          <w:rFonts w:ascii="Times New Roman;Times;serif" w:hAnsi="Times New Roman;Times;serif"/>
          <w:color w:val="000000"/>
          <w:sz w:val="20"/>
        </w:rPr>
        <w:t>”); (vi) subscription rights to purchase shares of Common Stock, shares of Preferred Stock, Depositary Shares or Debt Securities or any combination thereof (the “</w:t>
      </w:r>
      <w:r>
        <w:rPr>
          <w:rFonts w:ascii="Times New Roman;Times;serif" w:hAnsi="Times New Roman;Times;serif"/>
          <w:b/>
          <w:i/>
          <w:color w:val="000000"/>
          <w:sz w:val="20"/>
        </w:rPr>
        <w:t>Subscription Rights</w:t>
      </w:r>
      <w:r>
        <w:rPr>
          <w:rFonts w:ascii="Times New Roman;Times;serif" w:hAnsi="Times New Roman;Times;serif"/>
          <w:color w:val="000000"/>
          <w:sz w:val="20"/>
        </w:rPr>
        <w:t>”); (vii) purchase contracts to purchase securities at a future date or dates (the “</w:t>
      </w:r>
      <w:r>
        <w:rPr>
          <w:rFonts w:ascii="Times New Roman;Times;serif" w:hAnsi="Times New Roman;Times;serif"/>
          <w:b/>
          <w:i/>
          <w:color w:val="000000"/>
          <w:sz w:val="20"/>
        </w:rPr>
        <w:t>Purchase Contracts</w:t>
      </w:r>
      <w:r>
        <w:rPr>
          <w:rFonts w:ascii="Times New Roman;Times;serif" w:hAnsi="Times New Roman;Times;serif"/>
          <w:color w:val="000000"/>
          <w:sz w:val="20"/>
        </w:rPr>
        <w:t>”); and (viii) units consisting of one or more of the securities described in clauses (i) through (vii) above (the “</w:t>
      </w:r>
      <w:r>
        <w:rPr>
          <w:rFonts w:ascii="Times New Roman;Times;serif" w:hAnsi="Times New Roman;Times;serif"/>
          <w:b/>
          <w:i/>
          <w:color w:val="000000"/>
          <w:sz w:val="20"/>
        </w:rPr>
        <w:t>Units</w:t>
      </w:r>
      <w:r>
        <w:rPr>
          <w:rFonts w:ascii="Times New Roman;Times;serif" w:hAnsi="Times New Roman;Times;serif"/>
          <w:color w:val="000000"/>
          <w:sz w:val="20"/>
        </w:rPr>
        <w:t>”), in each case as contemplated by the Company’s Registration Statement on Form S-3 to which this opinion is filed as an exhibit (as the same may be amended from time to time, the “</w:t>
      </w:r>
      <w:r>
        <w:rPr>
          <w:rFonts w:ascii="Times New Roman;Times;serif" w:hAnsi="Times New Roman;Times;serif"/>
          <w:b/>
          <w:i/>
          <w:color w:val="000000"/>
          <w:sz w:val="20"/>
        </w:rPr>
        <w:t>Registration Statement</w:t>
      </w:r>
      <w:r>
        <w:rPr>
          <w:rFonts w:ascii="Times New Roman;Times;serif" w:hAnsi="Times New Roman;Times;serif"/>
          <w:color w:val="000000"/>
          <w:sz w:val="20"/>
        </w:rPr>
        <w:t>”). The Common Stock, the Preferred Stock, the Debt Securities, the Depositary Shares, the Warrants, the Subscription Rights, the Purchase Contracts and the Units are collectively referred to herein as the “</w:t>
      </w:r>
      <w:r>
        <w:rPr>
          <w:rFonts w:ascii="Times New Roman;Times;serif" w:hAnsi="Times New Roman;Times;serif"/>
          <w:b/>
          <w:i/>
          <w:color w:val="000000"/>
          <w:sz w:val="20"/>
        </w:rPr>
        <w:t>Securities</w:t>
      </w:r>
      <w:r>
        <w:rPr>
          <w:rFonts w:ascii="Times New Roman;Times;serif" w:hAnsi="Times New Roman;Times;serif"/>
          <w:color w:val="000000"/>
          <w:sz w:val="20"/>
        </w:rPr>
        <w:t>.” The Securities may be offered and sold from time to time pursuant to Rule 415 under the Securities Act of 1933 (the “</w:t>
      </w:r>
      <w:r>
        <w:rPr>
          <w:rFonts w:ascii="Times New Roman;Times;serif" w:hAnsi="Times New Roman;Times;serif"/>
          <w:b/>
          <w:i/>
          <w:color w:val="000000"/>
          <w:sz w:val="20"/>
        </w:rPr>
        <w:t>Securities Act</w:t>
      </w:r>
      <w:r>
        <w:rPr>
          <w:rFonts w:ascii="Times New Roman;Times;serif" w:hAnsi="Times New Roman;Times;serif"/>
          <w:color w:val="000000"/>
          <w:sz w:val="20"/>
        </w:rPr>
        <w:t>”).</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AMSTERDAM • ATLANTA • BEIJING • BOSTON • BRISBANE • BRUSSELS • CHICAGO • CLEVELAND • COLUMBUS • DALLAS</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DETROIT • DUBAI • DÜSSELDORF • FRANKFURT • HONG KONG • HOUSTON • IRVINE • LONDON • LOS ANGELES • MADRID</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MELBOURNE • MEXICO CITY • MIAMI • MILAN • MINNEAPOLIS • MUNICH • NEW YORK • PARIS • PERTH • PITTSBURGH</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SAN DIEGO • SAN FRANCISCO • SÃO PAULO • SHANGHAI • SILICON VALLEY • SINGAPORE • SYDNEY • TAIPEI • TOKYO • WASHINGTON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xml:space="preserve">  </w:t>
      </w:r>
    </w:p>
    <w:p>
      <w:pPr>
        <w:pStyle w:val="TextBody"/>
        <w:bidi w:val="0"/>
        <w:spacing w:before="0" w:after="0"/>
        <w:jc w:val="right"/>
        <w:rPr>
          <w:color w:val="000000"/>
        </w:rPr>
      </w:pPr>
      <w:r>
        <w:rPr>
          <w:color w:val="000000"/>
        </w:rPr>
        <w:drawing>
          <wp:inline distT="0" distB="0" distL="0" distR="0">
            <wp:extent cx="13716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371600" cy="152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Innventure, Inc.</w:t>
        <w:br/>
        <w:t>December 23, 2025</w:t>
        <w:br/>
        <w:t>Page 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connection with the opinions expressed herein, we have examined such documents, records and matters of law as we have deemed relevant or necessary for purposes of these opinions. Based on the foregoing, and subject to the further limitations, qualifications and assumptions set forth herein, we are of the opinion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1f8b07c603204537b2359b5ec49803d0"/>
      <w:bookmarkStart w:id="185" w:name="z1f8b07c603204537b2359b5ec49803d0"/>
      <w:bookmarkEnd w:id="185"/>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pPr>
            <w:r>
              <w:rPr/>
              <w:t>1.</w:t>
            </w:r>
          </w:p>
        </w:tc>
        <w:tc>
          <w:tcPr>
            <w:tcW w:w="10032" w:type="dxa"/>
            <w:tcBorders/>
            <w:vAlign w:val="center"/>
          </w:tcPr>
          <w:p>
            <w:pPr>
              <w:pStyle w:val="TableContents"/>
              <w:bidi w:val="0"/>
              <w:spacing w:before="0" w:after="0"/>
              <w:jc w:val="left"/>
              <w:rPr/>
            </w:pPr>
            <w:r>
              <w:rPr/>
              <w:t>The shares of Common Stock, upon receipt by the Company of such lawful consideration therefor having a value not less than the par value therefor as the Company’s Board of Directors (or an authorized committee or subcommittee thereof) may determine, will be validly issued, fully paid and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6" w:name="z4579180774d3486b8e8b1133478342c9"/>
      <w:bookmarkStart w:id="187" w:name="z4579180774d3486b8e8b1133478342c9"/>
      <w:bookmarkEnd w:id="187"/>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pPr>
            <w:r>
              <w:rPr/>
              <w:t>2.</w:t>
            </w:r>
          </w:p>
        </w:tc>
        <w:tc>
          <w:tcPr>
            <w:tcW w:w="10032" w:type="dxa"/>
            <w:tcBorders/>
            <w:vAlign w:val="center"/>
          </w:tcPr>
          <w:p>
            <w:pPr>
              <w:pStyle w:val="TableContents"/>
              <w:bidi w:val="0"/>
              <w:spacing w:before="0" w:after="0"/>
              <w:jc w:val="left"/>
              <w:rPr/>
            </w:pPr>
            <w:r>
              <w:rPr/>
              <w:t>The shares of Preferred Stock, upon receipt by the Company of such lawful consideration therefor having a value not less than the par value thereof as the Company’s Board of Directors (or an authorized committee or subcommittee thereof) may determine, will be validly issued, fully paid and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8" w:name="z01af0be5c5214438857dbff1f140c477"/>
      <w:bookmarkStart w:id="189" w:name="z01af0be5c5214438857dbff1f140c477"/>
      <w:bookmarkEnd w:id="189"/>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pPr>
            <w:r>
              <w:rPr/>
              <w:t>3.</w:t>
            </w:r>
          </w:p>
        </w:tc>
        <w:tc>
          <w:tcPr>
            <w:tcW w:w="10028" w:type="dxa"/>
            <w:tcBorders/>
            <w:vAlign w:val="center"/>
          </w:tcPr>
          <w:p>
            <w:pPr>
              <w:pStyle w:val="TableContents"/>
              <w:bidi w:val="0"/>
              <w:spacing w:before="0" w:after="0"/>
              <w:jc w:val="left"/>
              <w:rPr/>
            </w:pPr>
            <w:r>
              <w:rPr/>
              <w:t>The Debt Securities, upon receipt by the Company of such lawful consideration therefor as the Company’s Board of Directors (or an authorized committee or subcommittee thereof) may determine, will constitute valid and binding obligations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0" w:name="z00c4ff58d3cc472190f30d0151625999"/>
      <w:bookmarkStart w:id="191" w:name="z00c4ff58d3cc472190f30d0151625999"/>
      <w:bookmarkEnd w:id="191"/>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pPr>
            <w:r>
              <w:rPr/>
              <w:t>4.</w:t>
            </w:r>
          </w:p>
        </w:tc>
        <w:tc>
          <w:tcPr>
            <w:tcW w:w="10037" w:type="dxa"/>
            <w:tcBorders/>
            <w:vAlign w:val="center"/>
          </w:tcPr>
          <w:p>
            <w:pPr>
              <w:pStyle w:val="TableContents"/>
              <w:bidi w:val="0"/>
              <w:spacing w:before="0" w:after="0"/>
              <w:jc w:val="left"/>
              <w:rPr/>
            </w:pPr>
            <w:r>
              <w:rPr/>
              <w:t>The Depositary Shares, upon receipt by the Company of such lawful consideration therefor as the Company’s Board of Directors (or an authorized committee or subcommittee thereof) may determine, will be validly issued, and the depositary receipts representing the Depositary Shares will entitle the holders thereof to the rights specified therein and in the Deposit Agreement (as defined below) pursuant to which they are issued.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12e51d142f7843cda3505f9be459d355"/>
      <w:bookmarkStart w:id="193" w:name="z12e51d142f7843cda3505f9be459d355"/>
      <w:bookmarkEnd w:id="193"/>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pPr>
            <w:r>
              <w:rPr/>
              <w:t>5.</w:t>
            </w:r>
          </w:p>
        </w:tc>
        <w:tc>
          <w:tcPr>
            <w:tcW w:w="10027" w:type="dxa"/>
            <w:tcBorders/>
            <w:vAlign w:val="center"/>
          </w:tcPr>
          <w:p>
            <w:pPr>
              <w:pStyle w:val="TableContents"/>
              <w:bidi w:val="0"/>
              <w:spacing w:before="0" w:after="0"/>
              <w:jc w:val="left"/>
              <w:rPr/>
            </w:pPr>
            <w:r>
              <w:rPr/>
              <w:t>The Warrants, upon receipt by the Company of such lawful consideration therefor as the Company’s Board of Directors (or an authorized committee or subcommittee thereof) may determine, will constitute valid and binding obligations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4" w:name="zd8e8a5d818394aa4af2c4d21bec5c362"/>
      <w:bookmarkStart w:id="195" w:name="zd8e8a5d818394aa4af2c4d21bec5c362"/>
      <w:bookmarkEnd w:id="195"/>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pPr>
            <w:r>
              <w:rPr/>
              <w:t>6.</w:t>
            </w:r>
          </w:p>
        </w:tc>
        <w:tc>
          <w:tcPr>
            <w:tcW w:w="10028" w:type="dxa"/>
            <w:tcBorders/>
            <w:vAlign w:val="center"/>
          </w:tcPr>
          <w:p>
            <w:pPr>
              <w:pStyle w:val="TableContents"/>
              <w:bidi w:val="0"/>
              <w:spacing w:before="0" w:after="0"/>
              <w:jc w:val="left"/>
              <w:rPr/>
            </w:pPr>
            <w:r>
              <w:rPr/>
              <w:t>The Subscription Rights, upon receipt by the Company of such lawful consideration therefor as the Company’s Board of Directors (or an authorized committee or subcommittee thereof) may determine, will constitute valid and binding obligations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b820f9c513ab4d5eb281ab419c78fb29"/>
      <w:bookmarkStart w:id="197" w:name="zb820f9c513ab4d5eb281ab419c78fb29"/>
      <w:bookmarkEnd w:id="197"/>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pPr>
            <w:r>
              <w:rPr/>
              <w:t>7.</w:t>
            </w:r>
          </w:p>
        </w:tc>
        <w:tc>
          <w:tcPr>
            <w:tcW w:w="10028" w:type="dxa"/>
            <w:tcBorders/>
            <w:vAlign w:val="center"/>
          </w:tcPr>
          <w:p>
            <w:pPr>
              <w:pStyle w:val="TableContents"/>
              <w:bidi w:val="0"/>
              <w:spacing w:before="0" w:after="0"/>
              <w:jc w:val="left"/>
              <w:rPr/>
            </w:pPr>
            <w:r>
              <w:rPr/>
              <w:t>The Purchase Contracts, upon receipt by the Company of such lawful consideration therefor as the Company’s Board of Directors (or an authorized committee or subcommittee thereof) may determine, will constitute valid and binding obligations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8" w:name="z8e9d0e74af454a94a13454032f5698af"/>
      <w:bookmarkStart w:id="199" w:name="z8e9d0e74af454a94a13454032f5698af"/>
      <w:bookmarkEnd w:id="199"/>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pPr>
            <w:r>
              <w:rPr/>
              <w:t>8.</w:t>
            </w:r>
          </w:p>
        </w:tc>
        <w:tc>
          <w:tcPr>
            <w:tcW w:w="10027" w:type="dxa"/>
            <w:tcBorders/>
            <w:vAlign w:val="center"/>
          </w:tcPr>
          <w:p>
            <w:pPr>
              <w:pStyle w:val="TableContents"/>
              <w:bidi w:val="0"/>
              <w:spacing w:before="0" w:after="0"/>
              <w:jc w:val="left"/>
              <w:rPr/>
            </w:pPr>
            <w:r>
              <w:rPr/>
              <w:t>The Units, upon receipt by the Company of such lawful consideration therefor as the Company’s Board of Directors (or an authorized committee or subcommittee thereof) may determine, will constitute valid and binding obligations of the Company.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xml:space="preserve">  </w:t>
      </w:r>
    </w:p>
    <w:p>
      <w:pPr>
        <w:pStyle w:val="TextBody"/>
        <w:bidi w:val="0"/>
        <w:spacing w:before="0" w:after="0"/>
        <w:jc w:val="right"/>
        <w:rPr>
          <w:color w:val="000000"/>
        </w:rPr>
      </w:pPr>
      <w:r>
        <w:rPr>
          <w:color w:val="000000"/>
        </w:rPr>
        <w:drawing>
          <wp:inline distT="0" distB="0" distL="0" distR="0">
            <wp:extent cx="137160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371600" cy="152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Innventure, Inc.</w:t>
        <w:br/>
        <w:t>December 23, 2025</w:t>
        <w:br/>
        <w:t>Page 3</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rendering the foregoing opinions, we have assumed that: (i) the Registration Statement, and any amendments thereto, will have become effective (and will remain effective at the time of issuance of any Securities thereunder); (ii) a prospectus supplement describing each class and/or series of Securities offered pursuant to the Registration Statement, to the extent required by applicable law and relevant rules and regulations of the Securities and Exchange Commission (the “</w:t>
      </w:r>
      <w:r>
        <w:rPr>
          <w:rFonts w:ascii="Times New Roman;Times;serif" w:hAnsi="Times New Roman;Times;serif"/>
          <w:b/>
          <w:i/>
          <w:color w:val="000000"/>
          <w:sz w:val="20"/>
        </w:rPr>
        <w:t>Commission</w:t>
      </w:r>
      <w:r>
        <w:rPr>
          <w:rFonts w:ascii="Times New Roman;Times;serif" w:hAnsi="Times New Roman;Times;serif"/>
          <w:color w:val="000000"/>
          <w:sz w:val="20"/>
        </w:rPr>
        <w:t>”), will be timely filed with the Commission; (iii) the definitive terms of each class and/or series of Securities will have been established in accordance with the authorizing resolutions adopted by the Company’s Board of Directors (or an authorized committee or subcommittee thereof), the Company’s Amended and Restated Certificate of Incorporation (the “</w:t>
      </w:r>
      <w:r>
        <w:rPr>
          <w:rFonts w:ascii="Times New Roman;Times;serif" w:hAnsi="Times New Roman;Times;serif"/>
          <w:b/>
          <w:i/>
          <w:color w:val="000000"/>
          <w:sz w:val="20"/>
        </w:rPr>
        <w:t>Certificate of Incorporation</w:t>
      </w:r>
      <w:r>
        <w:rPr>
          <w:rFonts w:ascii="Times New Roman;Times;serif" w:hAnsi="Times New Roman;Times;serif"/>
          <w:color w:val="000000"/>
          <w:sz w:val="20"/>
        </w:rPr>
        <w:t>”) and applicable law; (iv) the Company will issue and deliver the Securities in the manner contemplated by the Registration Statement and any Securities that consist of shares of capital stock will have been authorized and reserved for issuance, in each case within the limits of the then remaining authorized but unreserved and unissued amounts of such capital stock; (v) the resolutions authorizing the Company to issue, offer and sell the Securities will have been adopted by the Company’s Board of Directors (or an authorized committee or subcommittee thereof) and will be in full force and effect at all times at which the Securities are offered or sold by the Company; (vi) all Securities will be issued in compliance with applicable federal and state securities laws; and (vii) the Indenture and any Deposit Agreement, Warrant Agreement, Subscription Rights Agreement, Purchase Contract Agreement (each as defined below), or unit agreement will be governed by and construed in accordance with the laws of the State of New York and will constitute a valid and binding obligation of each party thereto other than the Company.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Preferred Stock, we have further assumed that the Company will issue and deliver the shares of Preferred Stock being issued and delivered after the filing with the Secretary of State of the State of Delaware of a certificate of amendment to the Certificate of Incorporation, approved by us, establishing the designations, preferences and rights of the class or series of Preferred Stock being issued and delivered.</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any series of Debt Securities, we have further assumed that: (i) such Debt Securities will have been issued pursuant to an indenture that has been authorized, executed and delivered by the Company and the applicable trustee in a form approved by us (the “</w:t>
      </w:r>
      <w:r>
        <w:rPr>
          <w:rFonts w:ascii="Times New Roman;Times;serif" w:hAnsi="Times New Roman;Times;serif"/>
          <w:b/>
          <w:i/>
          <w:color w:val="000000"/>
          <w:sz w:val="20"/>
        </w:rPr>
        <w:t>Indenture</w:t>
      </w:r>
      <w:r>
        <w:rPr>
          <w:rFonts w:ascii="Times New Roman;Times;serif" w:hAnsi="Times New Roman;Times;serif"/>
          <w:color w:val="000000"/>
          <w:sz w:val="20"/>
        </w:rPr>
        <w:t>”), and the Indenture will have been qualified under the Trust Indenture Act of 1939; (ii) all terms of such Debt Securities not provided for in the Indenture will have been established in accordance with the provisions of the Indenture and reflected in appropriate documentation approved by us and, if applicable, executed and delivered by the Company and the applicable trustee; and (iii) such Debt Securities will be executed, authenticated, issued and delivered in accordance with the provisions of the Indenture.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Depositary Shares, we have further assumed that the Depositary Shares will be: (i) issued and delivered after authorization, execution and delivery of the deposit agreement, approved by us, relating to the Depositary Shares (the “</w:t>
      </w:r>
      <w:r>
        <w:rPr>
          <w:rFonts w:ascii="Times New Roman;Times;serif" w:hAnsi="Times New Roman;Times;serif"/>
          <w:b/>
          <w:i/>
          <w:color w:val="000000"/>
          <w:sz w:val="20"/>
        </w:rPr>
        <w:t>Deposit Agreement</w:t>
      </w:r>
      <w:r>
        <w:rPr>
          <w:rFonts w:ascii="Times New Roman;Times;serif" w:hAnsi="Times New Roman;Times;serif"/>
          <w:color w:val="000000"/>
          <w:sz w:val="20"/>
        </w:rPr>
        <w:t>”) to be entered into between the Company and an entity selected by the Company to act as depositary (the “</w:t>
      </w:r>
      <w:r>
        <w:rPr>
          <w:rFonts w:ascii="Times New Roman;Times;serif" w:hAnsi="Times New Roman;Times;serif"/>
          <w:b/>
          <w:i/>
          <w:color w:val="000000"/>
          <w:sz w:val="20"/>
        </w:rPr>
        <w:t>Depositary</w:t>
      </w:r>
      <w:r>
        <w:rPr>
          <w:rFonts w:ascii="Times New Roman;Times;serif" w:hAnsi="Times New Roman;Times;serif"/>
          <w:color w:val="000000"/>
          <w:sz w:val="20"/>
        </w:rPr>
        <w:t>”); and (ii) issued after the Company deposits with the Depositary shares of Preferred Stock to be represented by such Depositary Shares that are authorized, validly issued, fully paid and nonassessable as contemplated by the Registration Statement and the Deposit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xml:space="preserve">  </w:t>
      </w:r>
    </w:p>
    <w:p>
      <w:pPr>
        <w:pStyle w:val="TextBody"/>
        <w:bidi w:val="0"/>
        <w:spacing w:before="0" w:after="0"/>
        <w:jc w:val="right"/>
        <w:rPr>
          <w:color w:val="000000"/>
        </w:rPr>
      </w:pPr>
      <w:r>
        <w:rPr>
          <w:color w:val="000000"/>
        </w:rPr>
        <w:drawing>
          <wp:inline distT="0" distB="0" distL="0" distR="0">
            <wp:extent cx="13716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1371600" cy="152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Innventure, Inc.</w:t>
        <w:br/>
        <w:t>December 23, 2025</w:t>
        <w:br/>
        <w:t>Page 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Warrants, we have further assumed that: (i) the warrant agreement, approved by us, relating to the Warrants (the “</w:t>
      </w:r>
      <w:r>
        <w:rPr>
          <w:rFonts w:ascii="Times New Roman;Times;serif" w:hAnsi="Times New Roman;Times;serif"/>
          <w:b/>
          <w:i/>
          <w:color w:val="000000"/>
          <w:sz w:val="20"/>
        </w:rPr>
        <w:t>Warrant Agreement</w:t>
      </w:r>
      <w:r>
        <w:rPr>
          <w:rFonts w:ascii="Times New Roman;Times;serif" w:hAnsi="Times New Roman;Times;serif"/>
          <w:color w:val="000000"/>
          <w:sz w:val="20"/>
        </w:rPr>
        <w:t>”) to be entered into between the Company and an entity selected by the Company to act as the warrant agent (the “</w:t>
      </w:r>
      <w:r>
        <w:rPr>
          <w:rFonts w:ascii="Times New Roman;Times;serif" w:hAnsi="Times New Roman;Times;serif"/>
          <w:b/>
          <w:i/>
          <w:color w:val="000000"/>
          <w:sz w:val="20"/>
        </w:rPr>
        <w:t>Warrant Agent</w:t>
      </w:r>
      <w:r>
        <w:rPr>
          <w:rFonts w:ascii="Times New Roman;Times;serif" w:hAnsi="Times New Roman;Times;serif"/>
          <w:color w:val="000000"/>
          <w:sz w:val="20"/>
        </w:rPr>
        <w:t>”) will have been authorized, executed and delivered by the Company and the Warrant Agent; and (ii) the Warrants will be authorized, executed and delivered by the Company and the Warrant Agent in accordance with the provisions of the Warrant Agreement.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Subscription Rights, we have further assumed that: (i) the subscription rights agreement, approved by us, relating to the Subscription Rights (the “</w:t>
      </w:r>
      <w:r>
        <w:rPr>
          <w:rFonts w:ascii="Times New Roman;Times;serif" w:hAnsi="Times New Roman;Times;serif"/>
          <w:b/>
          <w:i/>
          <w:color w:val="000000"/>
          <w:sz w:val="20"/>
        </w:rPr>
        <w:t>Subscription Rights Agreement</w:t>
      </w:r>
      <w:r>
        <w:rPr>
          <w:rFonts w:ascii="Times New Roman;Times;serif" w:hAnsi="Times New Roman;Times;serif"/>
          <w:color w:val="000000"/>
          <w:sz w:val="20"/>
        </w:rPr>
        <w:t>”) to be entered into between the Company and an entity selected by the Company to act as the subscription rights agent (the “</w:t>
      </w:r>
      <w:r>
        <w:rPr>
          <w:rFonts w:ascii="Times New Roman;Times;serif" w:hAnsi="Times New Roman;Times;serif"/>
          <w:b/>
          <w:i/>
          <w:color w:val="000000"/>
          <w:sz w:val="20"/>
        </w:rPr>
        <w:t>Subscription Rights Agent</w:t>
      </w:r>
      <w:r>
        <w:rPr>
          <w:rFonts w:ascii="Times New Roman;Times;serif" w:hAnsi="Times New Roman;Times;serif"/>
          <w:color w:val="000000"/>
          <w:sz w:val="20"/>
        </w:rPr>
        <w:t>”) will have been authorized, executed and delivered by the Company and the Subscription Rights Agent; and (ii) the Subscription Rights will be authorized, executed and delivered by the Company and the Subscription Rights Agent in accordance with the provisions of the Subscription Rights Agreement.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Purchase Contracts, we have further assumed that: (i) the purchase contract agreement, approved by us, relating to the Purchase Contracts (the “</w:t>
      </w:r>
      <w:r>
        <w:rPr>
          <w:rFonts w:ascii="Times New Roman;Times;serif" w:hAnsi="Times New Roman;Times;serif"/>
          <w:b/>
          <w:i/>
          <w:color w:val="000000"/>
          <w:sz w:val="20"/>
        </w:rPr>
        <w:t>Purchase Contract Agreement</w:t>
      </w:r>
      <w:r>
        <w:rPr>
          <w:rFonts w:ascii="Times New Roman;Times;serif" w:hAnsi="Times New Roman;Times;serif"/>
          <w:color w:val="000000"/>
          <w:sz w:val="20"/>
        </w:rPr>
        <w:t>”) to be entered into between the Company and an entity selected by the Company to act as the purchase contract agent (the “</w:t>
      </w:r>
      <w:r>
        <w:rPr>
          <w:rFonts w:ascii="Times New Roman;Times;serif" w:hAnsi="Times New Roman;Times;serif"/>
          <w:b/>
          <w:i/>
          <w:color w:val="000000"/>
          <w:sz w:val="20"/>
        </w:rPr>
        <w:t>Purchase Contract Agent</w:t>
      </w:r>
      <w:r>
        <w:rPr>
          <w:rFonts w:ascii="Times New Roman;Times;serif" w:hAnsi="Times New Roman;Times;serif"/>
          <w:color w:val="000000"/>
          <w:sz w:val="20"/>
        </w:rPr>
        <w:t>”) will have been authorized, executed and delivered by the Company and the Purchase Contract Agent; and (ii) the Purchase Contracts will be authorized, executed and delivered by the Company and the Purchase Contract Agent in accordance with the provisions of the Purchase Contract Agreement.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Units, we have further assumed that each component of such Unit will be authorized, validly issued, fully paid and nonassessable (to the extent applicable) and will constitute a valid and binding obligation of the Company or any third party (to the extent applicable) as contemplated by the Registration Statement and the applicable unit agreement, if any.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in equity.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As to facts material to the opinions and assumptions expressed herein, we have relied upon oral or written statements and representations of officers and other representatives of the Company and others. The opinions expressed herein are limited to the laws of the State of New York and the General Corporation Law of the State of Delaware, in each case as currently in effect, and we express no opinion as to the effect of the laws of any other jurisdiction.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375bba8b87b74eeca5840857226fa40b"/>
      <w:bookmarkStart w:id="201" w:name="z375bba8b87b74eeca5840857226fa40b"/>
      <w:bookmarkEnd w:id="201"/>
    </w:p>
    <w:tbl>
      <w:tblPr>
        <w:tblW w:w="1760" w:type="dxa"/>
        <w:jc w:val="left"/>
        <w:tblInd w:w="0" w:type="dxa"/>
        <w:tblLayout w:type="fixed"/>
        <w:tblCellMar>
          <w:top w:w="0" w:type="dxa"/>
          <w:left w:w="0" w:type="dxa"/>
          <w:bottom w:w="0" w:type="dxa"/>
          <w:right w:w="0" w:type="dxa"/>
        </w:tblCellMar>
      </w:tblPr>
      <w:tblGrid>
        <w:gridCol w:w="60"/>
        <w:gridCol w:w="1700"/>
      </w:tblGrid>
      <w:tr>
        <w:trPr/>
        <w:tc>
          <w:tcPr>
            <w:tcW w:w="6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xml:space="preserve">Very truly yours, </w:t>
            </w:r>
          </w:p>
        </w:tc>
      </w:tr>
      <w:tr>
        <w:trPr/>
        <w:tc>
          <w:tcPr>
            <w:tcW w:w="6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xml:space="preserve">/s/ Jones Day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left"/>
        <w:rPr/>
      </w:pPr>
      <w:r>
        <w:rPr/>
      </w:r>
      <w:bookmarkStart w:id="202" w:name="ny20061800x1_ex23-1.htm"/>
      <w:bookmarkStart w:id="203" w:name="ksny20061800x1_ex231"/>
      <w:bookmarkStart w:id="204" w:name="ny20061800x1_ex23-1.htm"/>
      <w:bookmarkStart w:id="205" w:name="ksny20061800x1_ex231"/>
      <w:bookmarkEnd w:id="204"/>
      <w:bookmarkEnd w:id="20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the Prospectus constituting a part of this Registration Statement of our report dated April 14, 2025, relating to the consolidated financial statements of Innventure, Inc. (the Company) appearing in the Company’s Annual Report on Form 10-K for the year ended December 31, 2024. Our report contains an explanatory paragraph regarding the Company’s ability to continue as a going concern.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Prospectus.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Raleigh, North Carolina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December 23, 2025</w:t>
      </w:r>
    </w:p>
    <w:p>
      <w:pPr>
        <w:pStyle w:val="TextBody"/>
        <w:bidi w:val="0"/>
        <w:spacing w:before="0" w:after="0"/>
        <w:jc w:val="both"/>
        <w:rPr>
          <w:color w:val="000000"/>
        </w:rPr>
      </w:pPr>
      <w:r>
        <w:rPr>
          <w:color w:val="000000"/>
        </w:rPr>
      </w:r>
    </w:p>
    <w:p>
      <w:pPr>
        <w:pStyle w:val="HorizontalLine"/>
        <w:pBdr>
          <w:bottom w:val="single" w:sz="12" w:space="0" w:color="808080"/>
        </w:pBdr>
        <w:bidi w:val="0"/>
        <w:jc w:val="both"/>
        <w:rPr/>
      </w:pPr>
      <w:r>
        <w:rPr/>
      </w:r>
    </w:p>
    <w:p>
      <w:pPr>
        <w:pStyle w:val="HorizontalLine"/>
        <w:bidi w:val="0"/>
        <w:jc w:val="left"/>
        <w:rPr/>
      </w:pPr>
      <w:r>
        <w:rPr/>
      </w:r>
      <w:bookmarkStart w:id="206" w:name="ny20061800x1_ex107.htm"/>
      <w:bookmarkStart w:id="207" w:name="ksny20061800x1_ex107"/>
      <w:bookmarkStart w:id="208" w:name="ny20061800x1_ex107.htm"/>
      <w:bookmarkStart w:id="209" w:name="ksny20061800x1_ex107"/>
      <w:bookmarkEnd w:id="208"/>
      <w:bookmarkEnd w:id="209"/>
      <w:r>
        <w:br w:type="page"/>
      </w:r>
    </w:p>
    <w:p>
      <w:pPr>
        <w:pStyle w:val="TextBody"/>
        <w:bidi w:val="0"/>
        <w:spacing w:before="0" w:after="0"/>
        <w:ind w:left="0" w:right="15" w:hanging="0"/>
        <w:jc w:val="right"/>
        <w:rPr>
          <w:rFonts w:ascii="Times New Roman" w:hAnsi="Times New Roman"/>
          <w:sz w:val="20"/>
        </w:rPr>
      </w:pPr>
      <w:r>
        <w:rPr>
          <w:rFonts w:ascii="Times New Roman" w:hAnsi="Times New Roman"/>
          <w:b/>
          <w:color w:val="000000"/>
          <w:sz w:val="20"/>
        </w:rPr>
        <w:t>Exhibit 107</w:t>
      </w:r>
      <w:r>
        <w:rPr>
          <w:rFonts w:ascii="Times New Roman" w:hAnsi="Times New Roman"/>
          <w:sz w:val="20"/>
        </w:rPr>
        <w:t xml:space="preserve"> </w:t>
      </w:r>
    </w:p>
    <w:p>
      <w:pPr>
        <w:pStyle w:val="TextBody"/>
        <w:bidi w:val="0"/>
        <w:spacing w:before="200" w:after="200"/>
        <w:jc w:val="center"/>
        <w:rPr>
          <w:rFonts w:ascii="Times New Roman" w:hAnsi="Times New Roman"/>
          <w:sz w:val="20"/>
        </w:rPr>
      </w:pPr>
      <w:r>
        <w:rPr>
          <w:rFonts w:ascii="Times New Roman" w:hAnsi="Times New Roman"/>
          <w:b/>
          <w:sz w:val="20"/>
        </w:rPr>
        <w:t>CALCULATION OF FILING FEE TABLE</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Form S-3</w:t>
      </w:r>
    </w:p>
    <w:p>
      <w:pPr>
        <w:pStyle w:val="TextBody"/>
        <w:bidi w:val="0"/>
        <w:spacing w:before="0" w:after="0"/>
        <w:jc w:val="center"/>
        <w:rPr>
          <w:rFonts w:ascii="Times New Roman" w:hAnsi="Times New Roman"/>
          <w:sz w:val="20"/>
        </w:rPr>
      </w:pPr>
      <w:r>
        <w:rPr>
          <w:rFonts w:ascii="Times New Roman" w:hAnsi="Times New Roman"/>
          <w:color w:val="000000"/>
          <w:sz w:val="20"/>
        </w:rPr>
        <w:t>(Form Type)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Innventure, Inc.</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u w:val="single"/>
        </w:rPr>
        <w:t>Table 1: Newly Registered and Carry Forward Securities</w:t>
      </w:r>
      <w:r>
        <w:rPr>
          <w:rFonts w:ascii="Times New Roman" w:hAnsi="Times New Roman"/>
          <w:sz w:val="20"/>
        </w:rPr>
        <w:t xml:space="preserve"> </w:t>
      </w:r>
    </w:p>
    <w:tbl>
      <w:tblPr>
        <w:tblW w:w="15748" w:type="dxa"/>
        <w:jc w:val="left"/>
        <w:tblInd w:w="0" w:type="dxa"/>
        <w:tblLayout w:type="fixed"/>
        <w:tblCellMar>
          <w:top w:w="28" w:type="dxa"/>
          <w:left w:w="28" w:type="dxa"/>
          <w:bottom w:w="28" w:type="dxa"/>
          <w:right w:w="28" w:type="dxa"/>
        </w:tblCellMar>
      </w:tblPr>
      <w:tblGrid>
        <w:gridCol w:w="1126"/>
        <w:gridCol w:w="1246"/>
        <w:gridCol w:w="1291"/>
        <w:gridCol w:w="1276"/>
        <w:gridCol w:w="1246"/>
        <w:gridCol w:w="1156"/>
        <w:gridCol w:w="1486"/>
        <w:gridCol w:w="118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w:t>
              <w:br/>
              <w:t>Type</w:t>
            </w:r>
            <w:r>
              <w:rPr/>
              <w:t xml:space="preserve"> </w:t>
            </w:r>
          </w:p>
        </w:tc>
        <w:tc>
          <w:tcPr>
            <w:tcW w:w="12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w:t>
              <w:br/>
              <w:t>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w:t>
              <w:br/>
              <w:t>Calculation</w:t>
              <w:br/>
              <w:t>or</w:t>
              <w:br/>
              <w:t>Carry</w:t>
              <w:br/>
              <w:t>Forward</w:t>
              <w:br/>
              <w:t>Rule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Amount</w:t>
              <w:br/>
              <w:t>Registered</w:t>
            </w:r>
            <w:r>
              <w:rPr>
                <w:b/>
                <w:position w:val="8"/>
                <w:sz w:val="19"/>
              </w:rPr>
              <w:t>(1)</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Proposed</w:t>
              <w:br/>
              <w:t>Maximum</w:t>
              <w:br/>
              <w:t>Offering</w:t>
              <w:br/>
              <w:t>Price Per</w:t>
              <w:br/>
              <w:t>Unit</w:t>
            </w:r>
            <w:r>
              <w:rPr>
                <w:b/>
                <w:position w:val="8"/>
                <w:sz w:val="19"/>
              </w:rPr>
              <w:t>(1)(2)</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Maximum</w:t>
              <w:br/>
              <w:t>Aggregate</w:t>
              <w:br/>
              <w:t>Offering</w:t>
              <w:br/>
              <w:t>Price</w:t>
            </w:r>
            <w:r>
              <w:rPr>
                <w:b/>
                <w:position w:val="8"/>
                <w:sz w:val="19"/>
              </w:rPr>
              <w:t>(1)(3)</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w:t>
              <w:br/>
              <w:t>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w:t>
              <w:br/>
              <w:t>Forward</w:t>
              <w:br/>
              <w:t>Form</w:t>
              <w:br/>
              <w:t>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w:t>
              <w:br/>
              <w:t xml:space="preserve">Forward </w:t>
              <w:br/>
              <w:t>File</w:t>
              <w:br/>
              <w:t>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w:t>
              <w:br/>
              <w:t>Forward</w:t>
              <w:br/>
              <w:t>Initial</w:t>
              <w:br/>
              <w:t>Effective</w:t>
              <w:br/>
              <w:t>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w:t>
              <w:br/>
              <w:t>Previously</w:t>
              <w:br/>
              <w:t>Paid In</w:t>
              <w:br/>
              <w:t>Connection</w:t>
              <w:br/>
              <w:t>with</w:t>
              <w:br/>
              <w:t>Unsold</w:t>
              <w:br/>
              <w:t>Securities</w:t>
              <w:br/>
              <w:t>to be</w:t>
              <w:br/>
              <w:t>Carried</w:t>
              <w:br/>
              <w:t>Forward</w:t>
            </w:r>
            <w:r>
              <w:rPr/>
              <w:t xml:space="preserve"> </w:t>
            </w:r>
          </w:p>
        </w:tc>
      </w:tr>
      <w:tr>
        <w:trPr/>
        <w:tc>
          <w:tcPr>
            <w:tcW w:w="1574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vMerge w:val="restart"/>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283"/>
              <w:jc w:val="left"/>
              <w:rPr/>
            </w:pPr>
            <w:r>
              <w:rPr/>
              <w:t xml:space="preserve">Fees to Be Paid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2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Common Stock, par value $0.0001 per share</w:t>
            </w:r>
            <w:r>
              <w:rPr>
                <w:position w:val="8"/>
                <w:sz w:val="19"/>
              </w:rPr>
              <w:t xml:space="preserve">(4)(12)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Preferred Stock, par value $0.0001 per share</w:t>
            </w:r>
            <w:r>
              <w:rPr>
                <w:position w:val="8"/>
                <w:sz w:val="19"/>
              </w:rPr>
              <w:t xml:space="preserve">(5)(12)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2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Depositary Shares</w:t>
            </w:r>
            <w:r>
              <w:rPr>
                <w:position w:val="8"/>
                <w:sz w:val="19"/>
              </w:rPr>
              <w:t xml:space="preserve">(6)(12)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Other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Warrants</w:t>
            </w:r>
            <w:r>
              <w:rPr>
                <w:position w:val="8"/>
                <w:sz w:val="19"/>
              </w:rPr>
              <w:t xml:space="preserve">(7)(12)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Other </w:t>
            </w:r>
          </w:p>
        </w:tc>
        <w:tc>
          <w:tcPr>
            <w:tcW w:w="12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Subscription Rights</w:t>
            </w:r>
            <w:r>
              <w:rPr>
                <w:position w:val="8"/>
                <w:sz w:val="19"/>
              </w:rPr>
              <w:t xml:space="preserve">(8)(12)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Debt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Debt Securities</w:t>
            </w:r>
            <w:r>
              <w:rPr>
                <w:position w:val="8"/>
                <w:sz w:val="19"/>
              </w:rPr>
              <w:t xml:space="preserve">(9)(12)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Other </w:t>
            </w:r>
          </w:p>
        </w:tc>
        <w:tc>
          <w:tcPr>
            <w:tcW w:w="12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Purchase Contracts</w:t>
            </w:r>
            <w:r>
              <w:rPr>
                <w:position w:val="8"/>
                <w:sz w:val="19"/>
              </w:rPr>
              <w:t xml:space="preserve">(10)(12)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Other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Units</w:t>
            </w:r>
            <w:r>
              <w:rPr>
                <w:position w:val="8"/>
                <w:sz w:val="19"/>
              </w:rPr>
              <w:t xml:space="preserve">(11)(12)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vMerge w:val="continue"/>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Normal"/>
              <w:bidi w:val="0"/>
              <w:jc w:val="left"/>
              <w:rPr/>
            </w:pPr>
            <w:r>
              <w:rPr/>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Unallocated (Universal) Shelf </w:t>
            </w:r>
          </w:p>
        </w:tc>
        <w:tc>
          <w:tcPr>
            <w:tcW w:w="12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$200,000,000</w:t>
            </w:r>
            <w:r>
              <w:rPr>
                <w:position w:val="8"/>
                <w:sz w:val="19"/>
              </w:rPr>
              <w:t xml:space="preserve">(13)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$138.10 per $1,000,000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$27,620.00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748" w:type="dxa"/>
            <w:gridSpan w:val="13"/>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Carry Forward Securities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spacing w:val="0"/>
              </w:rPr>
              <w:t>—</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50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$200,000,000 </w:t>
            </w:r>
          </w:p>
        </w:tc>
        <w:tc>
          <w:tcPr>
            <w:tcW w:w="11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$27,620.00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50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50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50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Fees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$27,620.00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p>
      <w:pPr>
        <w:pStyle w:val="TextBody"/>
        <w:bidi w:val="0"/>
        <w:spacing w:before="0" w:after="0"/>
        <w:ind w:left="0" w:right="3435" w:hanging="0"/>
        <w:jc w:val="left"/>
        <w:rPr/>
      </w:pPr>
      <w:r>
        <w:rPr/>
        <w:t> </w:t>
      </w:r>
    </w:p>
    <w:tbl>
      <w:tblPr>
        <w:tblW w:w="10205" w:type="dxa"/>
        <w:jc w:val="left"/>
        <w:tblInd w:w="0" w:type="dxa"/>
        <w:tblLayout w:type="fixed"/>
        <w:tblCellMar>
          <w:top w:w="28" w:type="dxa"/>
          <w:left w:w="28" w:type="dxa"/>
          <w:bottom w:w="28" w:type="dxa"/>
          <w:right w:w="28" w:type="dxa"/>
        </w:tblCellMar>
      </w:tblPr>
      <w:tblGrid>
        <w:gridCol w:w="317"/>
        <w:gridCol w:w="9888"/>
      </w:tblGrid>
      <w:tr>
        <w:trPr/>
        <w:tc>
          <w:tcPr>
            <w:tcW w:w="317"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pPr>
            <w:r>
              <w:rPr/>
              <w:t> </w:t>
            </w:r>
          </w:p>
        </w:tc>
      </w:tr>
      <w:tr>
        <w:trPr/>
        <w:tc>
          <w:tcPr>
            <w:tcW w:w="317" w:type="dxa"/>
            <w:tcBorders/>
            <w:vAlign w:val="center"/>
          </w:tcPr>
          <w:p>
            <w:pPr>
              <w:pStyle w:val="TableContents"/>
              <w:bidi w:val="0"/>
              <w:spacing w:before="0" w:after="283"/>
              <w:jc w:val="left"/>
              <w:rPr>
                <w:sz w:val="20"/>
              </w:rPr>
            </w:pPr>
            <w:r>
              <w:rPr>
                <w:sz w:val="20"/>
              </w:rPr>
              <w:t>(1)</w:t>
            </w:r>
          </w:p>
        </w:tc>
        <w:tc>
          <w:tcPr>
            <w:tcW w:w="9888" w:type="dxa"/>
            <w:tcBorders/>
            <w:vAlign w:val="center"/>
          </w:tcPr>
          <w:p>
            <w:pPr>
              <w:pStyle w:val="TableContents"/>
              <w:bidi w:val="0"/>
              <w:spacing w:before="0" w:after="283"/>
              <w:jc w:val="left"/>
              <w:rPr>
                <w:sz w:val="20"/>
              </w:rPr>
            </w:pPr>
            <w:r>
              <w:rPr>
                <w:sz w:val="20"/>
              </w:rPr>
              <w:t>Not specified as to each class of securities to be registered pursuant to Instructions 2.A.ii.b. and 2.A.iii.b. to the Calculation of Filing Fee Tables and Related Disclosure under Item 16(b) of Form S-3 under the Securities Act.</w:t>
            </w:r>
          </w:p>
        </w:tc>
      </w:tr>
    </w:tbl>
    <w:tbl>
      <w:tblPr>
        <w:tblW w:w="10205" w:type="dxa"/>
        <w:jc w:val="left"/>
        <w:tblInd w:w="0" w:type="dxa"/>
        <w:tblLayout w:type="fixed"/>
        <w:tblCellMar>
          <w:top w:w="28" w:type="dxa"/>
          <w:left w:w="28" w:type="dxa"/>
          <w:bottom w:w="28" w:type="dxa"/>
          <w:right w:w="28" w:type="dxa"/>
        </w:tblCellMar>
      </w:tblPr>
      <w:tblGrid>
        <w:gridCol w:w="323"/>
        <w:gridCol w:w="9882"/>
      </w:tblGrid>
      <w:tr>
        <w:trPr/>
        <w:tc>
          <w:tcPr>
            <w:tcW w:w="323"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323" w:type="dxa"/>
            <w:tcBorders/>
            <w:vAlign w:val="center"/>
          </w:tcPr>
          <w:p>
            <w:pPr>
              <w:pStyle w:val="TableContents"/>
              <w:bidi w:val="0"/>
              <w:spacing w:before="0" w:after="283"/>
              <w:jc w:val="left"/>
              <w:rPr>
                <w:sz w:val="20"/>
              </w:rPr>
            </w:pPr>
            <w:r>
              <w:rPr>
                <w:sz w:val="20"/>
              </w:rPr>
              <w:t>(2)</w:t>
            </w:r>
          </w:p>
        </w:tc>
        <w:tc>
          <w:tcPr>
            <w:tcW w:w="9882" w:type="dxa"/>
            <w:tcBorders/>
            <w:vAlign w:val="center"/>
          </w:tcPr>
          <w:p>
            <w:pPr>
              <w:pStyle w:val="TableContents"/>
              <w:bidi w:val="0"/>
              <w:spacing w:before="0" w:after="283"/>
              <w:jc w:val="left"/>
              <w:rPr>
                <w:spacing w:val="0"/>
                <w:sz w:val="20"/>
              </w:rPr>
            </w:pPr>
            <w:r>
              <w:rPr>
                <w:spacing w:val="0"/>
                <w:sz w:val="20"/>
              </w:rPr>
              <w:t>The proposed maximum offering price per unit will be determined from time to time by the registrant in connection with the issuance by the registrant of the securities registered hereunder.</w:t>
            </w:r>
          </w:p>
        </w:tc>
      </w:tr>
    </w:tbl>
    <w:tbl>
      <w:tblPr>
        <w:tblW w:w="7907" w:type="dxa"/>
        <w:jc w:val="left"/>
        <w:tblInd w:w="0" w:type="dxa"/>
        <w:tblLayout w:type="fixed"/>
        <w:tblCellMar>
          <w:top w:w="28" w:type="dxa"/>
          <w:left w:w="28" w:type="dxa"/>
          <w:bottom w:w="28" w:type="dxa"/>
          <w:right w:w="28" w:type="dxa"/>
        </w:tblCellMar>
      </w:tblPr>
      <w:tblGrid>
        <w:gridCol w:w="391"/>
        <w:gridCol w:w="7516"/>
      </w:tblGrid>
      <w:tr>
        <w:trPr/>
        <w:tc>
          <w:tcPr>
            <w:tcW w:w="391" w:type="dxa"/>
            <w:tcBorders/>
            <w:vAlign w:val="center"/>
          </w:tcPr>
          <w:p>
            <w:pPr>
              <w:pStyle w:val="TableContents"/>
              <w:bidi w:val="0"/>
              <w:spacing w:before="0" w:after="283"/>
              <w:jc w:val="left"/>
              <w:rPr>
                <w:sz w:val="20"/>
              </w:rPr>
            </w:pPr>
            <w:r>
              <w:rPr>
                <w:spacing w:val="0"/>
                <w:sz w:val="20"/>
              </w:rPr>
              <w:t>(3)</w:t>
            </w:r>
            <w:r>
              <w:rPr>
                <w:sz w:val="20"/>
              </w:rPr>
              <w:t> </w:t>
            </w:r>
          </w:p>
        </w:tc>
        <w:tc>
          <w:tcPr>
            <w:tcW w:w="7516" w:type="dxa"/>
            <w:tcBorders/>
            <w:vAlign w:val="center"/>
          </w:tcPr>
          <w:p>
            <w:pPr>
              <w:pStyle w:val="TableContents"/>
              <w:bidi w:val="0"/>
              <w:spacing w:before="0" w:after="283"/>
              <w:jc w:val="left"/>
              <w:rPr>
                <w:spacing w:val="0"/>
                <w:sz w:val="20"/>
              </w:rPr>
            </w:pPr>
            <w:r>
              <w:rPr>
                <w:spacing w:val="0"/>
                <w:sz w:val="20"/>
              </w:rPr>
              <w:t>Estimated solely for the purpose of calculating the registration fee pursuant to Rule 457(o).</w:t>
            </w:r>
          </w:p>
        </w:tc>
      </w:tr>
    </w:tbl>
    <w:tbl>
      <w:tblPr>
        <w:tblW w:w="9017" w:type="dxa"/>
        <w:jc w:val="left"/>
        <w:tblInd w:w="0" w:type="dxa"/>
        <w:tblLayout w:type="fixed"/>
        <w:tblCellMar>
          <w:top w:w="28" w:type="dxa"/>
          <w:left w:w="28" w:type="dxa"/>
          <w:bottom w:w="28" w:type="dxa"/>
          <w:right w:w="28" w:type="dxa"/>
        </w:tblCellMar>
      </w:tblPr>
      <w:tblGrid>
        <w:gridCol w:w="391"/>
        <w:gridCol w:w="8626"/>
      </w:tblGrid>
      <w:tr>
        <w:trPr/>
        <w:tc>
          <w:tcPr>
            <w:tcW w:w="391" w:type="dxa"/>
            <w:tcBorders/>
            <w:vAlign w:val="center"/>
          </w:tcPr>
          <w:p>
            <w:pPr>
              <w:pStyle w:val="TableContents"/>
              <w:bidi w:val="0"/>
              <w:spacing w:before="0" w:after="283"/>
              <w:jc w:val="left"/>
              <w:rPr>
                <w:sz w:val="20"/>
              </w:rPr>
            </w:pPr>
            <w:r>
              <w:rPr>
                <w:spacing w:val="0"/>
                <w:sz w:val="20"/>
              </w:rPr>
              <w:t>(4)</w:t>
            </w:r>
            <w:r>
              <w:rPr>
                <w:sz w:val="20"/>
              </w:rPr>
              <w:t> </w:t>
            </w:r>
          </w:p>
        </w:tc>
        <w:tc>
          <w:tcPr>
            <w:tcW w:w="8626"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number of shares of common stock.</w:t>
            </w:r>
          </w:p>
        </w:tc>
      </w:tr>
    </w:tbl>
    <w:tbl>
      <w:tblPr>
        <w:tblW w:w="9032" w:type="dxa"/>
        <w:jc w:val="left"/>
        <w:tblInd w:w="0" w:type="dxa"/>
        <w:tblLayout w:type="fixed"/>
        <w:tblCellMar>
          <w:top w:w="28" w:type="dxa"/>
          <w:left w:w="28" w:type="dxa"/>
          <w:bottom w:w="28" w:type="dxa"/>
          <w:right w:w="28" w:type="dxa"/>
        </w:tblCellMar>
      </w:tblPr>
      <w:tblGrid>
        <w:gridCol w:w="391"/>
        <w:gridCol w:w="8641"/>
      </w:tblGrid>
      <w:tr>
        <w:trPr/>
        <w:tc>
          <w:tcPr>
            <w:tcW w:w="391" w:type="dxa"/>
            <w:tcBorders/>
            <w:vAlign w:val="center"/>
          </w:tcPr>
          <w:p>
            <w:pPr>
              <w:pStyle w:val="TableContents"/>
              <w:bidi w:val="0"/>
              <w:spacing w:before="0" w:after="283"/>
              <w:jc w:val="left"/>
              <w:rPr>
                <w:sz w:val="20"/>
              </w:rPr>
            </w:pPr>
            <w:r>
              <w:rPr>
                <w:spacing w:val="0"/>
                <w:sz w:val="20"/>
              </w:rPr>
              <w:t>(5)</w:t>
            </w:r>
            <w:r>
              <w:rPr>
                <w:sz w:val="20"/>
              </w:rPr>
              <w:t> </w:t>
            </w:r>
          </w:p>
        </w:tc>
        <w:tc>
          <w:tcPr>
            <w:tcW w:w="8641"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number of shares of preferred stock.</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311" w:type="dxa"/>
            <w:tcBorders/>
            <w:vAlign w:val="center"/>
          </w:tcPr>
          <w:p>
            <w:pPr>
              <w:pStyle w:val="TableContents"/>
              <w:bidi w:val="0"/>
              <w:spacing w:before="0" w:after="283"/>
              <w:jc w:val="left"/>
              <w:rPr>
                <w:sz w:val="20"/>
              </w:rPr>
            </w:pPr>
            <w:r>
              <w:rPr>
                <w:spacing w:val="0"/>
                <w:sz w:val="20"/>
              </w:rPr>
              <w:t>(6)</w:t>
            </w:r>
            <w:r>
              <w:rPr>
                <w:sz w:val="20"/>
              </w:rPr>
              <w:t> </w:t>
            </w:r>
          </w:p>
        </w:tc>
        <w:tc>
          <w:tcPr>
            <w:tcW w:w="9894"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number of depositary shares to be evidenced by depositary receipts issued pursuant to a deposit agreement. If the registrant elects to offer to the public fractional interests in shares of preferred stock, then depositary receipts will be distributed to those persons purchasing the fractional interests and the shares of preferred stock will be issued to the depositary under the deposit agreement.</w:t>
            </w:r>
          </w:p>
        </w:tc>
      </w:tr>
    </w:tbl>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pPr>
            <w:r>
              <w:rPr>
                <w:spacing w:val="0"/>
                <w:sz w:val="20"/>
              </w:rPr>
              <w:t>(7)</w:t>
            </w:r>
            <w:r>
              <w:rPr/>
              <w:t> </w:t>
            </w:r>
          </w:p>
        </w:tc>
        <w:tc>
          <w:tcPr>
            <w:tcW w:w="9865" w:type="dxa"/>
            <w:tcBorders/>
            <w:vAlign w:val="center"/>
          </w:tcPr>
          <w:p>
            <w:pPr>
              <w:pStyle w:val="TableContents"/>
              <w:bidi w:val="0"/>
              <w:spacing w:before="0" w:after="283"/>
              <w:jc w:val="left"/>
              <w:rPr>
                <w:spacing w:val="0"/>
                <w:sz w:val="20"/>
              </w:rPr>
            </w:pPr>
            <w:r>
              <w:rPr>
                <w:spacing w:val="0"/>
                <w:sz w:val="20"/>
              </w:rPr>
              <w:t>Subject to note (13) below, there is being registered hereunder an indeterminate amount and number of warrants. The warrants may represent the right to purchase shares of common stock, shares of preferred stock, depositary shares or debt securities.</w:t>
            </w:r>
          </w:p>
        </w:tc>
      </w:tr>
    </w:tbl>
    <w:tbl>
      <w:tblPr>
        <w:tblW w:w="10205" w:type="dxa"/>
        <w:jc w:val="left"/>
        <w:tblInd w:w="0" w:type="dxa"/>
        <w:tblLayout w:type="fixed"/>
        <w:tblCellMar>
          <w:top w:w="28" w:type="dxa"/>
          <w:left w:w="28" w:type="dxa"/>
          <w:bottom w:w="28" w:type="dxa"/>
          <w:right w:w="28" w:type="dxa"/>
        </w:tblCellMar>
      </w:tblPr>
      <w:tblGrid>
        <w:gridCol w:w="339"/>
        <w:gridCol w:w="9866"/>
      </w:tblGrid>
      <w:tr>
        <w:trPr/>
        <w:tc>
          <w:tcPr>
            <w:tcW w:w="339" w:type="dxa"/>
            <w:tcBorders/>
            <w:vAlign w:val="center"/>
          </w:tcPr>
          <w:p>
            <w:pPr>
              <w:pStyle w:val="TableContents"/>
              <w:bidi w:val="0"/>
              <w:spacing w:before="0" w:after="283"/>
              <w:jc w:val="left"/>
              <w:rPr>
                <w:sz w:val="20"/>
              </w:rPr>
            </w:pPr>
            <w:r>
              <w:rPr>
                <w:spacing w:val="0"/>
                <w:sz w:val="20"/>
              </w:rPr>
              <w:t>(8)</w:t>
            </w:r>
            <w:r>
              <w:rPr>
                <w:sz w:val="20"/>
              </w:rPr>
              <w:t> </w:t>
            </w:r>
          </w:p>
        </w:tc>
        <w:tc>
          <w:tcPr>
            <w:tcW w:w="9866"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number of subscription rights that may represent a right to purchase shares of common stock, shares of preferred stock, depositary shares or debt securities.</w:t>
            </w:r>
          </w:p>
        </w:tc>
      </w:tr>
    </w:tbl>
    <w:tbl>
      <w:tblPr>
        <w:tblW w:w="9032" w:type="dxa"/>
        <w:jc w:val="left"/>
        <w:tblInd w:w="0" w:type="dxa"/>
        <w:tblLayout w:type="fixed"/>
        <w:tblCellMar>
          <w:top w:w="28" w:type="dxa"/>
          <w:left w:w="28" w:type="dxa"/>
          <w:bottom w:w="28" w:type="dxa"/>
          <w:right w:w="28" w:type="dxa"/>
        </w:tblCellMar>
      </w:tblPr>
      <w:tblGrid>
        <w:gridCol w:w="391"/>
        <w:gridCol w:w="8641"/>
      </w:tblGrid>
      <w:tr>
        <w:trPr/>
        <w:tc>
          <w:tcPr>
            <w:tcW w:w="391" w:type="dxa"/>
            <w:tcBorders/>
            <w:vAlign w:val="center"/>
          </w:tcPr>
          <w:p>
            <w:pPr>
              <w:pStyle w:val="TableContents"/>
              <w:bidi w:val="0"/>
              <w:spacing w:before="0" w:after="283"/>
              <w:jc w:val="left"/>
              <w:rPr>
                <w:sz w:val="20"/>
              </w:rPr>
            </w:pPr>
            <w:r>
              <w:rPr>
                <w:spacing w:val="0"/>
                <w:sz w:val="20"/>
              </w:rPr>
              <w:t>(9)</w:t>
            </w:r>
            <w:r>
              <w:rPr>
                <w:sz w:val="20"/>
              </w:rPr>
              <w:t> </w:t>
            </w:r>
          </w:p>
        </w:tc>
        <w:tc>
          <w:tcPr>
            <w:tcW w:w="8641"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principal amount of debt securities.</w:t>
            </w:r>
          </w:p>
        </w:tc>
      </w:tr>
    </w:tbl>
    <w:tbl>
      <w:tblPr>
        <w:tblW w:w="8687" w:type="dxa"/>
        <w:jc w:val="left"/>
        <w:tblInd w:w="0" w:type="dxa"/>
        <w:tblLayout w:type="fixed"/>
        <w:tblCellMar>
          <w:top w:w="28" w:type="dxa"/>
          <w:left w:w="28" w:type="dxa"/>
          <w:bottom w:w="28" w:type="dxa"/>
          <w:right w:w="28" w:type="dxa"/>
        </w:tblCellMar>
      </w:tblPr>
      <w:tblGrid>
        <w:gridCol w:w="496"/>
        <w:gridCol w:w="8191"/>
      </w:tblGrid>
      <w:tr>
        <w:trPr/>
        <w:tc>
          <w:tcPr>
            <w:tcW w:w="496" w:type="dxa"/>
            <w:tcBorders/>
            <w:vAlign w:val="center"/>
          </w:tcPr>
          <w:p>
            <w:pPr>
              <w:pStyle w:val="TableContents"/>
              <w:bidi w:val="0"/>
              <w:spacing w:before="0" w:after="283"/>
              <w:jc w:val="left"/>
              <w:rPr>
                <w:sz w:val="20"/>
              </w:rPr>
            </w:pPr>
            <w:r>
              <w:rPr>
                <w:spacing w:val="0"/>
                <w:sz w:val="20"/>
              </w:rPr>
              <w:t>(10)</w:t>
            </w:r>
            <w:r>
              <w:rPr>
                <w:sz w:val="20"/>
              </w:rPr>
              <w:t> </w:t>
            </w:r>
          </w:p>
        </w:tc>
        <w:tc>
          <w:tcPr>
            <w:tcW w:w="8191" w:type="dxa"/>
            <w:tcBorders/>
            <w:vAlign w:val="center"/>
          </w:tcPr>
          <w:p>
            <w:pPr>
              <w:pStyle w:val="TableContents"/>
              <w:bidi w:val="0"/>
              <w:spacing w:before="0" w:after="283"/>
              <w:jc w:val="left"/>
              <w:rPr>
                <w:spacing w:val="0"/>
                <w:sz w:val="20"/>
              </w:rPr>
            </w:pPr>
            <w:r>
              <w:rPr>
                <w:spacing w:val="0"/>
                <w:sz w:val="20"/>
              </w:rPr>
              <w:t>Subject to note (13) below, there is being registered an indeterminate number of purchase contracts.</w:t>
            </w:r>
          </w:p>
        </w:tc>
      </w:tr>
    </w:tbl>
    <w:tbl>
      <w:tblPr>
        <w:tblW w:w="10205" w:type="dxa"/>
        <w:jc w:val="left"/>
        <w:tblInd w:w="0" w:type="dxa"/>
        <w:tblLayout w:type="fixed"/>
        <w:tblCellMar>
          <w:top w:w="28" w:type="dxa"/>
          <w:left w:w="28" w:type="dxa"/>
          <w:bottom w:w="28" w:type="dxa"/>
          <w:right w:w="28" w:type="dxa"/>
        </w:tblCellMar>
      </w:tblPr>
      <w:tblGrid>
        <w:gridCol w:w="419"/>
        <w:gridCol w:w="9786"/>
      </w:tblGrid>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sz w:val="20"/>
              </w:rPr>
            </w:pPr>
            <w:r>
              <w:rPr>
                <w:sz w:val="20"/>
              </w:rPr>
              <w:t>(11)</w:t>
            </w:r>
          </w:p>
        </w:tc>
        <w:tc>
          <w:tcPr>
            <w:tcW w:w="9786" w:type="dxa"/>
            <w:tcBorders/>
            <w:vAlign w:val="center"/>
          </w:tcPr>
          <w:p>
            <w:pPr>
              <w:pStyle w:val="TableContents"/>
              <w:bidi w:val="0"/>
              <w:spacing w:before="0" w:after="283"/>
              <w:jc w:val="left"/>
              <w:rPr>
                <w:sz w:val="20"/>
              </w:rPr>
            </w:pPr>
            <w:r>
              <w:rPr>
                <w:sz w:val="20"/>
              </w:rPr>
              <w:t>Subject to note (13) below, there is being registered an indeterminate number of units. Each unit will be issued under a unit agreement and will represent an interest in a combination of one or more of the securities registered hereunder.</w:t>
            </w:r>
          </w:p>
        </w:tc>
      </w:tr>
    </w:tbl>
    <w:tbl>
      <w:tblPr>
        <w:tblW w:w="10205" w:type="dxa"/>
        <w:jc w:val="left"/>
        <w:tblInd w:w="0" w:type="dxa"/>
        <w:tblLayout w:type="fixed"/>
        <w:tblCellMar>
          <w:top w:w="28" w:type="dxa"/>
          <w:left w:w="28" w:type="dxa"/>
          <w:bottom w:w="28" w:type="dxa"/>
          <w:right w:w="28" w:type="dxa"/>
        </w:tblCellMar>
      </w:tblPr>
      <w:tblGrid>
        <w:gridCol w:w="401"/>
        <w:gridCol w:w="9804"/>
      </w:tblGrid>
      <w:tr>
        <w:trPr/>
        <w:tc>
          <w:tcPr>
            <w:tcW w:w="401" w:type="dxa"/>
            <w:tcBorders/>
            <w:vAlign w:val="center"/>
          </w:tcPr>
          <w:p>
            <w:pPr>
              <w:pStyle w:val="TableContents"/>
              <w:bidi w:val="0"/>
              <w:spacing w:before="0" w:after="283"/>
              <w:jc w:val="left"/>
              <w:rPr/>
            </w:pPr>
            <w:r>
              <w:rPr/>
              <w:t> </w:t>
            </w:r>
          </w:p>
        </w:tc>
        <w:tc>
          <w:tcPr>
            <w:tcW w:w="9804" w:type="dxa"/>
            <w:tcBorders/>
            <w:vAlign w:val="center"/>
          </w:tcPr>
          <w:p>
            <w:pPr>
              <w:pStyle w:val="TableContents"/>
              <w:bidi w:val="0"/>
              <w:spacing w:before="0" w:after="283"/>
              <w:jc w:val="left"/>
              <w:rPr/>
            </w:pPr>
            <w:r>
              <w:rPr/>
              <w:t> </w:t>
            </w:r>
          </w:p>
        </w:tc>
      </w:tr>
      <w:tr>
        <w:trPr/>
        <w:tc>
          <w:tcPr>
            <w:tcW w:w="401" w:type="dxa"/>
            <w:tcBorders/>
            <w:vAlign w:val="center"/>
          </w:tcPr>
          <w:p>
            <w:pPr>
              <w:pStyle w:val="TableContents"/>
              <w:bidi w:val="0"/>
              <w:spacing w:before="0" w:after="283"/>
              <w:jc w:val="left"/>
              <w:rPr>
                <w:sz w:val="20"/>
              </w:rPr>
            </w:pPr>
            <w:r>
              <w:rPr>
                <w:sz w:val="20"/>
              </w:rPr>
              <w:t>(12)</w:t>
            </w:r>
          </w:p>
        </w:tc>
        <w:tc>
          <w:tcPr>
            <w:tcW w:w="9804" w:type="dxa"/>
            <w:tcBorders/>
            <w:vAlign w:val="center"/>
          </w:tcPr>
          <w:p>
            <w:pPr>
              <w:pStyle w:val="TableContents"/>
              <w:bidi w:val="0"/>
              <w:spacing w:before="0" w:after="283"/>
              <w:jc w:val="left"/>
              <w:rPr>
                <w:sz w:val="20"/>
              </w:rPr>
            </w:pPr>
            <w:r>
              <w:rPr>
                <w:sz w:val="20"/>
              </w:rPr>
              <w:t>Subject to note (13) below, this registration statement also covers an indeterminate amount of securities as may be issued in exchange for, or upon conversion or exercise of, as the case may be, the preferred stock, depositary shares, warrants or subscription rights registered hereunder. Any securities registered hereunder may be sold separately or as units with other securities registered hereunder. No separate consideration will be received for any securities registered hereunder that are issued in exchange for, or upon conversion of, as the case may be, the preferred stock, depositary shares, warrants or subscription rights.</w:t>
            </w:r>
          </w:p>
        </w:tc>
      </w:tr>
    </w:tbl>
    <w:tbl>
      <w:tblPr>
        <w:tblW w:w="10205" w:type="dxa"/>
        <w:jc w:val="left"/>
        <w:tblInd w:w="0" w:type="dxa"/>
        <w:tblLayout w:type="fixed"/>
        <w:tblCellMar>
          <w:top w:w="28" w:type="dxa"/>
          <w:left w:w="28" w:type="dxa"/>
          <w:bottom w:w="28" w:type="dxa"/>
          <w:right w:w="28" w:type="dxa"/>
        </w:tblCellMar>
      </w:tblPr>
      <w:tblGrid>
        <w:gridCol w:w="396"/>
        <w:gridCol w:w="9809"/>
      </w:tblGrid>
      <w:tr>
        <w:trPr/>
        <w:tc>
          <w:tcPr>
            <w:tcW w:w="396" w:type="dxa"/>
            <w:tcBorders/>
            <w:vAlign w:val="center"/>
          </w:tcPr>
          <w:p>
            <w:pPr>
              <w:pStyle w:val="TableContents"/>
              <w:bidi w:val="0"/>
              <w:spacing w:before="0" w:after="283"/>
              <w:jc w:val="left"/>
              <w:rPr/>
            </w:pPr>
            <w:r>
              <w:rPr/>
              <w:t> </w:t>
            </w:r>
          </w:p>
        </w:tc>
        <w:tc>
          <w:tcPr>
            <w:tcW w:w="9809" w:type="dxa"/>
            <w:tcBorders/>
            <w:vAlign w:val="center"/>
          </w:tcPr>
          <w:p>
            <w:pPr>
              <w:pStyle w:val="TableContents"/>
              <w:bidi w:val="0"/>
              <w:spacing w:before="0" w:after="283"/>
              <w:jc w:val="left"/>
              <w:rPr/>
            </w:pPr>
            <w:r>
              <w:rPr/>
              <w:t> </w:t>
            </w:r>
          </w:p>
        </w:tc>
      </w:tr>
      <w:tr>
        <w:trPr/>
        <w:tc>
          <w:tcPr>
            <w:tcW w:w="396" w:type="dxa"/>
            <w:tcBorders/>
            <w:vAlign w:val="center"/>
          </w:tcPr>
          <w:p>
            <w:pPr>
              <w:pStyle w:val="TableContents"/>
              <w:bidi w:val="0"/>
              <w:spacing w:before="0" w:after="283"/>
              <w:jc w:val="left"/>
              <w:rPr>
                <w:sz w:val="20"/>
              </w:rPr>
            </w:pPr>
            <w:r>
              <w:rPr>
                <w:sz w:val="20"/>
              </w:rPr>
              <w:t>(13)</w:t>
            </w:r>
          </w:p>
        </w:tc>
        <w:tc>
          <w:tcPr>
            <w:tcW w:w="9809" w:type="dxa"/>
            <w:tcBorders/>
            <w:vAlign w:val="center"/>
          </w:tcPr>
          <w:p>
            <w:pPr>
              <w:pStyle w:val="TableContents"/>
              <w:bidi w:val="0"/>
              <w:spacing w:before="0" w:after="283"/>
              <w:jc w:val="left"/>
              <w:rPr>
                <w:sz w:val="20"/>
              </w:rPr>
            </w:pPr>
            <w:r>
              <w:rPr>
                <w:sz w:val="20"/>
              </w:rPr>
              <w:t>In no event will the aggregate initial offering price of all securities issued from time to time pursuant to the prospectus contained in this registration statement exceed $200,000,000. Such amount represents the offering price of any common stock, preferred stock and depositary shares, the principal amount of any debt securities issued at their stated principal amount, the issue price rather than the principal amount of any debt securities issued at an original issue discount, the issue price of any warrants, the exercise price of any securities issuable upon the exercise of warrants, the issue price of any securities issuable upon the exercise of subscription rights, and the purchase price of any purchase contracts. The aggregate principal amount of debt securities may be increased if any debt securities are issued at an original issue discount by an amount such that the offering price to be received by the registrant shall be equal to the above amount to be registered. The securities registered hereunder may be sold separately or as units with other securities registered hereunder.</w:t>
            </w:r>
          </w:p>
        </w:tc>
      </w:tr>
    </w:tbl>
    <w:p>
      <w:pPr>
        <w:pStyle w:val="TextBody"/>
        <w:bidi w:val="0"/>
        <w:spacing w:before="0" w:after="0"/>
        <w:ind w:left="0" w:right="3435" w:hanging="0"/>
        <w:jc w:val="left"/>
        <w:rPr/>
      </w:pPr>
      <w:r>
        <w:rPr/>
        <w:t> </w:t>
      </w:r>
    </w:p>
    <w:p>
      <w:pPr>
        <w:pStyle w:val="TextBody"/>
        <w:bidi w:val="0"/>
        <w:spacing w:before="0" w:after="0"/>
        <w:ind w:left="0" w:right="3435"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01557/000162828025017614/innv-20241231.htm" TargetMode="External"/><Relationship Id="rId4" Type="http://schemas.openxmlformats.org/officeDocument/2006/relationships/hyperlink" Target="https://www.sec.gov/ix?doc=/Archives/edgar/data/2001557/000162828025025892/innv-20250331.htm" TargetMode="External"/><Relationship Id="rId5" Type="http://schemas.openxmlformats.org/officeDocument/2006/relationships/hyperlink" Target="https://www.sec.gov/ix?doc=/Archives/edgar/data/2001557/000162828025040379/innv-20250630.htm" TargetMode="External"/><Relationship Id="rId6" Type="http://schemas.openxmlformats.org/officeDocument/2006/relationships/hyperlink" Target="https://www.sec.gov/ix?doc=/Archives/edgar/data/2001557/000162828025052035/innv-20250930.htm" TargetMode="External"/><Relationship Id="rId7" Type="http://schemas.openxmlformats.org/officeDocument/2006/relationships/hyperlink" Target="https://www.sec.gov/Archives/edgar/data/2001557/000162828025017614/exhibit41to2024description.htm" TargetMode="External"/><Relationship Id="rId8" Type="http://schemas.openxmlformats.org/officeDocument/2006/relationships/hyperlink" Target="https://www.sec.gov/Archives/edgar/data/2001557/000114036124043179/ef20036737_ex3-1.htm" TargetMode="External"/><Relationship Id="rId9" Type="http://schemas.openxmlformats.org/officeDocument/2006/relationships/hyperlink" Target="https://www.sec.gov/Archives/edgar/data/2001557/000114036124043179/ef20036737_ex3-2.htm" TargetMode="External"/><Relationship Id="rId10" Type="http://schemas.openxmlformats.org/officeDocument/2006/relationships/hyperlink" Target="https://www.sec.gov/Archives/edgar/data/2001557/000162828025025892/inv-ex33innventureseriesbp.htm" TargetMode="External"/><Relationship Id="rId11" Type="http://schemas.openxmlformats.org/officeDocument/2006/relationships/hyperlink" Target="https://www.sec.gov/Archives/edgar/data/2001557/000114036125010165/ef20045914_ex3-1.htm" TargetMode="External"/><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46030</Words>
  <Characters>236283</Characters>
  <CharactersWithSpaces>284302</CharactersWithSpaces>
  <Paragraphs>3142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