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Brown Bruce</w:t>
              </w:r>
            </w:hyperlink>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40" w:type="dxa"/>
            <w:vAlign w:val="bottom"/>
            <w:tcBorders>
              <w:top w:val="single" w:sz="8" w:color="0000EE"/>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09/30/2025</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09/30/2025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4,750</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5.79</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34,432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vested common stock, par value $0.0001 per share, of Innventure, Inc. received by the Reporting Person under the Innventure, Inc. 2024 Non-Management Director Compensation Plan (the "Plan") resulting from the Reporting Person's election under the Plan, in lieu of all of the cash retainer that would have otherwise been paid to the Reporting Person pursuant to the Plan during the third calendar quarter of 2025.</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10/01/2025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8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36840"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2025-10-01T19:21:42Z</dcterms:created>
  <dcterms:modified xsi:type="dcterms:W3CDTF">2025-10-01T19:21:42Z</dcterms:modified>
</cp:coreProperties>
</file>