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5859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85978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035"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Yablunosky David</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6900 TAVISTOCK LAKES BLVD, SUITE 400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Innventure,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78"/>
        <w:spacing w:after="0"/>
        <w:rPr>
          <w:sz w:val="20"/>
          <w:szCs w:val="20"/>
          <w:color w:val="auto"/>
        </w:rPr>
      </w:pPr>
      <w:r>
        <w:rPr>
          <w:rFonts w:ascii="Times New Roman" w:cs="Times New Roman" w:eastAsia="Times New Roman" w:hAnsi="Times New Roman"/>
          <w:sz w:val="16"/>
          <w:szCs w:val="16"/>
          <w:color w:val="0000FF"/>
        </w:rPr>
        <w:t>CFO and CAO</w:t>
      </w:r>
    </w:p>
    <w:p>
      <w:pPr>
        <w:spacing w:after="0" w:line="276" w:lineRule="exact"/>
        <w:rPr>
          <w:sz w:val="24"/>
          <w:szCs w:val="24"/>
          <w:color w:val="auto"/>
        </w:rPr>
      </w:pPr>
    </w:p>
    <w:p>
      <w:pPr>
        <w:sectPr>
          <w:pgSz w:w="11900" w:h="16838" w:orient="portrait"/>
          <w:cols w:equalWidth="0" w:num="3">
            <w:col w:w="3280" w:space="640"/>
            <w:col w:w="3102" w:space="720"/>
            <w:col w:w="3338"/>
          </w:cols>
          <w:pgMar w:left="460" w:top="216" w:right="359" w:bottom="1035" w:gutter="0" w:footer="0" w:header="0"/>
          <w:type w:val="continuous"/>
        </w:sectPr>
      </w:pP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720" w:type="dxa"/>
            <w:vAlign w:val="bottom"/>
            <w:shd w:val="clear" w:color="auto" w:fill="9A9A9A"/>
          </w:tcPr>
          <w:p>
            <w:pPr>
              <w:spacing w:after="0"/>
              <w:rPr>
                <w:sz w:val="3"/>
                <w:szCs w:val="3"/>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600" w:type="dxa"/>
            <w:vAlign w:val="bottom"/>
            <w:gridSpan w:val="5"/>
            <w:vMerge w:val="continue"/>
          </w:tcPr>
          <w:p>
            <w:pPr>
              <w:spacing w:after="0"/>
              <w:rPr>
                <w:sz w:val="9"/>
                <w:szCs w:val="9"/>
                <w:color w:val="auto"/>
              </w:rPr>
            </w:pPr>
          </w:p>
        </w:tc>
        <w:tc>
          <w:tcPr>
            <w:tcW w:w="36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FL</w:t>
            </w:r>
          </w:p>
        </w:tc>
        <w:tc>
          <w:tcPr>
            <w:tcW w:w="172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32827</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gridSpan w:val="4"/>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gridSpan w:val="4"/>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(State)</w:t>
            </w:r>
          </w:p>
        </w:tc>
        <w:tc>
          <w:tcPr>
            <w:tcW w:w="1720" w:type="dxa"/>
            <w:vAlign w:val="bottom"/>
            <w:tcBorders>
              <w:top w:val="single" w:sz="8" w:color="EEEEEE"/>
            </w:tcBorders>
            <w:vMerge w:val="restart"/>
          </w:tcPr>
          <w:p>
            <w:pPr>
              <w:ind w:left="520"/>
              <w:spacing w:after="0"/>
              <w:rPr>
                <w:sz w:val="20"/>
                <w:szCs w:val="20"/>
                <w:color w:val="auto"/>
              </w:rPr>
            </w:pPr>
            <w:r>
              <w:rPr>
                <w:rFonts w:ascii="Arial" w:cs="Arial" w:eastAsia="Arial" w:hAnsi="Arial"/>
                <w:sz w:val="13"/>
                <w:szCs w:val="13"/>
                <w:color w:val="auto"/>
              </w:rPr>
              <w:t>(Zip)</w:t>
            </w:r>
          </w:p>
        </w:tc>
        <w:tc>
          <w:tcPr>
            <w:tcW w:w="44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9"/>
          </w:tcPr>
          <w:p>
            <w:pPr>
              <w:ind w:left="3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1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60" w:type="dxa"/>
            <w:vAlign w:val="bottom"/>
            <w:gridSpan w:val="2"/>
          </w:tcPr>
          <w:p>
            <w:pPr>
              <w:ind w:left="11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4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gridSpan w:val="2"/>
          </w:tcPr>
          <w:p>
            <w:pPr>
              <w:ind w:left="11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0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60" w:type="dxa"/>
            <w:vAlign w:val="bottom"/>
            <w:gridSpan w:val="2"/>
          </w:tcPr>
          <w:p>
            <w:pPr>
              <w:ind w:left="11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restart"/>
          </w:tcPr>
          <w:p>
            <w:pPr>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4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040" w:type="dxa"/>
            <w:vAlign w:val="bottom"/>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2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2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ind w:left="1260"/>
              <w:spacing w:after="0"/>
              <w:rPr>
                <w:sz w:val="20"/>
                <w:szCs w:val="20"/>
                <w:color w:val="auto"/>
              </w:rPr>
            </w:pPr>
            <w:r>
              <w:rPr>
                <w:rFonts w:ascii="Times New Roman" w:cs="Times New Roman" w:eastAsia="Times New Roman" w:hAnsi="Times New Roman"/>
                <w:sz w:val="16"/>
                <w:szCs w:val="16"/>
                <w:color w:val="0000FF"/>
              </w:rPr>
              <w:t>04/02/2026</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6"/>
                <w:szCs w:val="16"/>
                <w:color w:val="0000FF"/>
              </w:rPr>
              <w:t>121,228</w:t>
            </w:r>
            <w:r>
              <w:rPr>
                <w:rFonts w:ascii="Times New Roman" w:cs="Times New Roman" w:eastAsia="Times New Roman" w:hAnsi="Times New Roman"/>
                <w:sz w:val="21"/>
                <w:szCs w:val="21"/>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right"/>
              <w:ind w:right="13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16"/>
                <w:szCs w:val="16"/>
                <w:color w:val="0000FF"/>
              </w:rPr>
              <w:t>542,758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Community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National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ind w:right="237"/>
              <w:spacing w:after="0"/>
              <w:rPr>
                <w:sz w:val="20"/>
                <w:szCs w:val="20"/>
                <w:color w:val="auto"/>
              </w:rPr>
            </w:pPr>
            <w:r>
              <w:rPr>
                <w:rFonts w:ascii="Times New Roman" w:cs="Times New Roman" w:eastAsia="Times New Roman" w:hAnsi="Times New Roman"/>
                <w:sz w:val="16"/>
                <w:szCs w:val="16"/>
                <w:color w:val="0000FF"/>
              </w:rPr>
              <w:t>32,866</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Bank</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6"/>
          <w:szCs w:val="16"/>
          <w:color w:val="0000FF"/>
        </w:rPr>
        <w:t>Custodian</w:t>
      </w:r>
    </w:p>
    <w:p>
      <w:pPr>
        <w:spacing w:after="0" w:line="13"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6"/>
          <w:szCs w:val="16"/>
          <w:color w:val="0000FF"/>
        </w:rPr>
        <w:t>FBO David</w:t>
      </w:r>
    </w:p>
    <w:p>
      <w:pPr>
        <w:spacing w:after="0" w:line="19"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6"/>
          <w:szCs w:val="16"/>
          <w:color w:val="0000FF"/>
        </w:rPr>
        <w:t>Yablunosky</w:t>
      </w:r>
    </w:p>
    <w:p>
      <w:pPr>
        <w:spacing w:after="0" w:line="19"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6"/>
          <w:szCs w:val="16"/>
          <w:color w:val="0000FF"/>
        </w:rPr>
        <w:t>Roth IRA</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7"/>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7"/>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7"/>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7"/>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7"/>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r>
      <w:tr>
        <w:trPr>
          <w:trHeight w:val="127"/>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5"/>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7"/>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7"/>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5"/>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7"/>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04/02/2026</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85,795</w:t>
            </w:r>
          </w:p>
        </w:tc>
        <w:tc>
          <w:tcPr>
            <w:tcW w:w="3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Times New Roman" w:cs="Times New Roman" w:eastAsia="Times New Roman" w:hAnsi="Times New Roman"/>
                <w:sz w:val="13"/>
                <w:szCs w:val="13"/>
                <w:color w:val="0000FF"/>
              </w:rPr>
              <w:t>04/02/2027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04/02/2036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85,795</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85,795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0"/>
        </w:trPr>
        <w:tc>
          <w:tcPr>
            <w:tcW w:w="80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 (right</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under the Innventure, Inc. 2024 Equity and Incentive Compensation Plan (the "Plan"), and vest in three equal installments on April 2, 2027, April 2, 2028, and April 2, 2029, subject to the Reporting Person's continuous service to Innventure, Inc. (the Issuer") until the applicable vesting date.</w:t>
      </w:r>
    </w:p>
    <w:p>
      <w:pPr>
        <w:spacing w:after="0" w:line="19" w:lineRule="exact"/>
        <w:rPr>
          <w:rFonts w:ascii="Times New Roman" w:cs="Times New Roman" w:eastAsia="Times New Roman" w:hAnsi="Times New Roman"/>
          <w:sz w:val="13"/>
          <w:szCs w:val="13"/>
          <w:color w:val="008000"/>
        </w:rPr>
      </w:pPr>
    </w:p>
    <w:p>
      <w:pPr>
        <w:ind w:left="40" w:right="200"/>
        <w:spacing w:after="0" w:line="258"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nonqualified stock options ("Stock Options"), exercisable solely in the Issuer's common stock, par value $0.0001 per share ("Common Stock") were granted by the Issuer to the Reporting Person on April 2, 2026 pursuant to the Plan. One-third of the shares of Common Stock underlying the Stock Options vest and become exercisable on April 2, 2027 and the remaining two-thirds of the shares of Common Stock underlying the Stock Options vest and become exercisable in eight substantially equal installments on each three-month anniversary thereafter, subject to the Reporting Person's continuous service to the Issuer until the applicable vesting date. The Stock Options were granted as a premium-price stock options. The $6.00 exercise price exceeds the $4.64 closing price of the Issuer's Common Stock on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Suzanne Niemeyer,</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04/06/2026</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2137"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2026-04-06T18:10:07Z</dcterms:created>
  <dcterms:modified xsi:type="dcterms:W3CDTF">2026-04-06T18:10:07Z</dcterms:modified>
</cp:coreProperties>
</file>