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w:t>
      </w:r>
    </w:p>
    <w:p>
      <w:pPr>
        <w:spacing w:after="0" w:line="200" w:lineRule="exact"/>
        <w:rPr>
          <w:sz w:val="24"/>
          <w:szCs w:val="24"/>
          <w:color w:val="auto"/>
        </w:rPr>
      </w:pPr>
    </w:p>
    <w:p>
      <w:pPr>
        <w:spacing w:after="0" w:line="223"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color w:val="auto"/>
        </w:rPr>
        <w:t>Innventure,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45784M108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November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3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 Rule 13d-1(b)</w:t>
      </w:r>
    </w:p>
    <w:p>
      <w:pPr>
        <w:spacing w:after="0" w:line="225" w:lineRule="exact"/>
        <w:rPr>
          <w:sz w:val="24"/>
          <w:szCs w:val="24"/>
          <w:color w:val="auto"/>
        </w:rPr>
      </w:pPr>
    </w:p>
    <w:p>
      <w:pPr>
        <w:jc w:val="both"/>
        <w:ind w:right="9880" w:firstLine="8"/>
        <w:spacing w:after="0" w:line="500"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13d-1(c) [_] Rule 13d-1(d)</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4"/>
          <w:szCs w:val="24"/>
          <w:color w:val="auto"/>
        </w:rPr>
      </w:pPr>
    </w:p>
    <w:p>
      <w:pPr>
        <w:ind w:left="660" w:right="20" w:hanging="652"/>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68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45784M108</w:t>
            </w:r>
          </w:p>
        </w:tc>
      </w:tr>
    </w:tbl>
    <w:p>
      <w:pPr>
        <w:spacing w:after="0" w:line="19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20" w:right="450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CastleKnight Master Fund LP</w:t>
      </w:r>
    </w:p>
    <w:p>
      <w:pPr>
        <w:ind w:left="920" w:hanging="912"/>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02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ind w:left="10020"/>
        <w:spacing w:after="0"/>
        <w:rPr>
          <w:sz w:val="20"/>
          <w:szCs w:val="20"/>
          <w:color w:val="auto"/>
        </w:rPr>
      </w:pPr>
      <w:r>
        <w:rPr>
          <w:rFonts w:ascii="Times New Roman" w:cs="Times New Roman" w:eastAsia="Times New Roman" w:hAnsi="Times New Roman"/>
          <w:sz w:val="18"/>
          <w:szCs w:val="18"/>
          <w:color w:val="auto"/>
        </w:rPr>
        <w:t>(b) [X]</w:t>
      </w:r>
    </w:p>
    <w:p>
      <w:pPr>
        <w:spacing w:after="0" w:line="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920" w:right="6420" w:hanging="912"/>
        <w:spacing w:after="0" w:line="500" w:lineRule="auto"/>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25" w:lineRule="exact"/>
        <w:rPr>
          <w:sz w:val="20"/>
          <w:szCs w:val="20"/>
          <w:color w:val="auto"/>
        </w:rPr>
      </w:pPr>
    </w:p>
    <w:p>
      <w:pPr>
        <w:ind w:left="920" w:right="8220" w:hanging="912"/>
        <w:spacing w:after="0" w:line="500" w:lineRule="auto"/>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20" w:right="7960" w:hanging="912"/>
        <w:spacing w:after="0" w:line="500" w:lineRule="auto"/>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3,953,354</w:t>
      </w:r>
    </w:p>
    <w:p>
      <w:pPr>
        <w:spacing w:after="0" w:line="1" w:lineRule="exact"/>
        <w:rPr>
          <w:rFonts w:ascii="Times New Roman" w:cs="Times New Roman" w:eastAsia="Times New Roman" w:hAnsi="Times New Roman"/>
          <w:sz w:val="18"/>
          <w:szCs w:val="18"/>
          <w:color w:val="auto"/>
        </w:rPr>
      </w:pPr>
    </w:p>
    <w:p>
      <w:pPr>
        <w:ind w:left="920" w:right="7820" w:hanging="912"/>
        <w:spacing w:after="0" w:line="500" w:lineRule="auto"/>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20" w:right="7560" w:hanging="912"/>
        <w:spacing w:after="0" w:line="401" w:lineRule="auto"/>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3,953,354</w:t>
      </w:r>
      <w:r>
        <w:rPr>
          <w:rFonts w:ascii="Times New Roman" w:cs="Times New Roman" w:eastAsia="Times New Roman" w:hAnsi="Times New Roman"/>
          <w:sz w:val="29"/>
          <w:szCs w:val="29"/>
          <w:color w:val="auto"/>
          <w:vertAlign w:val="superscript"/>
        </w:rPr>
        <w:t>1</w:t>
      </w:r>
    </w:p>
    <w:p>
      <w:pPr>
        <w:spacing w:after="0" w:line="1" w:lineRule="exact"/>
        <w:rPr>
          <w:rFonts w:ascii="Times New Roman" w:cs="Times New Roman" w:eastAsia="Times New Roman" w:hAnsi="Times New Roman"/>
          <w:sz w:val="18"/>
          <w:szCs w:val="18"/>
          <w:color w:val="auto"/>
        </w:rPr>
      </w:pPr>
    </w:p>
    <w:p>
      <w:pPr>
        <w:ind w:left="920" w:right="3540" w:hanging="912"/>
        <w:spacing w:after="0" w:line="500" w:lineRule="auto"/>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3,953,354</w:t>
      </w:r>
    </w:p>
    <w:p>
      <w:pPr>
        <w:spacing w:after="0" w:line="2" w:lineRule="exact"/>
        <w:rPr>
          <w:sz w:val="20"/>
          <w:szCs w:val="20"/>
          <w:color w:val="auto"/>
        </w:rPr>
      </w:pPr>
    </w:p>
    <w:p>
      <w:pPr>
        <w:spacing w:after="0"/>
        <w:tabs>
          <w:tab w:leader="none" w:pos="900" w:val="left"/>
          <w:tab w:leader="none" w:pos="1050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8"/>
          <w:szCs w:val="18"/>
          <w:color w:val="auto"/>
        </w:rPr>
        <w:t>[_]</w:t>
      </w:r>
    </w:p>
    <w:p>
      <w:pPr>
        <w:spacing w:after="0" w:line="200" w:lineRule="exact"/>
        <w:rPr>
          <w:sz w:val="20"/>
          <w:szCs w:val="20"/>
          <w:color w:val="auto"/>
        </w:rPr>
      </w:pPr>
    </w:p>
    <w:p>
      <w:pPr>
        <w:spacing w:after="0" w:line="241" w:lineRule="exact"/>
        <w:rPr>
          <w:sz w:val="20"/>
          <w:szCs w:val="20"/>
          <w:color w:val="auto"/>
        </w:rPr>
      </w:pPr>
    </w:p>
    <w:p>
      <w:pPr>
        <w:ind w:left="920" w:right="5020" w:hanging="912"/>
        <w:spacing w:after="0" w:line="500" w:lineRule="auto"/>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7.39%</w:t>
      </w:r>
    </w:p>
    <w:p>
      <w:pPr>
        <w:spacing w:after="0" w:line="1" w:lineRule="exact"/>
        <w:rPr>
          <w:rFonts w:ascii="Times New Roman" w:cs="Times New Roman" w:eastAsia="Times New Roman" w:hAnsi="Times New Roman"/>
          <w:sz w:val="18"/>
          <w:szCs w:val="18"/>
          <w:color w:val="auto"/>
        </w:rPr>
      </w:pPr>
    </w:p>
    <w:p>
      <w:pPr>
        <w:ind w:left="920" w:right="5760" w:hanging="912"/>
        <w:spacing w:after="0" w:line="532" w:lineRule="auto"/>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564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645" cy="34290"/>
                    </a:xfrm>
                    <a:prstGeom prst="rect">
                      <a:avLst/>
                    </a:prstGeom>
                    <a:noFill/>
                  </pic:spPr>
                </pic:pic>
              </a:graphicData>
            </a:graphic>
          </wp:anchor>
        </w:drawing>
      </w:r>
    </w:p>
    <w:p>
      <w:pPr>
        <w:spacing w:after="0" w:line="331" w:lineRule="exact"/>
        <w:rPr>
          <w:sz w:val="20"/>
          <w:szCs w:val="20"/>
          <w:color w:val="auto"/>
        </w:rPr>
      </w:pPr>
    </w:p>
    <w:p>
      <w:pPr>
        <w:ind w:firstLine="8"/>
        <w:spacing w:after="0" w:line="195" w:lineRule="auto"/>
        <w:tabs>
          <w:tab w:leader="none" w:pos="12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figure includes 3,925,404 warrants beneficially owned by the Reporting Persons as defined in Item 2(a) of this Schedule 13G each exercisable for one share of Common Shares, no par value per share.</w:t>
      </w:r>
    </w:p>
    <w:p>
      <w:pPr>
        <w:sectPr>
          <w:pgSz w:w="11900" w:h="16838" w:orient="portrait"/>
          <w:cols w:equalWidth="0" w:num="1">
            <w:col w:w="11000"/>
          </w:cols>
          <w:pgMar w:left="320" w:top="715" w:right="5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45784M108</w:t>
            </w:r>
          </w:p>
        </w:tc>
      </w:tr>
    </w:tbl>
    <w:p>
      <w:pPr>
        <w:spacing w:after="0" w:line="19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20" w:right="428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CastleKnight Fund GP LLC</w:t>
      </w:r>
    </w:p>
    <w:p>
      <w:pPr>
        <w:ind w:left="920" w:hanging="912"/>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(b) [X]</w:t>
      </w:r>
    </w:p>
    <w:p>
      <w:pPr>
        <w:spacing w:after="0" w:line="9"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920" w:right="6200" w:hanging="912"/>
        <w:spacing w:after="0" w:line="532" w:lineRule="auto"/>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378" w:lineRule="exact"/>
        <w:rPr>
          <w:sz w:val="20"/>
          <w:szCs w:val="20"/>
          <w:color w:val="auto"/>
        </w:rPr>
      </w:pPr>
    </w:p>
    <w:p>
      <w:pPr>
        <w:ind w:left="920" w:right="8000" w:hanging="912"/>
        <w:spacing w:after="0" w:line="500" w:lineRule="auto"/>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20" w:right="7740" w:hanging="912"/>
        <w:spacing w:after="0" w:line="500" w:lineRule="auto"/>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3,953,354</w:t>
      </w:r>
    </w:p>
    <w:p>
      <w:pPr>
        <w:spacing w:after="0" w:line="1" w:lineRule="exact"/>
        <w:rPr>
          <w:rFonts w:ascii="Times New Roman" w:cs="Times New Roman" w:eastAsia="Times New Roman" w:hAnsi="Times New Roman"/>
          <w:sz w:val="18"/>
          <w:szCs w:val="18"/>
          <w:color w:val="auto"/>
        </w:rPr>
      </w:pPr>
    </w:p>
    <w:p>
      <w:pPr>
        <w:ind w:left="920" w:right="7600" w:hanging="912"/>
        <w:spacing w:after="0" w:line="500" w:lineRule="auto"/>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20" w:right="7340" w:hanging="912"/>
        <w:spacing w:after="0" w:line="500" w:lineRule="auto"/>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3,953,354</w:t>
      </w:r>
    </w:p>
    <w:p>
      <w:pPr>
        <w:spacing w:after="0" w:line="1" w:lineRule="exact"/>
        <w:rPr>
          <w:rFonts w:ascii="Times New Roman" w:cs="Times New Roman" w:eastAsia="Times New Roman" w:hAnsi="Times New Roman"/>
          <w:sz w:val="18"/>
          <w:szCs w:val="18"/>
          <w:color w:val="auto"/>
        </w:rPr>
      </w:pPr>
    </w:p>
    <w:p>
      <w:pPr>
        <w:ind w:left="920" w:right="3320" w:hanging="912"/>
        <w:spacing w:after="0" w:line="500" w:lineRule="auto"/>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3,953,354</w:t>
      </w:r>
    </w:p>
    <w:p>
      <w:pPr>
        <w:spacing w:after="0" w:line="2" w:lineRule="exact"/>
        <w:rPr>
          <w:sz w:val="20"/>
          <w:szCs w:val="20"/>
          <w:color w:val="auto"/>
        </w:rPr>
      </w:pPr>
    </w:p>
    <w:p>
      <w:pPr>
        <w:spacing w:after="0"/>
        <w:tabs>
          <w:tab w:leader="none" w:pos="900" w:val="left"/>
          <w:tab w:leader="none" w:pos="1056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7"/>
          <w:szCs w:val="17"/>
          <w:color w:val="auto"/>
        </w:rPr>
        <w:t>[_]</w:t>
      </w:r>
    </w:p>
    <w:p>
      <w:pPr>
        <w:spacing w:after="0" w:line="200" w:lineRule="exact"/>
        <w:rPr>
          <w:sz w:val="20"/>
          <w:szCs w:val="20"/>
          <w:color w:val="auto"/>
        </w:rPr>
      </w:pPr>
    </w:p>
    <w:p>
      <w:pPr>
        <w:spacing w:after="0" w:line="241" w:lineRule="exact"/>
        <w:rPr>
          <w:sz w:val="20"/>
          <w:szCs w:val="20"/>
          <w:color w:val="auto"/>
        </w:rPr>
      </w:pPr>
    </w:p>
    <w:p>
      <w:pPr>
        <w:ind w:left="920" w:right="4800" w:hanging="912"/>
        <w:spacing w:after="0" w:line="500" w:lineRule="auto"/>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7.39%</w:t>
      </w:r>
    </w:p>
    <w:p>
      <w:pPr>
        <w:spacing w:after="0" w:line="1" w:lineRule="exact"/>
        <w:rPr>
          <w:rFonts w:ascii="Times New Roman" w:cs="Times New Roman" w:eastAsia="Times New Roman" w:hAnsi="Times New Roman"/>
          <w:sz w:val="18"/>
          <w:szCs w:val="18"/>
          <w:color w:val="auto"/>
        </w:rPr>
      </w:pPr>
    </w:p>
    <w:p>
      <w:pPr>
        <w:ind w:left="920" w:right="5540" w:hanging="912"/>
        <w:spacing w:after="0" w:line="532" w:lineRule="auto"/>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sectPr>
          <w:pgSz w:w="11900" w:h="16838" w:orient="portrait"/>
          <w:cols w:equalWidth="0" w:num="1">
            <w:col w:w="10780"/>
          </w:cols>
          <w:pgMar w:left="320" w:top="715" w:right="7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45784M108</w:t>
            </w:r>
          </w:p>
        </w:tc>
      </w:tr>
    </w:tbl>
    <w:p>
      <w:pPr>
        <w:spacing w:after="0" w:line="198"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20" w:right="424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CastleKnight Management LP</w:t>
      </w:r>
    </w:p>
    <w:p>
      <w:pPr>
        <w:ind w:left="920" w:hanging="912"/>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02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8"/>
          <w:szCs w:val="18"/>
          <w:color w:val="auto"/>
        </w:rPr>
        <w:t>(b) [X]</w:t>
      </w:r>
    </w:p>
    <w:p>
      <w:pPr>
        <w:spacing w:after="0" w:line="9" w:lineRule="exact"/>
        <w:rPr>
          <w:sz w:val="20"/>
          <w:szCs w:val="20"/>
          <w:color w:val="auto"/>
        </w:rPr>
      </w:pPr>
    </w:p>
    <w:p>
      <w:pPr>
        <w:ind w:left="920" w:hanging="912"/>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920" w:right="6160" w:hanging="912"/>
        <w:spacing w:after="0" w:line="532" w:lineRule="auto"/>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378" w:lineRule="exact"/>
        <w:rPr>
          <w:sz w:val="20"/>
          <w:szCs w:val="20"/>
          <w:color w:val="auto"/>
        </w:rPr>
      </w:pPr>
    </w:p>
    <w:p>
      <w:pPr>
        <w:ind w:left="920" w:right="7960" w:hanging="912"/>
        <w:spacing w:after="0" w:line="500" w:lineRule="auto"/>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20" w:right="7700" w:hanging="912"/>
        <w:spacing w:after="0" w:line="500" w:lineRule="auto"/>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3,953,354</w:t>
      </w:r>
    </w:p>
    <w:p>
      <w:pPr>
        <w:spacing w:after="0" w:line="1" w:lineRule="exact"/>
        <w:rPr>
          <w:rFonts w:ascii="Times New Roman" w:cs="Times New Roman" w:eastAsia="Times New Roman" w:hAnsi="Times New Roman"/>
          <w:sz w:val="18"/>
          <w:szCs w:val="18"/>
          <w:color w:val="auto"/>
        </w:rPr>
      </w:pPr>
    </w:p>
    <w:p>
      <w:pPr>
        <w:ind w:left="920" w:right="7560" w:hanging="912"/>
        <w:spacing w:after="0" w:line="500" w:lineRule="auto"/>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20" w:right="7300" w:hanging="912"/>
        <w:spacing w:after="0" w:line="500" w:lineRule="auto"/>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3,953,354</w:t>
      </w:r>
    </w:p>
    <w:p>
      <w:pPr>
        <w:spacing w:after="0" w:line="1" w:lineRule="exact"/>
        <w:rPr>
          <w:rFonts w:ascii="Times New Roman" w:cs="Times New Roman" w:eastAsia="Times New Roman" w:hAnsi="Times New Roman"/>
          <w:sz w:val="18"/>
          <w:szCs w:val="18"/>
          <w:color w:val="auto"/>
        </w:rPr>
      </w:pPr>
    </w:p>
    <w:p>
      <w:pPr>
        <w:ind w:left="920" w:hanging="912"/>
        <w:spacing w:after="0"/>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9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3,953,354</w:t>
            </w:r>
          </w:p>
        </w:tc>
        <w:tc>
          <w:tcPr>
            <w:tcW w:w="580" w:type="dxa"/>
            <w:vAlign w:val="bottom"/>
          </w:tcPr>
          <w:p>
            <w:pPr>
              <w:spacing w:after="0"/>
              <w:rPr>
                <w:sz w:val="20"/>
                <w:szCs w:val="20"/>
                <w:color w:val="auto"/>
              </w:rPr>
            </w:pPr>
          </w:p>
        </w:tc>
      </w:tr>
      <w:tr>
        <w:trPr>
          <w:trHeight w:val="432"/>
        </w:trPr>
        <w:tc>
          <w:tcPr>
            <w:tcW w:w="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7"/>
              </w:rPr>
              <w:t>10.</w:t>
            </w:r>
          </w:p>
        </w:tc>
        <w:tc>
          <w:tcPr>
            <w:tcW w:w="9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w:t>
            </w:r>
          </w:p>
        </w:tc>
      </w:tr>
    </w:tbl>
    <w:p>
      <w:pPr>
        <w:spacing w:after="0" w:line="200" w:lineRule="exact"/>
        <w:rPr>
          <w:sz w:val="20"/>
          <w:szCs w:val="20"/>
          <w:color w:val="auto"/>
        </w:rPr>
      </w:pPr>
    </w:p>
    <w:p>
      <w:pPr>
        <w:spacing w:after="0" w:line="214" w:lineRule="exact"/>
        <w:rPr>
          <w:sz w:val="20"/>
          <w:szCs w:val="20"/>
          <w:color w:val="auto"/>
        </w:rPr>
      </w:pPr>
    </w:p>
    <w:p>
      <w:pPr>
        <w:ind w:left="920" w:right="4760" w:hanging="912"/>
        <w:spacing w:after="0" w:line="500" w:lineRule="auto"/>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7.39%</w:t>
      </w:r>
    </w:p>
    <w:p>
      <w:pPr>
        <w:spacing w:after="0" w:line="1" w:lineRule="exact"/>
        <w:rPr>
          <w:rFonts w:ascii="Times New Roman" w:cs="Times New Roman" w:eastAsia="Times New Roman" w:hAnsi="Times New Roman"/>
          <w:sz w:val="18"/>
          <w:szCs w:val="18"/>
          <w:color w:val="auto"/>
        </w:rPr>
      </w:pPr>
    </w:p>
    <w:p>
      <w:pPr>
        <w:ind w:left="920" w:right="5500" w:hanging="912"/>
        <w:spacing w:after="0" w:line="532" w:lineRule="auto"/>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 IA</w:t>
      </w:r>
    </w:p>
    <w:p>
      <w:pPr>
        <w:sectPr>
          <w:pgSz w:w="11900" w:h="16838" w:orient="portrait"/>
          <w:cols w:equalWidth="0" w:num="1">
            <w:col w:w="10740"/>
          </w:cols>
          <w:pgMar w:left="320" w:top="715" w:right="8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45784M108</w:t>
            </w:r>
          </w:p>
        </w:tc>
      </w:tr>
    </w:tbl>
    <w:p>
      <w:pPr>
        <w:spacing w:after="0" w:line="198" w:lineRule="exact"/>
        <w:rPr>
          <w:sz w:val="20"/>
          <w:szCs w:val="20"/>
          <w:color w:val="auto"/>
        </w:rPr>
      </w:pPr>
    </w:p>
    <w:p>
      <w:pPr>
        <w:ind w:left="920" w:hanging="912"/>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20" w:right="424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CastleKnight Management GP LLC</w:t>
      </w:r>
    </w:p>
    <w:p>
      <w:pPr>
        <w:ind w:left="920" w:hanging="912"/>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02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ind w:left="10020"/>
        <w:spacing w:after="0"/>
        <w:rPr>
          <w:sz w:val="20"/>
          <w:szCs w:val="20"/>
          <w:color w:val="auto"/>
        </w:rPr>
      </w:pPr>
      <w:r>
        <w:rPr>
          <w:rFonts w:ascii="Times New Roman" w:cs="Times New Roman" w:eastAsia="Times New Roman" w:hAnsi="Times New Roman"/>
          <w:sz w:val="18"/>
          <w:szCs w:val="18"/>
          <w:color w:val="auto"/>
        </w:rPr>
        <w:t>(b) [X]</w:t>
      </w:r>
    </w:p>
    <w:p>
      <w:pPr>
        <w:spacing w:after="0" w:line="9" w:lineRule="exact"/>
        <w:rPr>
          <w:sz w:val="20"/>
          <w:szCs w:val="20"/>
          <w:color w:val="auto"/>
        </w:rPr>
      </w:pPr>
    </w:p>
    <w:p>
      <w:pPr>
        <w:ind w:left="920" w:hanging="912"/>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920" w:right="6160" w:hanging="912"/>
        <w:spacing w:after="0" w:line="532" w:lineRule="auto"/>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378" w:lineRule="exact"/>
        <w:rPr>
          <w:sz w:val="20"/>
          <w:szCs w:val="20"/>
          <w:color w:val="auto"/>
        </w:rPr>
      </w:pPr>
    </w:p>
    <w:p>
      <w:pPr>
        <w:ind w:left="920" w:right="7960" w:hanging="912"/>
        <w:spacing w:after="0" w:line="500" w:lineRule="auto"/>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20" w:right="7700" w:hanging="912"/>
        <w:spacing w:after="0" w:line="500" w:lineRule="auto"/>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3,953,354</w:t>
      </w:r>
    </w:p>
    <w:p>
      <w:pPr>
        <w:spacing w:after="0" w:line="1" w:lineRule="exact"/>
        <w:rPr>
          <w:rFonts w:ascii="Times New Roman" w:cs="Times New Roman" w:eastAsia="Times New Roman" w:hAnsi="Times New Roman"/>
          <w:sz w:val="18"/>
          <w:szCs w:val="18"/>
          <w:color w:val="auto"/>
        </w:rPr>
      </w:pPr>
    </w:p>
    <w:p>
      <w:pPr>
        <w:ind w:left="920" w:right="7560" w:hanging="912"/>
        <w:spacing w:after="0" w:line="500" w:lineRule="auto"/>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20" w:right="7300" w:hanging="912"/>
        <w:spacing w:after="0" w:line="500" w:lineRule="auto"/>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3,953,354</w:t>
      </w:r>
    </w:p>
    <w:p>
      <w:pPr>
        <w:spacing w:after="0" w:line="1" w:lineRule="exact"/>
        <w:rPr>
          <w:rFonts w:ascii="Times New Roman" w:cs="Times New Roman" w:eastAsia="Times New Roman" w:hAnsi="Times New Roman"/>
          <w:sz w:val="18"/>
          <w:szCs w:val="18"/>
          <w:color w:val="auto"/>
        </w:rPr>
      </w:pPr>
    </w:p>
    <w:p>
      <w:pPr>
        <w:ind w:left="920" w:right="3280" w:hanging="912"/>
        <w:spacing w:after="0" w:line="500" w:lineRule="auto"/>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3,953,354</w:t>
      </w:r>
    </w:p>
    <w:p>
      <w:pPr>
        <w:spacing w:after="0" w:line="2" w:lineRule="exact"/>
        <w:rPr>
          <w:sz w:val="20"/>
          <w:szCs w:val="20"/>
          <w:color w:val="auto"/>
        </w:rPr>
      </w:pPr>
    </w:p>
    <w:p>
      <w:pPr>
        <w:spacing w:after="0"/>
        <w:tabs>
          <w:tab w:leader="none" w:pos="900" w:val="left"/>
          <w:tab w:leader="none" w:pos="1050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8"/>
          <w:szCs w:val="18"/>
          <w:color w:val="auto"/>
        </w:rPr>
        <w:t>[_]</w:t>
      </w:r>
    </w:p>
    <w:p>
      <w:pPr>
        <w:spacing w:after="0" w:line="200" w:lineRule="exact"/>
        <w:rPr>
          <w:sz w:val="20"/>
          <w:szCs w:val="20"/>
          <w:color w:val="auto"/>
        </w:rPr>
      </w:pPr>
    </w:p>
    <w:p>
      <w:pPr>
        <w:spacing w:after="0" w:line="241" w:lineRule="exact"/>
        <w:rPr>
          <w:sz w:val="20"/>
          <w:szCs w:val="20"/>
          <w:color w:val="auto"/>
        </w:rPr>
      </w:pPr>
    </w:p>
    <w:p>
      <w:pPr>
        <w:ind w:left="920" w:right="4760" w:hanging="912"/>
        <w:spacing w:after="0" w:line="500" w:lineRule="auto"/>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7.39%</w:t>
      </w:r>
    </w:p>
    <w:p>
      <w:pPr>
        <w:spacing w:after="0" w:line="1" w:lineRule="exact"/>
        <w:rPr>
          <w:rFonts w:ascii="Times New Roman" w:cs="Times New Roman" w:eastAsia="Times New Roman" w:hAnsi="Times New Roman"/>
          <w:sz w:val="18"/>
          <w:szCs w:val="18"/>
          <w:color w:val="auto"/>
        </w:rPr>
      </w:pPr>
    </w:p>
    <w:p>
      <w:pPr>
        <w:ind w:left="920" w:right="5500" w:hanging="912"/>
        <w:spacing w:after="0" w:line="532" w:lineRule="auto"/>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sectPr>
          <w:pgSz w:w="11900" w:h="16838" w:orient="portrait"/>
          <w:cols w:equalWidth="0" w:num="1">
            <w:col w:w="10740"/>
          </w:cols>
          <w:pgMar w:left="320" w:top="715" w:right="8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45784M108</w:t>
            </w:r>
          </w:p>
        </w:tc>
      </w:tr>
    </w:tbl>
    <w:p>
      <w:pPr>
        <w:spacing w:after="0" w:line="198" w:lineRule="exact"/>
        <w:rPr>
          <w:sz w:val="20"/>
          <w:szCs w:val="20"/>
          <w:color w:val="auto"/>
        </w:rPr>
      </w:pPr>
    </w:p>
    <w:p>
      <w:pPr>
        <w:ind w:left="920" w:hanging="912"/>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20" w:right="428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Weitman Capital LLC</w:t>
      </w:r>
    </w:p>
    <w:p>
      <w:pPr>
        <w:ind w:left="920" w:hanging="912"/>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(b) [X]</w:t>
      </w:r>
    </w:p>
    <w:p>
      <w:pPr>
        <w:spacing w:after="0" w:line="9" w:lineRule="exact"/>
        <w:rPr>
          <w:sz w:val="20"/>
          <w:szCs w:val="20"/>
          <w:color w:val="auto"/>
        </w:rPr>
      </w:pPr>
    </w:p>
    <w:p>
      <w:pPr>
        <w:ind w:left="920" w:hanging="912"/>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920" w:right="6200" w:hanging="912"/>
        <w:spacing w:after="0" w:line="532" w:lineRule="auto"/>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New Jersey</w:t>
      </w:r>
    </w:p>
    <w:p>
      <w:pPr>
        <w:spacing w:after="0" w:line="378" w:lineRule="exact"/>
        <w:rPr>
          <w:sz w:val="20"/>
          <w:szCs w:val="20"/>
          <w:color w:val="auto"/>
        </w:rPr>
      </w:pPr>
    </w:p>
    <w:p>
      <w:pPr>
        <w:ind w:left="920" w:right="8000" w:hanging="912"/>
        <w:spacing w:after="0" w:line="500" w:lineRule="auto"/>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20" w:right="7740" w:hanging="912"/>
        <w:spacing w:after="0" w:line="500" w:lineRule="auto"/>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3,953,354</w:t>
      </w:r>
    </w:p>
    <w:p>
      <w:pPr>
        <w:spacing w:after="0" w:line="1" w:lineRule="exact"/>
        <w:rPr>
          <w:rFonts w:ascii="Times New Roman" w:cs="Times New Roman" w:eastAsia="Times New Roman" w:hAnsi="Times New Roman"/>
          <w:sz w:val="18"/>
          <w:szCs w:val="18"/>
          <w:color w:val="auto"/>
        </w:rPr>
      </w:pPr>
    </w:p>
    <w:p>
      <w:pPr>
        <w:ind w:left="920" w:right="7600" w:hanging="912"/>
        <w:spacing w:after="0" w:line="500" w:lineRule="auto"/>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20" w:right="7340" w:hanging="912"/>
        <w:spacing w:after="0" w:line="500" w:lineRule="auto"/>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3,953,354</w:t>
      </w:r>
    </w:p>
    <w:p>
      <w:pPr>
        <w:spacing w:after="0" w:line="1" w:lineRule="exact"/>
        <w:rPr>
          <w:rFonts w:ascii="Times New Roman" w:cs="Times New Roman" w:eastAsia="Times New Roman" w:hAnsi="Times New Roman"/>
          <w:sz w:val="18"/>
          <w:szCs w:val="18"/>
          <w:color w:val="auto"/>
        </w:rPr>
      </w:pPr>
    </w:p>
    <w:p>
      <w:pPr>
        <w:ind w:left="920" w:right="3320" w:hanging="912"/>
        <w:spacing w:after="0" w:line="500" w:lineRule="auto"/>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3,953,354</w:t>
      </w:r>
    </w:p>
    <w:p>
      <w:pPr>
        <w:spacing w:after="0" w:line="2" w:lineRule="exact"/>
        <w:rPr>
          <w:sz w:val="20"/>
          <w:szCs w:val="20"/>
          <w:color w:val="auto"/>
        </w:rPr>
      </w:pPr>
    </w:p>
    <w:p>
      <w:pPr>
        <w:spacing w:after="0"/>
        <w:tabs>
          <w:tab w:leader="none" w:pos="900" w:val="left"/>
          <w:tab w:leader="none" w:pos="1056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7"/>
          <w:szCs w:val="17"/>
          <w:color w:val="auto"/>
        </w:rPr>
        <w:t>[_]</w:t>
      </w:r>
    </w:p>
    <w:p>
      <w:pPr>
        <w:spacing w:after="0" w:line="200" w:lineRule="exact"/>
        <w:rPr>
          <w:sz w:val="20"/>
          <w:szCs w:val="20"/>
          <w:color w:val="auto"/>
        </w:rPr>
      </w:pPr>
    </w:p>
    <w:p>
      <w:pPr>
        <w:spacing w:after="0" w:line="241" w:lineRule="exact"/>
        <w:rPr>
          <w:sz w:val="20"/>
          <w:szCs w:val="20"/>
          <w:color w:val="auto"/>
        </w:rPr>
      </w:pPr>
    </w:p>
    <w:p>
      <w:pPr>
        <w:ind w:left="920" w:right="4800" w:hanging="912"/>
        <w:spacing w:after="0" w:line="500" w:lineRule="auto"/>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7.39%</w:t>
      </w:r>
    </w:p>
    <w:p>
      <w:pPr>
        <w:spacing w:after="0" w:line="1" w:lineRule="exact"/>
        <w:rPr>
          <w:rFonts w:ascii="Times New Roman" w:cs="Times New Roman" w:eastAsia="Times New Roman" w:hAnsi="Times New Roman"/>
          <w:sz w:val="18"/>
          <w:szCs w:val="18"/>
          <w:color w:val="auto"/>
        </w:rPr>
      </w:pPr>
    </w:p>
    <w:p>
      <w:pPr>
        <w:ind w:left="920" w:right="5540" w:hanging="912"/>
        <w:spacing w:after="0" w:line="532" w:lineRule="auto"/>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sectPr>
          <w:pgSz w:w="11900" w:h="16838" w:orient="portrait"/>
          <w:cols w:equalWidth="0" w:num="1">
            <w:col w:w="10780"/>
          </w:cols>
          <w:pgMar w:left="320" w:top="715" w:right="7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45784M108</w:t>
            </w:r>
          </w:p>
        </w:tc>
      </w:tr>
    </w:tbl>
    <w:p>
      <w:pPr>
        <w:spacing w:after="0" w:line="198" w:lineRule="exact"/>
        <w:rPr>
          <w:sz w:val="20"/>
          <w:szCs w:val="20"/>
          <w:color w:val="auto"/>
        </w:rPr>
      </w:pPr>
    </w:p>
    <w:p>
      <w:pPr>
        <w:ind w:left="920" w:hanging="912"/>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20" w:right="424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Aaron Weitman</w:t>
      </w:r>
    </w:p>
    <w:p>
      <w:pPr>
        <w:ind w:left="920" w:hanging="912"/>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02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ind w:left="10020"/>
        <w:spacing w:after="0"/>
        <w:rPr>
          <w:sz w:val="20"/>
          <w:szCs w:val="20"/>
          <w:color w:val="auto"/>
        </w:rPr>
      </w:pPr>
      <w:r>
        <w:rPr>
          <w:rFonts w:ascii="Times New Roman" w:cs="Times New Roman" w:eastAsia="Times New Roman" w:hAnsi="Times New Roman"/>
          <w:sz w:val="18"/>
          <w:szCs w:val="18"/>
          <w:color w:val="auto"/>
        </w:rPr>
        <w:t>(b) [X]</w:t>
      </w:r>
    </w:p>
    <w:p>
      <w:pPr>
        <w:spacing w:after="0" w:line="9" w:lineRule="exact"/>
        <w:rPr>
          <w:sz w:val="20"/>
          <w:szCs w:val="20"/>
          <w:color w:val="auto"/>
        </w:rPr>
      </w:pPr>
    </w:p>
    <w:p>
      <w:pPr>
        <w:ind w:left="920" w:hanging="912"/>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920" w:hanging="912"/>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20" w:right="7960" w:hanging="912"/>
        <w:spacing w:after="0" w:line="500" w:lineRule="auto"/>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20" w:right="7700" w:hanging="912"/>
        <w:spacing w:after="0" w:line="500" w:lineRule="auto"/>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3,953,354</w:t>
      </w:r>
    </w:p>
    <w:p>
      <w:pPr>
        <w:spacing w:after="0" w:line="1" w:lineRule="exact"/>
        <w:rPr>
          <w:rFonts w:ascii="Times New Roman" w:cs="Times New Roman" w:eastAsia="Times New Roman" w:hAnsi="Times New Roman"/>
          <w:sz w:val="18"/>
          <w:szCs w:val="18"/>
          <w:color w:val="auto"/>
        </w:rPr>
      </w:pPr>
    </w:p>
    <w:p>
      <w:pPr>
        <w:ind w:left="920" w:right="7560" w:hanging="912"/>
        <w:spacing w:after="0" w:line="500" w:lineRule="auto"/>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20" w:right="7300" w:hanging="912"/>
        <w:spacing w:after="0" w:line="500" w:lineRule="auto"/>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3,953,354</w:t>
      </w:r>
    </w:p>
    <w:p>
      <w:pPr>
        <w:spacing w:after="0" w:line="1" w:lineRule="exact"/>
        <w:rPr>
          <w:rFonts w:ascii="Times New Roman" w:cs="Times New Roman" w:eastAsia="Times New Roman" w:hAnsi="Times New Roman"/>
          <w:sz w:val="18"/>
          <w:szCs w:val="18"/>
          <w:color w:val="auto"/>
        </w:rPr>
      </w:pPr>
    </w:p>
    <w:p>
      <w:pPr>
        <w:ind w:left="920" w:right="3280" w:hanging="912"/>
        <w:spacing w:after="0" w:line="500" w:lineRule="auto"/>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3,953,354</w:t>
      </w:r>
    </w:p>
    <w:p>
      <w:pPr>
        <w:spacing w:after="0" w:line="2" w:lineRule="exact"/>
        <w:rPr>
          <w:sz w:val="20"/>
          <w:szCs w:val="20"/>
          <w:color w:val="auto"/>
        </w:rPr>
      </w:pPr>
    </w:p>
    <w:p>
      <w:pPr>
        <w:spacing w:after="0"/>
        <w:tabs>
          <w:tab w:leader="none" w:pos="900" w:val="left"/>
          <w:tab w:leader="none" w:pos="1050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8"/>
          <w:szCs w:val="18"/>
          <w:color w:val="auto"/>
        </w:rPr>
        <w:t>[_]</w:t>
      </w:r>
    </w:p>
    <w:p>
      <w:pPr>
        <w:spacing w:after="0" w:line="200" w:lineRule="exact"/>
        <w:rPr>
          <w:sz w:val="20"/>
          <w:szCs w:val="20"/>
          <w:color w:val="auto"/>
        </w:rPr>
      </w:pPr>
    </w:p>
    <w:p>
      <w:pPr>
        <w:spacing w:after="0" w:line="241" w:lineRule="exact"/>
        <w:rPr>
          <w:sz w:val="20"/>
          <w:szCs w:val="20"/>
          <w:color w:val="auto"/>
        </w:rPr>
      </w:pPr>
    </w:p>
    <w:p>
      <w:pPr>
        <w:ind w:left="920" w:right="4760" w:hanging="912"/>
        <w:spacing w:after="0" w:line="500" w:lineRule="auto"/>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7.39%</w:t>
      </w:r>
    </w:p>
    <w:p>
      <w:pPr>
        <w:spacing w:after="0" w:line="1" w:lineRule="exact"/>
        <w:rPr>
          <w:rFonts w:ascii="Times New Roman" w:cs="Times New Roman" w:eastAsia="Times New Roman" w:hAnsi="Times New Roman"/>
          <w:sz w:val="18"/>
          <w:szCs w:val="18"/>
          <w:color w:val="auto"/>
        </w:rPr>
      </w:pPr>
    </w:p>
    <w:p>
      <w:pPr>
        <w:ind w:left="920" w:right="5500" w:hanging="912"/>
        <w:spacing w:after="0" w:line="532" w:lineRule="auto"/>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 IN</w:t>
      </w:r>
    </w:p>
    <w:p>
      <w:pPr>
        <w:sectPr>
          <w:pgSz w:w="11900" w:h="16838" w:orient="portrait"/>
          <w:cols w:equalWidth="0" w:num="1">
            <w:col w:w="10740"/>
          </w:cols>
          <w:pgMar w:left="320" w:top="715" w:right="8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480" w:type="dxa"/>
            <w:vAlign w:val="bottom"/>
          </w:tcPr>
          <w:p>
            <w:pPr>
              <w:spacing w:after="0"/>
              <w:rPr>
                <w:sz w:val="20"/>
                <w:szCs w:val="20"/>
                <w:color w:val="auto"/>
              </w:rPr>
            </w:pPr>
          </w:p>
        </w:tc>
        <w:tc>
          <w:tcPr>
            <w:tcW w:w="3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45784M108</w:t>
            </w:r>
          </w:p>
        </w:tc>
        <w:tc>
          <w:tcPr>
            <w:tcW w:w="6840" w:type="dxa"/>
            <w:vAlign w:val="bottom"/>
          </w:tcPr>
          <w:p>
            <w:pPr>
              <w:spacing w:after="0"/>
              <w:rPr>
                <w:sz w:val="20"/>
                <w:szCs w:val="20"/>
                <w:color w:val="auto"/>
              </w:rPr>
            </w:pPr>
          </w:p>
        </w:tc>
      </w:tr>
      <w:tr>
        <w:trPr>
          <w:trHeight w:val="42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Issuer:</w:t>
            </w:r>
          </w:p>
        </w:tc>
      </w:tr>
      <w:tr>
        <w:trPr>
          <w:trHeight w:val="432"/>
        </w:trPr>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Innventure, Inc.</w:t>
            </w:r>
          </w:p>
        </w:tc>
      </w:tr>
      <w:tr>
        <w:trPr>
          <w:trHeight w:val="426"/>
        </w:trPr>
        <w:tc>
          <w:tcPr>
            <w:tcW w:w="880" w:type="dxa"/>
            <w:vAlign w:val="bottom"/>
          </w:tcPr>
          <w:p>
            <w:pPr>
              <w:spacing w:after="0"/>
              <w:rPr>
                <w:sz w:val="24"/>
                <w:szCs w:val="24"/>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675"/>
        </w:trPr>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6900 Tavistock Lakes Blvd, Suite 400, Orlando, Florida</w:t>
            </w:r>
          </w:p>
        </w:tc>
      </w:tr>
      <w:tr>
        <w:trPr>
          <w:trHeight w:val="42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person filing:</w:t>
            </w:r>
          </w:p>
        </w:tc>
      </w:tr>
      <w:tr>
        <w:trPr>
          <w:trHeight w:val="414"/>
        </w:trPr>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CastleKnight Master Fund LP</w:t>
            </w:r>
          </w:p>
        </w:tc>
      </w:tr>
      <w:tr>
        <w:trPr>
          <w:trHeight w:val="216"/>
        </w:trPr>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CastleKnight Fund GP LLC</w:t>
            </w:r>
          </w:p>
        </w:tc>
      </w:tr>
      <w:tr>
        <w:trPr>
          <w:trHeight w:val="216"/>
        </w:trPr>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CastleKnight Management LP</w:t>
            </w:r>
          </w:p>
        </w:tc>
      </w:tr>
      <w:tr>
        <w:trPr>
          <w:trHeight w:val="216"/>
        </w:trPr>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CastleKnight Management GP LLC</w:t>
            </w:r>
          </w:p>
        </w:tc>
      </w:tr>
      <w:tr>
        <w:trPr>
          <w:trHeight w:val="216"/>
        </w:trPr>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Weitman Capital LLC</w:t>
            </w:r>
          </w:p>
        </w:tc>
      </w:tr>
      <w:tr>
        <w:trPr>
          <w:trHeight w:val="234"/>
        </w:trPr>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Aaron Weitman</w:t>
            </w:r>
          </w:p>
        </w:tc>
      </w:tr>
      <w:tr>
        <w:trPr>
          <w:trHeight w:val="425"/>
        </w:trPr>
        <w:tc>
          <w:tcPr>
            <w:tcW w:w="880" w:type="dxa"/>
            <w:vAlign w:val="bottom"/>
          </w:tcPr>
          <w:p>
            <w:pPr>
              <w:spacing w:after="0"/>
              <w:rPr>
                <w:sz w:val="24"/>
                <w:szCs w:val="24"/>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 or principal business office or, if none, residence:</w:t>
            </w:r>
          </w:p>
        </w:tc>
      </w:tr>
      <w:tr>
        <w:trPr>
          <w:trHeight w:val="414"/>
        </w:trPr>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CastleKnight Master Fund LP</w:t>
            </w:r>
          </w:p>
        </w:tc>
      </w:tr>
      <w:tr>
        <w:trPr>
          <w:trHeight w:val="216"/>
        </w:trPr>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Maples Corporate Services Limited</w:t>
            </w:r>
          </w:p>
        </w:tc>
      </w:tr>
      <w:tr>
        <w:trPr>
          <w:trHeight w:val="216"/>
        </w:trPr>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 Box 309</w:t>
            </w:r>
          </w:p>
        </w:tc>
      </w:tr>
      <w:tr>
        <w:trPr>
          <w:trHeight w:val="216"/>
        </w:trPr>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Ugland House</w:t>
            </w:r>
          </w:p>
        </w:tc>
      </w:tr>
      <w:tr>
        <w:trPr>
          <w:trHeight w:val="216"/>
        </w:trPr>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Grand Cayman KY1-1104</w:t>
            </w:r>
          </w:p>
        </w:tc>
      </w:tr>
      <w:tr>
        <w:trPr>
          <w:trHeight w:val="234"/>
        </w:trPr>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417"/>
        </w:trPr>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CastleKnight Fund GP LLC</w:t>
            </w:r>
          </w:p>
        </w:tc>
      </w:tr>
      <w:tr>
        <w:trPr>
          <w:trHeight w:val="253"/>
        </w:trPr>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760" w:type="dxa"/>
            <w:vAlign w:val="bottom"/>
            <w:gridSpan w:val="2"/>
          </w:tcPr>
          <w:p>
            <w:pPr>
              <w:spacing w:after="0" w:line="252" w:lineRule="exact"/>
              <w:rPr>
                <w:sz w:val="20"/>
                <w:szCs w:val="20"/>
                <w:color w:val="auto"/>
              </w:rPr>
            </w:pPr>
            <w:r>
              <w:rPr>
                <w:rFonts w:ascii="Times New Roman" w:cs="Times New Roman" w:eastAsia="Times New Roman" w:hAnsi="Times New Roman"/>
                <w:sz w:val="18"/>
                <w:szCs w:val="18"/>
                <w:color w:val="auto"/>
              </w:rPr>
              <w:t>888 Seventh Avenue,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r>
      <w:tr>
        <w:trPr>
          <w:trHeight w:val="216"/>
        </w:trPr>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New York 10019</w:t>
            </w:r>
          </w:p>
        </w:tc>
      </w:tr>
      <w:tr>
        <w:trPr>
          <w:trHeight w:val="234"/>
        </w:trPr>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444"/>
        </w:trPr>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CastleKnight Management LP</w:t>
            </w:r>
          </w:p>
        </w:tc>
      </w:tr>
      <w:tr>
        <w:trPr>
          <w:trHeight w:val="253"/>
        </w:trPr>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760" w:type="dxa"/>
            <w:vAlign w:val="bottom"/>
            <w:gridSpan w:val="2"/>
          </w:tcPr>
          <w:p>
            <w:pPr>
              <w:spacing w:after="0" w:line="252" w:lineRule="exact"/>
              <w:rPr>
                <w:sz w:val="20"/>
                <w:szCs w:val="20"/>
                <w:color w:val="auto"/>
              </w:rPr>
            </w:pPr>
            <w:r>
              <w:rPr>
                <w:rFonts w:ascii="Times New Roman" w:cs="Times New Roman" w:eastAsia="Times New Roman" w:hAnsi="Times New Roman"/>
                <w:sz w:val="18"/>
                <w:szCs w:val="18"/>
                <w:color w:val="auto"/>
              </w:rPr>
              <w:t>888 Seventh Avenue,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r>
      <w:tr>
        <w:trPr>
          <w:trHeight w:val="216"/>
        </w:trPr>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New York 10019</w:t>
            </w:r>
          </w:p>
        </w:tc>
      </w:tr>
      <w:tr>
        <w:trPr>
          <w:trHeight w:val="234"/>
        </w:trPr>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444"/>
        </w:trPr>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CastleKnight Management GP LLC</w:t>
            </w:r>
          </w:p>
        </w:tc>
      </w:tr>
      <w:tr>
        <w:trPr>
          <w:trHeight w:val="253"/>
        </w:trPr>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760" w:type="dxa"/>
            <w:vAlign w:val="bottom"/>
            <w:gridSpan w:val="2"/>
          </w:tcPr>
          <w:p>
            <w:pPr>
              <w:spacing w:after="0" w:line="252" w:lineRule="exact"/>
              <w:rPr>
                <w:sz w:val="20"/>
                <w:szCs w:val="20"/>
                <w:color w:val="auto"/>
              </w:rPr>
            </w:pPr>
            <w:r>
              <w:rPr>
                <w:rFonts w:ascii="Times New Roman" w:cs="Times New Roman" w:eastAsia="Times New Roman" w:hAnsi="Times New Roman"/>
                <w:sz w:val="18"/>
                <w:szCs w:val="18"/>
                <w:color w:val="auto"/>
              </w:rPr>
              <w:t>888 Seventh Avenue,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r>
      <w:tr>
        <w:trPr>
          <w:trHeight w:val="216"/>
        </w:trPr>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New York 10019</w:t>
            </w:r>
          </w:p>
        </w:tc>
      </w:tr>
      <w:tr>
        <w:trPr>
          <w:trHeight w:val="234"/>
        </w:trPr>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414"/>
        </w:trPr>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Weitman Capital LLC</w:t>
            </w:r>
          </w:p>
        </w:tc>
      </w:tr>
      <w:tr>
        <w:trPr>
          <w:trHeight w:val="216"/>
        </w:trPr>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 Aaron Weitman</w:t>
            </w:r>
          </w:p>
        </w:tc>
      </w:tr>
      <w:tr>
        <w:trPr>
          <w:trHeight w:val="220"/>
        </w:trPr>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 CastleKnight Management LP</w:t>
            </w:r>
          </w:p>
        </w:tc>
      </w:tr>
      <w:tr>
        <w:trPr>
          <w:trHeight w:val="253"/>
        </w:trPr>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760" w:type="dxa"/>
            <w:vAlign w:val="bottom"/>
            <w:gridSpan w:val="2"/>
          </w:tcPr>
          <w:p>
            <w:pPr>
              <w:spacing w:after="0" w:line="252" w:lineRule="exact"/>
              <w:rPr>
                <w:sz w:val="20"/>
                <w:szCs w:val="20"/>
                <w:color w:val="auto"/>
              </w:rPr>
            </w:pPr>
            <w:r>
              <w:rPr>
                <w:rFonts w:ascii="Times New Roman" w:cs="Times New Roman" w:eastAsia="Times New Roman" w:hAnsi="Times New Roman"/>
                <w:sz w:val="18"/>
                <w:szCs w:val="18"/>
                <w:color w:val="auto"/>
              </w:rPr>
              <w:t>888 Seventh Avenue,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r>
      <w:tr>
        <w:trPr>
          <w:trHeight w:val="216"/>
        </w:trPr>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New York 10019</w:t>
            </w:r>
          </w:p>
        </w:tc>
      </w:tr>
      <w:tr>
        <w:trPr>
          <w:trHeight w:val="234"/>
        </w:trPr>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441"/>
        </w:trPr>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Aaron Weitman</w:t>
            </w:r>
          </w:p>
        </w:tc>
      </w:tr>
      <w:tr>
        <w:trPr>
          <w:trHeight w:val="220"/>
        </w:trPr>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 CastleKnight Management LP</w:t>
            </w:r>
          </w:p>
        </w:tc>
      </w:tr>
      <w:tr>
        <w:trPr>
          <w:trHeight w:val="253"/>
        </w:trPr>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760" w:type="dxa"/>
            <w:vAlign w:val="bottom"/>
            <w:gridSpan w:val="2"/>
          </w:tcPr>
          <w:p>
            <w:pPr>
              <w:spacing w:after="0" w:line="252" w:lineRule="exact"/>
              <w:rPr>
                <w:sz w:val="20"/>
                <w:szCs w:val="20"/>
                <w:color w:val="auto"/>
              </w:rPr>
            </w:pPr>
            <w:r>
              <w:rPr>
                <w:rFonts w:ascii="Times New Roman" w:cs="Times New Roman" w:eastAsia="Times New Roman" w:hAnsi="Times New Roman"/>
                <w:sz w:val="18"/>
                <w:szCs w:val="18"/>
                <w:color w:val="auto"/>
              </w:rPr>
              <w:t>888 Seventh Avenue,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r>
      <w:tr>
        <w:trPr>
          <w:trHeight w:val="216"/>
        </w:trPr>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New York 10019</w:t>
            </w:r>
          </w:p>
        </w:tc>
      </w:tr>
      <w:tr>
        <w:trPr>
          <w:trHeight w:val="234"/>
        </w:trPr>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bl>
    <w:p>
      <w:pPr>
        <w:sectPr>
          <w:pgSz w:w="11900" w:h="16838" w:orient="portrait"/>
          <w:cols w:equalWidth="0" w:num="1">
            <w:col w:w="11240"/>
          </w:cols>
          <w:pgMar w:left="320" w:top="715" w:right="339" w:bottom="1440" w:gutter="0" w:footer="0" w:header="0"/>
        </w:sectPr>
      </w:pPr>
    </w:p>
    <w:bookmarkStart w:id="8" w:name="page9"/>
    <w:bookmarkEnd w:id="8"/>
    <w:p>
      <w:pPr>
        <w:ind w:left="920"/>
        <w:spacing w:after="0"/>
        <w:tabs>
          <w:tab w:leader="none" w:pos="146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7"/>
          <w:szCs w:val="17"/>
          <w:color w:val="auto"/>
        </w:rPr>
        <w:t>Citizenship:</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CastleKnight Master Fund LP – Cayman Islands</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CastleKnight Fund GP LLC – Delaware</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CastleKnight Management LP – Delaware</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CastleKnight Management GP LLC – Delaware</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Weitman Capital LLC – New Jersey</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Aaron Weitman –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5715</wp:posOffset>
            </wp:positionV>
            <wp:extent cx="61976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97600" cy="8890"/>
                    </a:xfrm>
                    <a:prstGeom prst="rect">
                      <a:avLst/>
                    </a:prstGeom>
                    <a:noFill/>
                  </pic:spPr>
                </pic:pic>
              </a:graphicData>
            </a:graphic>
          </wp:anchor>
        </w:drawing>
      </w:r>
    </w:p>
    <w:p>
      <w:pPr>
        <w:spacing w:after="0" w:line="200" w:lineRule="exact"/>
        <w:rPr>
          <w:sz w:val="20"/>
          <w:szCs w:val="20"/>
          <w:color w:val="auto"/>
        </w:rPr>
      </w:pPr>
    </w:p>
    <w:p>
      <w:pPr>
        <w:ind w:left="920"/>
        <w:spacing w:after="0"/>
        <w:tabs>
          <w:tab w:leader="none" w:pos="146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Title of class of securities:</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Common Stock, par value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17145</wp:posOffset>
            </wp:positionV>
            <wp:extent cx="6197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19" w:lineRule="exact"/>
        <w:rPr>
          <w:sz w:val="20"/>
          <w:szCs w:val="20"/>
          <w:color w:val="auto"/>
        </w:rPr>
      </w:pPr>
    </w:p>
    <w:p>
      <w:pPr>
        <w:jc w:val="right"/>
        <w:ind w:right="8760"/>
        <w:spacing w:after="0"/>
        <w:tabs>
          <w:tab w:leader="none" w:pos="9600" w:val="left"/>
        </w:tabs>
        <w:rPr>
          <w:sz w:val="20"/>
          <w:szCs w:val="20"/>
          <w:color w:val="auto"/>
        </w:rPr>
      </w:pPr>
      <w:r>
        <w:rPr>
          <w:rFonts w:ascii="Times New Roman" w:cs="Times New Roman" w:eastAsia="Times New Roman" w:hAnsi="Times New Roman"/>
          <w:sz w:val="18"/>
          <w:szCs w:val="18"/>
          <w:color w:val="auto"/>
        </w:rPr>
        <w:t>(e).</w:t>
      </w:r>
      <w:r>
        <w:rPr>
          <w:sz w:val="20"/>
          <w:szCs w:val="20"/>
          <w:color w:val="auto"/>
        </w:rPr>
        <w:tab/>
      </w:r>
      <w:r>
        <w:rPr>
          <w:rFonts w:ascii="Times New Roman" w:cs="Times New Roman" w:eastAsia="Times New Roman" w:hAnsi="Times New Roman"/>
          <w:sz w:val="17"/>
          <w:szCs w:val="17"/>
          <w:color w:val="auto"/>
        </w:rPr>
        <w:t>CUSIP No.:</w:t>
      </w:r>
    </w:p>
    <w:p>
      <w:pPr>
        <w:spacing w:after="0" w:line="225" w:lineRule="exact"/>
        <w:rPr>
          <w:sz w:val="20"/>
          <w:szCs w:val="20"/>
          <w:color w:val="auto"/>
        </w:rPr>
      </w:pPr>
    </w:p>
    <w:p>
      <w:pPr>
        <w:jc w:val="right"/>
        <w:ind w:right="8740"/>
        <w:spacing w:after="0"/>
        <w:rPr>
          <w:sz w:val="20"/>
          <w:szCs w:val="20"/>
          <w:color w:val="auto"/>
        </w:rPr>
      </w:pPr>
      <w:r>
        <w:rPr>
          <w:rFonts w:ascii="Times New Roman" w:cs="Times New Roman" w:eastAsia="Times New Roman" w:hAnsi="Times New Roman"/>
          <w:sz w:val="18"/>
          <w:szCs w:val="18"/>
          <w:color w:val="auto"/>
        </w:rPr>
        <w:t>45784M108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17145</wp:posOffset>
            </wp:positionV>
            <wp:extent cx="6197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If This Statement is filed pursuant to §§.240.13d-1(b) or 240.13d-2(b), or (c), check whether the person filing is a</w:t>
      </w:r>
    </w:p>
    <w:p>
      <w:pPr>
        <w:spacing w:after="0" w:line="252" w:lineRule="exact"/>
        <w:rPr>
          <w:sz w:val="20"/>
          <w:szCs w:val="20"/>
          <w:color w:val="auto"/>
        </w:rPr>
      </w:pPr>
    </w:p>
    <w:p>
      <w:pPr>
        <w:ind w:left="1580" w:hanging="668"/>
        <w:spacing w:after="0"/>
        <w:tabs>
          <w:tab w:leader="none" w:pos="1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1580" w:hanging="668"/>
        <w:spacing w:after="0"/>
        <w:tabs>
          <w:tab w:leader="none" w:pos="1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1580" w:hanging="668"/>
        <w:spacing w:after="0"/>
        <w:tabs>
          <w:tab w:leader="none" w:pos="1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1580" w:hanging="668"/>
        <w:spacing w:after="0"/>
        <w:tabs>
          <w:tab w:leader="none" w:pos="1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1580" w:hanging="668"/>
        <w:spacing w:after="0"/>
        <w:tabs>
          <w:tab w:leader="none" w:pos="1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An investment adviser in accordance with § 240.13d-1(b)(1)(ii)(E);</w:t>
      </w:r>
    </w:p>
    <w:p>
      <w:pPr>
        <w:spacing w:after="0" w:line="225" w:lineRule="exact"/>
        <w:rPr>
          <w:rFonts w:ascii="Times New Roman" w:cs="Times New Roman" w:eastAsia="Times New Roman" w:hAnsi="Times New Roman"/>
          <w:sz w:val="18"/>
          <w:szCs w:val="18"/>
          <w:color w:val="auto"/>
        </w:rPr>
      </w:pPr>
    </w:p>
    <w:p>
      <w:pPr>
        <w:ind w:left="1580" w:hanging="668"/>
        <w:spacing w:after="0"/>
        <w:tabs>
          <w:tab w:leader="none" w:pos="1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An employee benefit plan or endowment fund in accordance with § 240.13d-1(b)(1)(ii)(F);</w:t>
      </w:r>
    </w:p>
    <w:p>
      <w:pPr>
        <w:spacing w:after="0" w:line="225" w:lineRule="exact"/>
        <w:rPr>
          <w:rFonts w:ascii="Times New Roman" w:cs="Times New Roman" w:eastAsia="Times New Roman" w:hAnsi="Times New Roman"/>
          <w:sz w:val="18"/>
          <w:szCs w:val="18"/>
          <w:color w:val="auto"/>
        </w:rPr>
      </w:pPr>
    </w:p>
    <w:p>
      <w:pPr>
        <w:ind w:left="1580" w:hanging="668"/>
        <w:spacing w:after="0"/>
        <w:tabs>
          <w:tab w:leader="none" w:pos="1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1580" w:hanging="668"/>
        <w:spacing w:after="0"/>
        <w:tabs>
          <w:tab w:leader="none" w:pos="1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 savings association as defined in Section 3(b) of the Federal Deposit Insurance Act (12 U.S.C.1813);</w:t>
      </w:r>
    </w:p>
    <w:p>
      <w:pPr>
        <w:spacing w:after="0" w:line="225" w:lineRule="exact"/>
        <w:rPr>
          <w:rFonts w:ascii="Times New Roman" w:cs="Times New Roman" w:eastAsia="Times New Roman" w:hAnsi="Times New Roman"/>
          <w:sz w:val="18"/>
          <w:szCs w:val="18"/>
          <w:color w:val="auto"/>
        </w:rPr>
      </w:pPr>
    </w:p>
    <w:p>
      <w:pPr>
        <w:ind w:left="2040" w:right="580" w:hanging="1128"/>
        <w:spacing w:after="0" w:line="282" w:lineRule="auto"/>
        <w:tabs>
          <w:tab w:leader="none" w:pos="15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 church plan that is excluded from the definition of an investment company under section 3(c)(14) of the Investment Company Act of 1940 (15 U.S.C. 80a-3);</w:t>
      </w:r>
    </w:p>
    <w:p>
      <w:pPr>
        <w:spacing w:after="0" w:line="161" w:lineRule="exact"/>
        <w:rPr>
          <w:rFonts w:ascii="Times New Roman" w:cs="Times New Roman" w:eastAsia="Times New Roman" w:hAnsi="Times New Roman"/>
          <w:sz w:val="18"/>
          <w:szCs w:val="18"/>
          <w:color w:val="auto"/>
        </w:rPr>
      </w:pPr>
    </w:p>
    <w:p>
      <w:pPr>
        <w:ind w:left="1580" w:hanging="668"/>
        <w:spacing w:after="0"/>
        <w:tabs>
          <w:tab w:leader="none" w:pos="1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 non-U.S. institution in accordance with §240.13d-1(b)(1)(ii)(J);</w:t>
      </w:r>
    </w:p>
    <w:p>
      <w:pPr>
        <w:spacing w:after="0" w:line="225" w:lineRule="exact"/>
        <w:rPr>
          <w:rFonts w:ascii="Times New Roman" w:cs="Times New Roman" w:eastAsia="Times New Roman" w:hAnsi="Times New Roman"/>
          <w:sz w:val="18"/>
          <w:szCs w:val="18"/>
          <w:color w:val="auto"/>
        </w:rPr>
      </w:pPr>
    </w:p>
    <w:p>
      <w:pPr>
        <w:ind w:left="2040" w:hanging="1128"/>
        <w:spacing w:after="0" w:line="282" w:lineRule="auto"/>
        <w:tabs>
          <w:tab w:leader="none" w:pos="15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Group, in accordance with §240.13d-1(b)(1)(ii)(K). If filing as a non-U.S. institution in accordance with §240.13d-1(b)(1)(ii) (J), please specify the type of institution:</w:t>
      </w:r>
    </w:p>
    <w:p>
      <w:pPr>
        <w:sectPr>
          <w:pgSz w:w="11900" w:h="16838" w:orient="portrait"/>
          <w:cols w:equalWidth="0" w:num="1">
            <w:col w:w="11100"/>
          </w:cols>
          <w:pgMar w:left="320" w:top="688" w:right="479" w:bottom="1440" w:gutter="0" w:footer="0" w:header="0"/>
        </w:sectPr>
      </w:pPr>
    </w:p>
    <w:bookmarkStart w:id="9" w:name="page10"/>
    <w:bookmarkEnd w:id="9"/>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color w:val="auto"/>
        </w:rPr>
        <w:t>Ownership.</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480" w:hanging="568"/>
        <w:spacing w:after="0"/>
        <w:tabs>
          <w:tab w:leader="none" w:pos="1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1480" w:right="62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CastleKnight Master Fund LP – 3,953,354 CastleKnight Fund GP LLC – 3,953,354 CastleKnight Management LP – 3,953,354 CastleKnight Management GP LLC – 3,953,354 Weitman Capital LLC – 3,953,354</w:t>
      </w:r>
    </w:p>
    <w:p>
      <w:pPr>
        <w:spacing w:after="0" w:line="3"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Aaron Weitman – 3,953,354</w:t>
      </w:r>
    </w:p>
    <w:p>
      <w:pPr>
        <w:spacing w:after="0" w:line="220" w:lineRule="exact"/>
        <w:rPr>
          <w:rFonts w:ascii="Times New Roman" w:cs="Times New Roman" w:eastAsia="Times New Roman" w:hAnsi="Times New Roman"/>
          <w:sz w:val="18"/>
          <w:szCs w:val="18"/>
          <w:color w:val="auto"/>
        </w:rPr>
      </w:pPr>
    </w:p>
    <w:p>
      <w:pPr>
        <w:ind w:left="1480" w:hanging="568"/>
        <w:spacing w:after="0"/>
        <w:tabs>
          <w:tab w:leader="none" w:pos="1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1480" w:right="65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CastleKnight Master Fund LP – 7.39% CastleKnight Fund GP LLC – 7.39% CastleKnight Management LP – 7.39% CastleKnight Management GP LLC – 7.39% Weitman Capital LLC – 7.39%</w:t>
      </w:r>
    </w:p>
    <w:p>
      <w:pPr>
        <w:spacing w:after="0" w:line="3"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Aaron Weitman – 7.39%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-1236345</wp:posOffset>
            </wp:positionV>
            <wp:extent cx="61976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5715</wp:posOffset>
            </wp:positionV>
            <wp:extent cx="61976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00" w:lineRule="exact"/>
        <w:rPr>
          <w:sz w:val="20"/>
          <w:szCs w:val="20"/>
          <w:color w:val="auto"/>
        </w:rPr>
      </w:pPr>
    </w:p>
    <w:p>
      <w:pPr>
        <w:ind w:left="1480" w:hanging="523"/>
        <w:spacing w:after="0"/>
        <w:tabs>
          <w:tab w:leader="none" w:pos="1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CastleKnight Master Fund LP has:</w:t>
      </w:r>
    </w:p>
    <w:p>
      <w:pPr>
        <w:spacing w:after="0" w:line="225" w:lineRule="exact"/>
        <w:rPr>
          <w:sz w:val="20"/>
          <w:szCs w:val="20"/>
          <w:color w:val="auto"/>
        </w:rPr>
      </w:pPr>
    </w:p>
    <w:tbl>
      <w:tblPr>
        <w:tblLayout w:type="fixed"/>
        <w:tblInd w:w="148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power to vote or to direct the vote</w:t>
            </w:r>
          </w:p>
        </w:tc>
        <w:tc>
          <w:tcPr>
            <w:tcW w:w="2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3,953,354</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power to dispose or to direct the disposition of</w:t>
            </w:r>
          </w:p>
        </w:tc>
        <w:tc>
          <w:tcPr>
            <w:tcW w:w="2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45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w:t>
            </w:r>
          </w:p>
        </w:tc>
        <w:tc>
          <w:tcPr>
            <w:tcW w:w="2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3,953,354  .</w:t>
            </w:r>
          </w:p>
        </w:tc>
      </w:tr>
      <w:tr>
        <w:trPr>
          <w:trHeight w:val="20"/>
        </w:trPr>
        <w:tc>
          <w:tcPr>
            <w:tcW w:w="3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Number of shares as to which CastleKnight Fund GP LLC has:</w:t>
      </w:r>
    </w:p>
    <w:p>
      <w:pPr>
        <w:spacing w:after="0" w:line="225" w:lineRule="exact"/>
        <w:rPr>
          <w:sz w:val="20"/>
          <w:szCs w:val="20"/>
          <w:color w:val="auto"/>
        </w:rPr>
      </w:pPr>
    </w:p>
    <w:tbl>
      <w:tblPr>
        <w:tblLayout w:type="fixed"/>
        <w:tblInd w:w="148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power to vote or to direct the vote</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3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3,953,354,</w:t>
            </w:r>
          </w:p>
        </w:tc>
      </w:tr>
      <w:tr>
        <w:trPr>
          <w:trHeight w:val="20"/>
        </w:trPr>
        <w:tc>
          <w:tcPr>
            <w:tcW w:w="3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power to dispose or to direct the disposition of</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3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3,953,354.</w:t>
            </w:r>
          </w:p>
        </w:tc>
      </w:tr>
      <w:tr>
        <w:trPr>
          <w:trHeight w:val="20"/>
        </w:trPr>
        <w:tc>
          <w:tcPr>
            <w:tcW w:w="3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Number of shares to which CastleKnight Management LP has:</w:t>
      </w:r>
    </w:p>
    <w:p>
      <w:pPr>
        <w:spacing w:after="0" w:line="225" w:lineRule="exact"/>
        <w:rPr>
          <w:sz w:val="20"/>
          <w:szCs w:val="20"/>
          <w:color w:val="auto"/>
        </w:rPr>
      </w:pPr>
    </w:p>
    <w:tbl>
      <w:tblPr>
        <w:tblLayout w:type="fixed"/>
        <w:tblInd w:w="148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power to vote or to direct the vote</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3,953,354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power to dispose or to direct the disposition of</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w:t>
            </w:r>
          </w:p>
        </w:tc>
        <w:tc>
          <w:tcPr>
            <w:tcW w:w="2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3,953,354.</w:t>
            </w:r>
          </w:p>
        </w:tc>
        <w:tc>
          <w:tcPr>
            <w:tcW w:w="10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240"/>
          </w:cols>
          <w:pgMar w:left="320" w:top="904" w:right="339" w:bottom="1440" w:gutter="0" w:footer="0" w:header="0"/>
        </w:sectPr>
      </w:pPr>
    </w:p>
    <w:bookmarkStart w:id="10" w:name="page11"/>
    <w:bookmarkEnd w:id="10"/>
    <w:p>
      <w:pPr>
        <w:ind w:left="1480"/>
        <w:spacing w:after="0"/>
        <w:rPr>
          <w:sz w:val="20"/>
          <w:szCs w:val="20"/>
          <w:color w:val="auto"/>
        </w:rPr>
      </w:pPr>
      <w:r>
        <w:rPr>
          <w:rFonts w:ascii="Times New Roman" w:cs="Times New Roman" w:eastAsia="Times New Roman" w:hAnsi="Times New Roman"/>
          <w:sz w:val="18"/>
          <w:szCs w:val="18"/>
          <w:color w:val="auto"/>
        </w:rPr>
        <w:t>Number of shares to which CastleKnight Management GP LLC has:</w:t>
      </w:r>
    </w:p>
    <w:p>
      <w:pPr>
        <w:spacing w:after="0" w:line="225" w:lineRule="exact"/>
        <w:rPr>
          <w:sz w:val="20"/>
          <w:szCs w:val="20"/>
          <w:color w:val="auto"/>
        </w:rPr>
      </w:pPr>
    </w:p>
    <w:tbl>
      <w:tblPr>
        <w:tblLayout w:type="fixed"/>
        <w:tblInd w:w="148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power to vote or to direct the vote</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3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3,953,354,</w:t>
            </w:r>
          </w:p>
        </w:tc>
      </w:tr>
      <w:tr>
        <w:trPr>
          <w:trHeight w:val="20"/>
        </w:trPr>
        <w:tc>
          <w:tcPr>
            <w:tcW w:w="3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power to dispose or to direct the disposition of</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3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3,953,354.</w:t>
            </w:r>
          </w:p>
        </w:tc>
      </w:tr>
      <w:tr>
        <w:trPr>
          <w:trHeight w:val="20"/>
        </w:trPr>
        <w:tc>
          <w:tcPr>
            <w:tcW w:w="3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Number of shares to which Weitman Capital LLC has:</w:t>
      </w:r>
    </w:p>
    <w:p>
      <w:pPr>
        <w:spacing w:after="0" w:line="252" w:lineRule="exact"/>
        <w:rPr>
          <w:sz w:val="20"/>
          <w:szCs w:val="20"/>
          <w:color w:val="auto"/>
        </w:rPr>
      </w:pPr>
    </w:p>
    <w:tbl>
      <w:tblPr>
        <w:tblLayout w:type="fixed"/>
        <w:tblInd w:w="1480" w:type="dxa"/>
        <w:tblCellMar>
          <w:top w:w="0" w:type="dxa"/>
          <w:left w:w="0" w:type="dxa"/>
          <w:bottom w:w="0" w:type="dxa"/>
          <w:right w:w="0" w:type="dxa"/>
        </w:tblCellMar>
      </w:tblPr>
      <w:tr>
        <w:trPr>
          <w:trHeight w:val="241"/>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power to vote or to direct the vote</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3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3,953,354,</w:t>
            </w:r>
          </w:p>
        </w:tc>
      </w:tr>
      <w:tr>
        <w:trPr>
          <w:trHeight w:val="20"/>
        </w:trPr>
        <w:tc>
          <w:tcPr>
            <w:tcW w:w="3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power to dispose or to direct the disposition of</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3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3,953,354.</w:t>
            </w:r>
          </w:p>
        </w:tc>
      </w:tr>
      <w:tr>
        <w:trPr>
          <w:trHeight w:val="20"/>
        </w:trPr>
        <w:tc>
          <w:tcPr>
            <w:tcW w:w="3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Number of shares to which Aaron Weitman has:</w:t>
      </w:r>
    </w:p>
    <w:p>
      <w:pPr>
        <w:spacing w:after="0" w:line="225" w:lineRule="exact"/>
        <w:rPr>
          <w:sz w:val="20"/>
          <w:szCs w:val="20"/>
          <w:color w:val="auto"/>
        </w:rPr>
      </w:pPr>
    </w:p>
    <w:tbl>
      <w:tblPr>
        <w:tblLayout w:type="fixed"/>
        <w:tblInd w:w="148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power to vote or to direct the vote</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3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3,953,354,</w:t>
            </w:r>
          </w:p>
        </w:tc>
      </w:tr>
      <w:tr>
        <w:trPr>
          <w:trHeight w:val="20"/>
        </w:trPr>
        <w:tc>
          <w:tcPr>
            <w:tcW w:w="3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power to dispose or to direct the disposition of</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3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3,953,354.</w:t>
            </w:r>
          </w:p>
        </w:tc>
      </w:tr>
      <w:tr>
        <w:trPr>
          <w:trHeight w:val="20"/>
        </w:trPr>
        <w:tc>
          <w:tcPr>
            <w:tcW w:w="3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Ownership of Five Percent or Less of a Class.</w:t>
      </w:r>
    </w:p>
    <w:p>
      <w:pPr>
        <w:spacing w:after="0" w:line="27" w:lineRule="exact"/>
        <w:rPr>
          <w:sz w:val="20"/>
          <w:szCs w:val="20"/>
          <w:color w:val="auto"/>
        </w:rPr>
      </w:pPr>
    </w:p>
    <w:p>
      <w:pPr>
        <w:jc w:val="both"/>
        <w:ind w:left="1020" w:right="160"/>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64890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1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25" w:lineRule="exact"/>
        <w:rPr>
          <w:sz w:val="20"/>
          <w:szCs w:val="20"/>
          <w:color w:val="auto"/>
        </w:rPr>
      </w:pPr>
    </w:p>
    <w:p>
      <w:pPr>
        <w:ind w:left="1020"/>
        <w:spacing w:after="0" w:line="261" w:lineRule="auto"/>
        <w:rPr>
          <w:sz w:val="20"/>
          <w:szCs w:val="20"/>
          <w:color w:val="auto"/>
        </w:rPr>
      </w:pPr>
      <w:r>
        <w:rPr>
          <w:rFonts w:ascii="Times New Roman" w:cs="Times New Roman" w:eastAsia="Times New Roman" w:hAnsi="Times New Roman"/>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64890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11" w:name="page12"/>
    <w:bookmarkEnd w:id="11"/>
    <w:p>
      <w:pPr>
        <w:ind w:left="1020" w:right="520" w:hanging="1011"/>
        <w:spacing w:after="0" w:line="282" w:lineRule="auto"/>
        <w:tabs>
          <w:tab w:leader="none" w:pos="10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 Person.</w:t>
      </w:r>
    </w:p>
    <w:p>
      <w:pPr>
        <w:spacing w:after="0" w:line="162" w:lineRule="exact"/>
        <w:rPr>
          <w:sz w:val="20"/>
          <w:szCs w:val="20"/>
          <w:color w:val="auto"/>
        </w:rPr>
      </w:pPr>
    </w:p>
    <w:p>
      <w:pPr>
        <w:jc w:val="both"/>
        <w:ind w:left="1020" w:right="260"/>
        <w:spacing w:after="0" w:line="266" w:lineRule="auto"/>
        <w:rPr>
          <w:sz w:val="20"/>
          <w:szCs w:val="20"/>
          <w:color w:val="auto"/>
        </w:rPr>
      </w:pPr>
      <w:r>
        <w:rPr>
          <w:rFonts w:ascii="Times New Roman" w:cs="Times New Roman" w:eastAsia="Times New Roman" w:hAnsi="Times New Roman"/>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64890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1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25" w:lineRule="exact"/>
        <w:rPr>
          <w:sz w:val="20"/>
          <w:szCs w:val="20"/>
          <w:color w:val="auto"/>
        </w:rPr>
      </w:pPr>
    </w:p>
    <w:p>
      <w:pPr>
        <w:ind w:left="1020" w:right="100"/>
        <w:spacing w:after="0" w:line="266" w:lineRule="auto"/>
        <w:rPr>
          <w:sz w:val="20"/>
          <w:szCs w:val="20"/>
          <w:color w:val="auto"/>
        </w:rPr>
      </w:pPr>
      <w:r>
        <w:rPr>
          <w:rFonts w:ascii="Times New Roman" w:cs="Times New Roman" w:eastAsia="Times New Roman" w:hAnsi="Times New Roman"/>
          <w:sz w:val="18"/>
          <w:szCs w:val="18"/>
          <w:color w:val="auto"/>
        </w:rPr>
        <w:t>If a group has filed this schedule pursuant to §240.13d-1(b)(1)(ii)(J),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64890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1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Notice of Dissolution of Group.</w:t>
      </w:r>
    </w:p>
    <w:p>
      <w:pPr>
        <w:spacing w:after="0" w:line="225" w:lineRule="exact"/>
        <w:rPr>
          <w:sz w:val="20"/>
          <w:szCs w:val="20"/>
          <w:color w:val="auto"/>
        </w:rPr>
      </w:pPr>
    </w:p>
    <w:p>
      <w:pPr>
        <w:ind w:left="1020" w:right="260"/>
        <w:spacing w:after="0" w:line="282" w:lineRule="auto"/>
        <w:rPr>
          <w:sz w:val="20"/>
          <w:szCs w:val="20"/>
          <w:color w:val="auto"/>
        </w:rPr>
      </w:pPr>
      <w:r>
        <w:rPr>
          <w:rFonts w:ascii="Times New Roman" w:cs="Times New Roman" w:eastAsia="Times New Roman" w:hAnsi="Times New Roman"/>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64890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1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ind w:left="102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240"/>
          </w:cols>
          <w:pgMar w:left="320" w:top="904" w:right="339"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November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17145</wp:posOffset>
            </wp:positionV>
            <wp:extent cx="18516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CASTLEKNIGHT MASTER FUND LP</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By: CastleKnight Fund GP LLC, its general partner</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By: Weitman Capital LLC, its managing member</w:t>
      </w:r>
    </w:p>
    <w:p>
      <w:pPr>
        <w:spacing w:after="0" w:line="207" w:lineRule="exact"/>
        <w:rPr>
          <w:sz w:val="20"/>
          <w:szCs w:val="20"/>
          <w:color w:val="auto"/>
        </w:rPr>
      </w:pPr>
    </w:p>
    <w:tbl>
      <w:tblPr>
        <w:tblLayout w:type="fixed"/>
        <w:tblInd w:w="652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Aaron Weitman</w:t>
            </w:r>
          </w:p>
        </w:tc>
      </w:tr>
      <w:tr>
        <w:trPr>
          <w:trHeight w:val="191"/>
        </w:trPr>
        <w:tc>
          <w:tcPr>
            <w:tcW w:w="1020" w:type="dxa"/>
            <w:vAlign w:val="bottom"/>
          </w:tcPr>
          <w:p>
            <w:pPr>
              <w:spacing w:after="0"/>
              <w:rPr>
                <w:sz w:val="16"/>
                <w:szCs w:val="16"/>
                <w:color w:val="auto"/>
              </w:rPr>
            </w:pPr>
          </w:p>
        </w:tc>
        <w:tc>
          <w:tcPr>
            <w:tcW w:w="2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Aaron Weitman</w:t>
            </w:r>
          </w:p>
        </w:tc>
      </w:tr>
      <w:tr>
        <w:trPr>
          <w:trHeight w:val="234"/>
        </w:trPr>
        <w:tc>
          <w:tcPr>
            <w:tcW w:w="102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CASTLEKNIGHT FUND GP LLC</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By: Weitman Capital LLC, its managing member</w:t>
      </w:r>
    </w:p>
    <w:p>
      <w:pPr>
        <w:spacing w:after="0" w:line="207" w:lineRule="exact"/>
        <w:rPr>
          <w:sz w:val="20"/>
          <w:szCs w:val="20"/>
          <w:color w:val="auto"/>
        </w:rPr>
      </w:pPr>
    </w:p>
    <w:tbl>
      <w:tblPr>
        <w:tblLayout w:type="fixed"/>
        <w:tblInd w:w="652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Aaron Weitman</w:t>
            </w:r>
          </w:p>
        </w:tc>
      </w:tr>
      <w:tr>
        <w:trPr>
          <w:trHeight w:val="191"/>
        </w:trPr>
        <w:tc>
          <w:tcPr>
            <w:tcW w:w="1020" w:type="dxa"/>
            <w:vAlign w:val="bottom"/>
          </w:tcPr>
          <w:p>
            <w:pPr>
              <w:spacing w:after="0"/>
              <w:rPr>
                <w:sz w:val="16"/>
                <w:szCs w:val="16"/>
                <w:color w:val="auto"/>
              </w:rPr>
            </w:pPr>
          </w:p>
        </w:tc>
        <w:tc>
          <w:tcPr>
            <w:tcW w:w="2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Aaron Weitman</w:t>
            </w:r>
          </w:p>
        </w:tc>
      </w:tr>
      <w:tr>
        <w:trPr>
          <w:trHeight w:val="234"/>
        </w:trPr>
        <w:tc>
          <w:tcPr>
            <w:tcW w:w="102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CASTLEKNIGHT MANAGEMENT LP</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By: CastleKnight Management GP LLC,</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By: Weitman Capital LLC, its managing member</w:t>
      </w:r>
    </w:p>
    <w:p>
      <w:pPr>
        <w:spacing w:after="0" w:line="207" w:lineRule="exact"/>
        <w:rPr>
          <w:sz w:val="20"/>
          <w:szCs w:val="20"/>
          <w:color w:val="auto"/>
        </w:rPr>
      </w:pPr>
    </w:p>
    <w:tbl>
      <w:tblPr>
        <w:tblLayout w:type="fixed"/>
        <w:tblInd w:w="652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Aaron Weitman</w:t>
            </w:r>
          </w:p>
        </w:tc>
      </w:tr>
      <w:tr>
        <w:trPr>
          <w:trHeight w:val="191"/>
        </w:trPr>
        <w:tc>
          <w:tcPr>
            <w:tcW w:w="1020" w:type="dxa"/>
            <w:vAlign w:val="bottom"/>
          </w:tcPr>
          <w:p>
            <w:pPr>
              <w:spacing w:after="0"/>
              <w:rPr>
                <w:sz w:val="16"/>
                <w:szCs w:val="16"/>
                <w:color w:val="auto"/>
              </w:rPr>
            </w:pPr>
          </w:p>
        </w:tc>
        <w:tc>
          <w:tcPr>
            <w:tcW w:w="2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Aaron Weitman</w:t>
            </w:r>
          </w:p>
        </w:tc>
      </w:tr>
      <w:tr>
        <w:trPr>
          <w:trHeight w:val="234"/>
        </w:trPr>
        <w:tc>
          <w:tcPr>
            <w:tcW w:w="102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8"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CASTLEKNIGHT MANAGEMENT GP LLC</w:t>
      </w:r>
    </w:p>
    <w:p>
      <w:pPr>
        <w:spacing w:after="0" w:line="2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By: Weitman Capital LLC, its managing member</w:t>
      </w:r>
    </w:p>
    <w:p>
      <w:pPr>
        <w:spacing w:after="0" w:line="207" w:lineRule="exact"/>
        <w:rPr>
          <w:sz w:val="20"/>
          <w:szCs w:val="20"/>
          <w:color w:val="auto"/>
        </w:rPr>
      </w:pPr>
    </w:p>
    <w:tbl>
      <w:tblPr>
        <w:tblLayout w:type="fixed"/>
        <w:tblInd w:w="664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Aaron Weitman</w:t>
            </w:r>
          </w:p>
        </w:tc>
      </w:tr>
      <w:tr>
        <w:trPr>
          <w:trHeight w:val="191"/>
        </w:trPr>
        <w:tc>
          <w:tcPr>
            <w:tcW w:w="1000" w:type="dxa"/>
            <w:vAlign w:val="bottom"/>
          </w:tcPr>
          <w:p>
            <w:pPr>
              <w:spacing w:after="0"/>
              <w:rPr>
                <w:sz w:val="16"/>
                <w:szCs w:val="16"/>
                <w:color w:val="auto"/>
              </w:rPr>
            </w:pPr>
          </w:p>
        </w:tc>
        <w:tc>
          <w:tcPr>
            <w:tcW w:w="2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Aaron Weitman</w:t>
            </w:r>
          </w:p>
        </w:tc>
      </w:tr>
      <w:tr>
        <w:trPr>
          <w:trHeight w:val="234"/>
        </w:trPr>
        <w:tc>
          <w:tcPr>
            <w:tcW w:w="100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59"/>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WEITMAN CAPITAL LLC</w:t>
            </w:r>
          </w:p>
        </w:tc>
      </w:tr>
      <w:tr>
        <w:trPr>
          <w:trHeight w:val="45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Aaron Weitman</w:t>
            </w:r>
          </w:p>
        </w:tc>
      </w:tr>
      <w:tr>
        <w:trPr>
          <w:trHeight w:val="191"/>
        </w:trPr>
        <w:tc>
          <w:tcPr>
            <w:tcW w:w="1000" w:type="dxa"/>
            <w:vAlign w:val="bottom"/>
          </w:tcPr>
          <w:p>
            <w:pPr>
              <w:spacing w:after="0"/>
              <w:rPr>
                <w:sz w:val="16"/>
                <w:szCs w:val="16"/>
                <w:color w:val="auto"/>
              </w:rPr>
            </w:pPr>
          </w:p>
        </w:tc>
        <w:tc>
          <w:tcPr>
            <w:tcW w:w="2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Aaron Weitman</w:t>
            </w:r>
          </w:p>
        </w:tc>
      </w:tr>
      <w:tr>
        <w:trPr>
          <w:trHeight w:val="234"/>
        </w:trPr>
        <w:tc>
          <w:tcPr>
            <w:tcW w:w="100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AARON WEITMAN</w:t>
      </w:r>
    </w:p>
    <w:p>
      <w:pPr>
        <w:spacing w:after="0" w:line="22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 Aaron Weitman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5717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s.240.13d-7 for other parties for whom copies are to be sent.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Intentional misstatements or omissions of fact constitute Federal criminal violations (see 18 U.S.C. 1001).</w:t>
      </w:r>
    </w:p>
    <w:p>
      <w:pPr>
        <w:sectPr>
          <w:pgSz w:w="11900" w:h="16838" w:orient="portrait"/>
          <w:cols w:equalWidth="0" w:num="1">
            <w:col w:w="11200"/>
          </w:cols>
          <w:pgMar w:left="320" w:top="715" w:right="37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3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of the undersigned hereby consents and agrees to this joint filing to Schedule 13G for the Common Stock, par value $0.0001 per share, of Innventure, Inc.</w:t>
      </w:r>
    </w:p>
    <w:p>
      <w:pPr>
        <w:spacing w:after="0" w:line="378"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November 15, 2024</w:t>
      </w:r>
    </w:p>
    <w:p>
      <w:pPr>
        <w:spacing w:after="0" w:line="3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-127635</wp:posOffset>
            </wp:positionV>
            <wp:extent cx="18605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60550" cy="8255"/>
                    </a:xfrm>
                    <a:prstGeom prst="rect">
                      <a:avLst/>
                    </a:prstGeom>
                    <a:noFill/>
                  </pic:spPr>
                </pic:pic>
              </a:graphicData>
            </a:graphic>
          </wp:anchor>
        </w:drawing>
      </w:r>
    </w:p>
    <w:p>
      <w:pPr>
        <w:spacing w:after="0" w:line="25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CASTLEKNIGHT MASTER FUND LP</w:t>
      </w:r>
    </w:p>
    <w:p>
      <w:pPr>
        <w:spacing w:after="0" w:line="2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By: CastleKnight Fund GP LLC, its general partner</w:t>
      </w:r>
    </w:p>
    <w:p>
      <w:pPr>
        <w:spacing w:after="0" w:line="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By: Weitman Capital LLC, its managing member</w:t>
      </w:r>
    </w:p>
    <w:p>
      <w:pPr>
        <w:spacing w:after="0" w:line="207" w:lineRule="exact"/>
        <w:rPr>
          <w:sz w:val="20"/>
          <w:szCs w:val="20"/>
          <w:color w:val="auto"/>
        </w:rPr>
      </w:pPr>
    </w:p>
    <w:tbl>
      <w:tblPr>
        <w:tblLayout w:type="fixed"/>
        <w:tblInd w:w="664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Aaron Weitman</w:t>
            </w:r>
          </w:p>
        </w:tc>
      </w:tr>
      <w:tr>
        <w:trPr>
          <w:trHeight w:val="191"/>
        </w:trPr>
        <w:tc>
          <w:tcPr>
            <w:tcW w:w="900" w:type="dxa"/>
            <w:vAlign w:val="bottom"/>
          </w:tcPr>
          <w:p>
            <w:pPr>
              <w:spacing w:after="0"/>
              <w:rPr>
                <w:sz w:val="16"/>
                <w:szCs w:val="16"/>
                <w:color w:val="auto"/>
              </w:rPr>
            </w:pPr>
          </w:p>
        </w:tc>
        <w:tc>
          <w:tcPr>
            <w:tcW w:w="2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Aaron Weitman</w:t>
            </w:r>
          </w:p>
        </w:tc>
      </w:tr>
      <w:tr>
        <w:trPr>
          <w:trHeight w:val="234"/>
        </w:trPr>
        <w:tc>
          <w:tcPr>
            <w:tcW w:w="9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8"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CASTLEKNIGHT FUND GP LLC</w:t>
      </w:r>
    </w:p>
    <w:p>
      <w:pPr>
        <w:spacing w:after="0" w:line="2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By: Weitman Capital LLC, its managing member</w:t>
      </w:r>
    </w:p>
    <w:p>
      <w:pPr>
        <w:spacing w:after="0" w:line="234" w:lineRule="exact"/>
        <w:rPr>
          <w:sz w:val="20"/>
          <w:szCs w:val="20"/>
          <w:color w:val="auto"/>
        </w:rPr>
      </w:pPr>
    </w:p>
    <w:tbl>
      <w:tblPr>
        <w:tblLayout w:type="fixed"/>
        <w:tblInd w:w="664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Aaron Weitman</w:t>
            </w:r>
          </w:p>
        </w:tc>
      </w:tr>
      <w:tr>
        <w:trPr>
          <w:trHeight w:val="225"/>
        </w:trPr>
        <w:tc>
          <w:tcPr>
            <w:tcW w:w="90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Aaron Weitman</w:t>
            </w:r>
          </w:p>
        </w:tc>
      </w:tr>
      <w:tr>
        <w:trPr>
          <w:trHeight w:val="234"/>
        </w:trPr>
        <w:tc>
          <w:tcPr>
            <w:tcW w:w="90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252"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CASTLEKNIGHT MANAGEMENT LP</w:t>
      </w:r>
    </w:p>
    <w:p>
      <w:pPr>
        <w:spacing w:after="0" w:line="36"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By: CastleKnight Management GP LLC,</w:t>
      </w:r>
    </w:p>
    <w:p>
      <w:pPr>
        <w:spacing w:after="0" w:line="2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By: Weitman Capital LLC, its managing member</w:t>
      </w:r>
    </w:p>
    <w:p>
      <w:pPr>
        <w:spacing w:after="0" w:line="234" w:lineRule="exact"/>
        <w:rPr>
          <w:sz w:val="20"/>
          <w:szCs w:val="20"/>
          <w:color w:val="auto"/>
        </w:rPr>
      </w:pPr>
    </w:p>
    <w:tbl>
      <w:tblPr>
        <w:tblLayout w:type="fixed"/>
        <w:tblInd w:w="664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Aaron Weitman</w:t>
            </w:r>
          </w:p>
        </w:tc>
      </w:tr>
      <w:tr>
        <w:trPr>
          <w:trHeight w:val="225"/>
        </w:trPr>
        <w:tc>
          <w:tcPr>
            <w:tcW w:w="90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Aaron Weitman</w:t>
            </w:r>
          </w:p>
        </w:tc>
      </w:tr>
      <w:tr>
        <w:trPr>
          <w:trHeight w:val="234"/>
        </w:trPr>
        <w:tc>
          <w:tcPr>
            <w:tcW w:w="90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200" w:lineRule="exact"/>
        <w:rPr>
          <w:sz w:val="20"/>
          <w:szCs w:val="20"/>
          <w:color w:val="auto"/>
        </w:rPr>
      </w:pPr>
    </w:p>
    <w:p>
      <w:pPr>
        <w:spacing w:after="0" w:line="29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CASTLEKNIGHT MANAGEMENT GP LLC</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Weitman Capital LLC, its managing member</w:t>
      </w:r>
    </w:p>
    <w:p>
      <w:pPr>
        <w:spacing w:after="0" w:line="207"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Pr>
          <w:p>
            <w:pPr>
              <w:spacing w:after="0"/>
              <w:rPr>
                <w:sz w:val="20"/>
                <w:szCs w:val="20"/>
                <w:color w:val="auto"/>
              </w:rPr>
            </w:pPr>
          </w:p>
        </w:tc>
        <w:tc>
          <w:tcPr>
            <w:tcW w:w="2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 Aaron Weitman</w:t>
            </w:r>
          </w:p>
        </w:tc>
      </w:tr>
      <w:tr>
        <w:trPr>
          <w:trHeight w:val="191"/>
        </w:trPr>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Aaron Weitman</w:t>
            </w:r>
          </w:p>
        </w:tc>
      </w:tr>
      <w:tr>
        <w:trPr>
          <w:trHeight w:val="234"/>
        </w:trPr>
        <w:tc>
          <w:tcPr>
            <w:tcW w:w="580" w:type="dxa"/>
            <w:vAlign w:val="bottom"/>
          </w:tcPr>
          <w:p>
            <w:pPr>
              <w:spacing w:after="0"/>
              <w:rPr>
                <w:sz w:val="20"/>
                <w:szCs w:val="20"/>
                <w:color w:val="auto"/>
              </w:rPr>
            </w:pPr>
          </w:p>
        </w:tc>
        <w:tc>
          <w:tcPr>
            <w:tcW w:w="32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3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WEITMAN CAPITAL LLC</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Pr>
          <w:p>
            <w:pPr>
              <w:spacing w:after="0"/>
              <w:rPr>
                <w:sz w:val="24"/>
                <w:szCs w:val="24"/>
                <w:color w:val="auto"/>
              </w:rPr>
            </w:pPr>
          </w:p>
        </w:tc>
        <w:tc>
          <w:tcPr>
            <w:tcW w:w="2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Aaron Weitman</w:t>
            </w:r>
          </w:p>
        </w:tc>
      </w:tr>
      <w:tr>
        <w:trPr>
          <w:trHeight w:val="191"/>
        </w:trPr>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Aaron Weitman</w:t>
            </w:r>
          </w:p>
        </w:tc>
        <w:tc>
          <w:tcPr>
            <w:tcW w:w="10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32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AARON WEITMAN</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Aaron Weitman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425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sectPr>
      <w:pgSz w:w="11900" w:h="16838" w:orient="portrait"/>
      <w:cols w:equalWidth="0" w:num="1">
        <w:col w:w="11240"/>
      </w:cols>
      <w:pgMar w:left="320" w:top="7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upperLetter"/>
      <w:start w:val="24"/>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3"/>
    </w:lvl>
  </w:abstractNum>
  <w:abstractNum w:abstractNumId="4">
    <w:nsid w:val="519B500D"/>
    <w:multiLevelType w:val="hybridMultilevel"/>
    <w:lvl w:ilvl="0">
      <w:lvlJc w:val="left"/>
      <w:lvlText w:val="%1."/>
      <w:numFmt w:val="decimal"/>
      <w:start w:val="5"/>
    </w:lvl>
  </w:abstractNum>
  <w:abstractNum w:abstractNumId="5">
    <w:nsid w:val="431BD7B7"/>
    <w:multiLevelType w:val="hybridMultilevel"/>
    <w:lvl w:ilvl="0">
      <w:lvlJc w:val="left"/>
      <w:lvlText w:val="%1."/>
      <w:numFmt w:val="decimal"/>
      <w:start w:val="11"/>
    </w:lvl>
  </w:abstractNum>
  <w:abstractNum w:abstractNumId="6">
    <w:nsid w:val="3F2DBA31"/>
    <w:multiLevelType w:val="hybridMultilevel"/>
    <w:lvl w:ilvl="0">
      <w:lvlJc w:val="left"/>
      <w:lvlText w:val="1"/>
      <w:numFmt w:val="bullet"/>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3"/>
    </w:lvl>
  </w:abstractNum>
  <w:abstractNum w:abstractNumId="9">
    <w:nsid w:val="62BBD95A"/>
    <w:multiLevelType w:val="hybridMultilevel"/>
    <w:lvl w:ilvl="0">
      <w:lvlJc w:val="left"/>
      <w:lvlText w:val="%1."/>
      <w:numFmt w:val="decimal"/>
      <w:start w:val="5"/>
    </w:lvl>
  </w:abstractNum>
  <w:abstractNum w:abstractNumId="10">
    <w:nsid w:val="436C6125"/>
    <w:multiLevelType w:val="hybridMultilevel"/>
    <w:lvl w:ilvl="0">
      <w:lvlJc w:val="left"/>
      <w:lvlText w:val="%1."/>
      <w:numFmt w:val="decimal"/>
      <w:start w:val="1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3"/>
    </w:lvl>
  </w:abstractNum>
  <w:abstractNum w:abstractNumId="13">
    <w:nsid w:val="721DA317"/>
    <w:multiLevelType w:val="hybridMultilevel"/>
    <w:lvl w:ilvl="0">
      <w:lvlJc w:val="left"/>
      <w:lvlText w:val="%1."/>
      <w:numFmt w:val="decimal"/>
      <w:start w:val="5"/>
    </w:lvl>
  </w:abstractNum>
  <w:abstractNum w:abstractNumId="14">
    <w:nsid w:val="2443A858"/>
    <w:multiLevelType w:val="hybridMultilevel"/>
    <w:lvl w:ilvl="0">
      <w:lvlJc w:val="left"/>
      <w:lvlText w:val="%1."/>
      <w:numFmt w:val="decimal"/>
      <w:start w:val="1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3"/>
    </w:lvl>
  </w:abstractNum>
  <w:abstractNum w:abstractNumId="17">
    <w:nsid w:val="75A2A8D4"/>
    <w:multiLevelType w:val="hybridMultilevel"/>
    <w:lvl w:ilvl="0">
      <w:lvlJc w:val="left"/>
      <w:lvlText w:val="%1."/>
      <w:numFmt w:val="decimal"/>
      <w:start w:val="5"/>
    </w:lvl>
  </w:abstractNum>
  <w:abstractNum w:abstractNumId="18">
    <w:nsid w:val="8EDBDAB"/>
    <w:multiLevelType w:val="hybridMultilevel"/>
    <w:lvl w:ilvl="0">
      <w:lvlJc w:val="left"/>
      <w:lvlText w:val="%1."/>
      <w:numFmt w:val="decimal"/>
      <w:start w:val="1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3"/>
    </w:lvl>
  </w:abstractNum>
  <w:abstractNum w:abstractNumId="21">
    <w:nsid w:val="B03E0C6"/>
    <w:multiLevelType w:val="hybridMultilevel"/>
    <w:lvl w:ilvl="0">
      <w:lvlJc w:val="left"/>
      <w:lvlText w:val="%1."/>
      <w:numFmt w:val="decimal"/>
      <w:start w:val="5"/>
    </w:lvl>
  </w:abstractNum>
  <w:abstractNum w:abstractNumId="22">
    <w:nsid w:val="189A769B"/>
    <w:multiLevelType w:val="hybridMultilevel"/>
    <w:lvl w:ilvl="0">
      <w:lvlJc w:val="left"/>
      <w:lvlText w:val="%1."/>
      <w:numFmt w:val="decimal"/>
      <w:start w:val="1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3"/>
    </w:lvl>
  </w:abstractNum>
  <w:abstractNum w:abstractNumId="25">
    <w:nsid w:val="2CA88611"/>
    <w:multiLevelType w:val="hybridMultilevel"/>
    <w:lvl w:ilvl="0">
      <w:lvlJc w:val="left"/>
      <w:lvlText w:val="%1."/>
      <w:numFmt w:val="decimal"/>
      <w:start w:val="5"/>
    </w:lvl>
  </w:abstractNum>
  <w:abstractNum w:abstractNumId="26">
    <w:nsid w:val="836C40E"/>
    <w:multiLevelType w:val="hybridMultilevel"/>
    <w:lvl w:ilvl="0">
      <w:lvlJc w:val="left"/>
      <w:lvlText w:val="%1."/>
      <w:numFmt w:val="decimal"/>
      <w:start w:val="11"/>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lowerLetter"/>
      <w:start w:val="1"/>
    </w:lvl>
  </w:abstractNum>
  <w:abstractNum w:abstractNumId="29">
    <w:nsid w:val="8138641"/>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2024-11-15T13:36:06Z</dcterms:created>
  <dcterms:modified xsi:type="dcterms:W3CDTF">2024-11-15T13:36:06Z</dcterms:modified>
</cp:coreProperties>
</file>