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40" w:space="720"/>
            <w:col w:w="25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(321) 209-6787</w:t>
      </w:r>
    </w:p>
    <w:p>
      <w:pPr>
        <w:sectPr>
          <w:pgSz w:w="11900" w:h="16838" w:orient="portrait"/>
          <w:cols w:equalWidth="0" w:num="1">
            <w:col w:w="11240"/>
          </w:cols>
          <w:pgMar w:left="320" w:top="516" w:right="339" w:bottom="1440" w:gutter="0" w:footer="0" w:header="0"/>
          <w:type w:val="continuous"/>
        </w:sectPr>
      </w:pPr>
    </w:p>
    <w:p>
      <w:pPr>
        <w:spacing w:after="0" w:line="2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29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00" w:hanging="29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00" w:hanging="29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00" w:hanging="29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9"/>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INV</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jc w:val="center"/>
        <w:spacing w:after="0" w:line="207" w:lineRule="exact"/>
        <w:tabs>
          <w:tab w:leader="none" w:pos="2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Accelsius Holdings LLC Funding</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announced earlier today, Accelsius Holdings LLC (“</w:t>
      </w:r>
      <w:r>
        <w:rPr>
          <w:rFonts w:ascii="Times New Roman" w:cs="Times New Roman" w:eastAsia="Times New Roman" w:hAnsi="Times New Roman"/>
          <w:sz w:val="18"/>
          <w:szCs w:val="18"/>
          <w:b w:val="1"/>
          <w:bCs w:val="1"/>
          <w:i w:val="1"/>
          <w:iCs w:val="1"/>
          <w:color w:val="auto"/>
        </w:rPr>
        <w:t>Accelsius</w:t>
      </w:r>
      <w:r>
        <w:rPr>
          <w:rFonts w:ascii="Times New Roman" w:cs="Times New Roman" w:eastAsia="Times New Roman" w:hAnsi="Times New Roman"/>
          <w:sz w:val="18"/>
          <w:szCs w:val="18"/>
          <w:color w:val="auto"/>
        </w:rPr>
        <w:t>”), a subsidiary of Innventure,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and sold to Legrand DPC, LLC (“</w:t>
      </w:r>
      <w:r>
        <w:rPr>
          <w:rFonts w:ascii="Times New Roman" w:cs="Times New Roman" w:eastAsia="Times New Roman" w:hAnsi="Times New Roman"/>
          <w:sz w:val="18"/>
          <w:szCs w:val="18"/>
          <w:b w:val="1"/>
          <w:bCs w:val="1"/>
          <w:i w:val="1"/>
          <w:iCs w:val="1"/>
          <w:color w:val="auto"/>
        </w:rPr>
        <w:t>Legrand</w:t>
      </w:r>
      <w:r>
        <w:rPr>
          <w:rFonts w:ascii="Times New Roman" w:cs="Times New Roman" w:eastAsia="Times New Roman" w:hAnsi="Times New Roman"/>
          <w:sz w:val="18"/>
          <w:szCs w:val="18"/>
          <w:color w:val="auto"/>
        </w:rPr>
        <w:t>”) and Johnson Controls, Inc. (“</w:t>
      </w:r>
      <w:r>
        <w:rPr>
          <w:rFonts w:ascii="Times New Roman" w:cs="Times New Roman" w:eastAsia="Times New Roman" w:hAnsi="Times New Roman"/>
          <w:sz w:val="18"/>
          <w:szCs w:val="18"/>
          <w:b w:val="1"/>
          <w:bCs w:val="1"/>
          <w:i w:val="1"/>
          <w:iCs w:val="1"/>
          <w:color w:val="auto"/>
        </w:rPr>
        <w:t>JCI</w:t>
      </w:r>
      <w:r>
        <w:rPr>
          <w:rFonts w:ascii="Times New Roman" w:cs="Times New Roman" w:eastAsia="Times New Roman" w:hAnsi="Times New Roman"/>
          <w:sz w:val="18"/>
          <w:szCs w:val="18"/>
          <w:color w:val="auto"/>
        </w:rPr>
        <w:t>”) units of Accelsius’ Series B-1 Units (the “</w:t>
      </w:r>
      <w:r>
        <w:rPr>
          <w:rFonts w:ascii="Times New Roman" w:cs="Times New Roman" w:eastAsia="Times New Roman" w:hAnsi="Times New Roman"/>
          <w:sz w:val="18"/>
          <w:szCs w:val="18"/>
          <w:b w:val="1"/>
          <w:bCs w:val="1"/>
          <w:i w:val="1"/>
          <w:iCs w:val="1"/>
          <w:color w:val="auto"/>
        </w:rPr>
        <w:t>Series B-1 Units</w:t>
      </w:r>
      <w:r>
        <w:rPr>
          <w:rFonts w:ascii="Times New Roman" w:cs="Times New Roman" w:eastAsia="Times New Roman" w:hAnsi="Times New Roman"/>
          <w:sz w:val="18"/>
          <w:szCs w:val="18"/>
          <w:color w:val="auto"/>
        </w:rPr>
        <w:t>”) for $40 million, based upon a valuation of approximately $665 million. As with any valuation methodology, the methodologies used are based upon a number of estimates and assumptions that may or may not be accurate.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Balance of Convertible Debentures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January 12, 2026, approximately $6 million (in the aggregate) is outstanding under the convertible debentures issued to YA II PN, Ltd. (“</w:t>
      </w:r>
      <w:r>
        <w:rPr>
          <w:rFonts w:ascii="Times New Roman" w:cs="Times New Roman" w:eastAsia="Times New Roman" w:hAnsi="Times New Roman"/>
          <w:sz w:val="18"/>
          <w:szCs w:val="18"/>
          <w:b w:val="1"/>
          <w:bCs w:val="1"/>
          <w:i w:val="1"/>
          <w:iCs w:val="1"/>
          <w:color w:val="auto"/>
        </w:rPr>
        <w:t>Yorkville</w:t>
      </w:r>
      <w:r>
        <w:rPr>
          <w:rFonts w:ascii="Times New Roman" w:cs="Times New Roman" w:eastAsia="Times New Roman" w:hAnsi="Times New Roman"/>
          <w:sz w:val="18"/>
          <w:szCs w:val="18"/>
          <w:color w:val="auto"/>
        </w:rPr>
        <w:t>”) pursuant to the securities purchase agreement, dated September 15, 2025, and the securities purchase agreement, dated March 25, 2025 (the “</w:t>
      </w:r>
      <w:r>
        <w:rPr>
          <w:rFonts w:ascii="Times New Roman" w:cs="Times New Roman" w:eastAsia="Times New Roman" w:hAnsi="Times New Roman"/>
          <w:sz w:val="18"/>
          <w:szCs w:val="18"/>
          <w:b w:val="1"/>
          <w:bCs w:val="1"/>
          <w:i w:val="1"/>
          <w:iCs w:val="1"/>
          <w:color w:val="auto"/>
        </w:rPr>
        <w:t>Convertible Debentures</w:t>
      </w:r>
      <w:r>
        <w:rPr>
          <w:rFonts w:ascii="Times New Roman" w:cs="Times New Roman" w:eastAsia="Times New Roman" w:hAnsi="Times New Roman"/>
          <w:sz w:val="18"/>
          <w:szCs w:val="18"/>
          <w:color w:val="auto"/>
        </w:rPr>
        <w:t>”). This reflects a decrease in the amount outstanding under the Convertible Debentures of approximately $26.1 million from the approximately $32.1 million outstanding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Yablunosky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2026-01-12T16:47:54Z</dcterms:created>
  <dcterms:modified xsi:type="dcterms:W3CDTF">2026-01-12T16:47:54Z</dcterms:modified>
</cp:coreProperties>
</file>