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our Quarterly Report on Form 10-Q, which was filed with the Securities and Exchange Commission (the “SEC”) on May 15, 2025, and our Current Report on Form 8-K, which was filed with the SEC on May 15, 2025, and correct certain other additional information in the Prospectus. Accordingly, we have attached the above referenced information to this prospectus supplement.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May 16, 2025, the closing price of our Common Stock was $4.86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19, 2025.</w:t>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0"/>
          <w:szCs w:val="20"/>
          <w:color w:val="auto"/>
        </w:rPr>
      </w:pPr>
    </w:p>
    <w:p>
      <w:pPr>
        <w:ind w:left="620" w:hanging="594"/>
        <w:spacing w:after="0"/>
        <w:tabs>
          <w:tab w:leader="none" w:pos="6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620" w:hanging="594"/>
        <w:spacing w:after="0"/>
        <w:tabs>
          <w:tab w:leader="none" w:pos="6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001-42303</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5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4000" w:type="dxa"/>
            <w:vAlign w:val="bottom"/>
          </w:tcPr>
          <w:p>
            <w:pPr>
              <w:spacing w:after="0"/>
              <w:rPr>
                <w:sz w:val="20"/>
                <w:szCs w:val="20"/>
                <w:color w:val="auto"/>
              </w:rPr>
            </w:pPr>
          </w:p>
        </w:tc>
      </w:tr>
      <w:tr>
        <w:trPr>
          <w:trHeight w:val="30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4000" w:type="dxa"/>
            <w:vAlign w:val="bottom"/>
          </w:tcPr>
          <w:p>
            <w:pPr>
              <w:spacing w:after="0"/>
              <w:rPr>
                <w:sz w:val="24"/>
                <w:szCs w:val="24"/>
                <w:color w:val="auto"/>
              </w:rPr>
            </w:pPr>
          </w:p>
        </w:tc>
      </w:tr>
      <w:tr>
        <w:trPr>
          <w:trHeight w:val="265"/>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Orlando, Florida</w:t>
            </w:r>
          </w:p>
        </w:tc>
        <w:tc>
          <w:tcPr>
            <w:tcW w:w="4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43"/>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500" w:type="dxa"/>
            <w:vAlign w:val="bottom"/>
            <w:tcBorders>
              <w:left w:val="single" w:sz="8" w:color="auto"/>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4500" w:type="dxa"/>
            <w:vAlign w:val="bottom"/>
            <w:tcBorders>
              <w:right w:val="single" w:sz="8" w:color="auto"/>
            </w:tcBorders>
          </w:tcPr>
          <w:p>
            <w:pPr>
              <w:spacing w:after="0"/>
              <w:rPr>
                <w:sz w:val="2"/>
                <w:szCs w:val="2"/>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7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1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x</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r>
        <w:trPr>
          <w:trHeight w:val="486"/>
        </w:trPr>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25, 2025, the registrant had 53,487,294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6515735</wp:posOffset>
            </wp:positionH>
            <wp:positionV relativeFrom="paragraph">
              <wp:posOffset>41910</wp:posOffset>
            </wp:positionV>
            <wp:extent cx="60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 (Unaudited)</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Controls and Procedures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ectPr>
          <w:pgSz w:w="11900" w:h="16838" w:orient="portrait"/>
          <w:cols w:equalWidth="0" w:num="1">
            <w:col w:w="11020"/>
          </w:cols>
          <w:pgMar w:left="340" w:top="1440" w:right="5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Defaults upon Senior Securities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 Safety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ectPr>
          <w:pgSz w:w="11900" w:h="16838" w:orient="portrait"/>
          <w:cols w:equalWidth="0" w:num="2">
            <w:col w:w="640" w:space="680"/>
            <w:col w:w="9700"/>
          </w:cols>
          <w:pgMar w:left="340" w:top="1440" w:right="5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ectPr>
          <w:pgSz w:w="11900" w:h="16838" w:orient="portrait"/>
          <w:cols w:equalWidth="0" w:num="1">
            <w:col w:w="11020"/>
          </w:cols>
          <w:pgMar w:left="340" w:top="144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20"/>
          </w:cols>
          <w:pgMar w:left="340" w:top="1440" w:right="539" w:bottom="1440" w:gutter="0" w:footer="0" w:header="0"/>
          <w:type w:val="continuous"/>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(“Form 10-Q”) to “Innventure,” the “Company,” “we,” “our” or “us” refer to Innventure, Inc. and its consolidated subsidiaries.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spacing w:after="0" w:line="135"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ability to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its ability to obtain funding for its operations and future growth and to continue as a going concern;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(as defined below), under the WTI Facility (as defined below);</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Standby Equity Purchase Agreement (the “SEPA”) and securities purchase agreement (the “Securities Purchase Agreement”), each with YA II PN, Ltd. (“Yorkville”), including exchange caps, issuances and subscriptions based on trading volumes, to continue to access the funds available under the SEPA or the Securities Purchase Agreement and related Convertible Debentures (as defined below) due to certain conditions, restrictions and limitations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40" w:right="339" w:bottom="1440" w:gutter="0" w:footer="0" w:header="0"/>
        </w:sectPr>
      </w:pPr>
    </w:p>
    <w:bookmarkStart w:id="6" w:name="page7"/>
    <w:bookmarkEnd w:id="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 (Unaudited)</w:t>
            </w:r>
          </w:p>
        </w:tc>
        <w:tc>
          <w:tcPr>
            <w:tcW w:w="180" w:type="dxa"/>
            <w:vAlign w:val="bottom"/>
          </w:tcPr>
          <w:p>
            <w:pPr>
              <w:spacing w:after="0"/>
              <w:rPr>
                <w:sz w:val="14"/>
                <w:szCs w:val="14"/>
                <w:color w:val="auto"/>
              </w:rPr>
            </w:pPr>
          </w:p>
        </w:tc>
        <w:tc>
          <w:tcPr>
            <w:tcW w:w="13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9"/>
        </w:trPr>
        <w:tc>
          <w:tcPr>
            <w:tcW w:w="7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r>
      <w:tr>
        <w:trPr>
          <w:trHeight w:val="29"/>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r>
      <w:tr>
        <w:trPr>
          <w:trHeight w:val="29"/>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33,684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28,734</w:t>
            </w:r>
          </w:p>
        </w:tc>
      </w:tr>
      <w:tr>
        <w:trPr>
          <w:trHeight w:val="29"/>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176,750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182,153</w:t>
            </w:r>
          </w:p>
        </w:tc>
      </w:tr>
      <w:tr>
        <w:trPr>
          <w:trHeight w:val="29"/>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436,807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667,936</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5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34,023</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27,353</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20"/>
        </w:trPr>
        <w:tc>
          <w:tcPr>
            <w:tcW w:w="7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105,947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138,996</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2,885,848 and — shares issued and outstanding as of March 31,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1,118,808 and 1,102,000 shares issued and outstanding as of March 31,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8"/>
              </w:rPr>
              <w:t>Common Stock, $0.0001 par value, 250,000,000 shares authorized, 47,103,800 and 44,597,154 shares issued and outstanding as of March 31, 2025 and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484,256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(221,285)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(78,262)</w:t>
            </w:r>
          </w:p>
        </w:tc>
      </w:tr>
      <w:tr>
        <w:trPr>
          <w:trHeight w:val="20"/>
        </w:trPr>
        <w:tc>
          <w:tcPr>
            <w:tcW w:w="7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261,498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30"/>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264,247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525,745</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30"/>
        </w:trPr>
        <w:tc>
          <w:tcPr>
            <w:tcW w:w="7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Mezzanine and Stockholders' Equity</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660,419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0"/>
        </w:trPr>
        <w:tc>
          <w:tcPr>
            <w:tcW w:w="7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78"/>
        </w:trPr>
        <w:tc>
          <w:tcPr>
            <w:tcW w:w="7440" w:type="dxa"/>
            <w:vAlign w:val="bottom"/>
          </w:tcPr>
          <w:p>
            <w:pPr>
              <w:spacing w:after="0"/>
              <w:rPr>
                <w:sz w:val="15"/>
                <w:szCs w:val="15"/>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8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0"/>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261,422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10,756</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(261,198)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(10,532)</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on investments - due to related parties</w:t>
            </w:r>
          </w:p>
        </w:tc>
        <w:tc>
          <w:tcPr>
            <w:tcW w:w="34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gain</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Miscellaneous other income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Income</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6,125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3,006</w:t>
            </w:r>
          </w:p>
        </w:tc>
      </w:t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(255,073)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(253,674)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 LLC Unitholders</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(142,997)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r>
        <w:trPr>
          <w:trHeight w:val="250"/>
        </w:trPr>
        <w:tc>
          <w:tcPr>
            <w:tcW w:w="74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46,252,922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0"/>
        </w:trPr>
        <w:tc>
          <w:tcPr>
            <w:tcW w:w="7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net of taxes:</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7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Unrealized loss on available for sale debt securities - related party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Reclassification of realized gain on conversion of available for sale investments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net of taxes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7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(256,061)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193"/>
        </w:trPr>
        <w:tc>
          <w:tcPr>
            <w:tcW w:w="7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9"/>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 Stockholders / Innventure LLC Unitholders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(145,384)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29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Class B-1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38"/>
        </w:trPr>
        <w:tc>
          <w:tcPr>
            <w:tcW w:w="296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OCI</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2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43"/>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Units issued to non-controlling</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preferred units, net of</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units to non-controlling</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 exchange of convertible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promissory notes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redeemable units to</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3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45,688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1,950</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11,543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(10,519)</w:t>
            </w:r>
          </w:p>
        </w:tc>
      </w:tr>
      <w:tr>
        <w:trPr>
          <w:trHeight w:val="27"/>
        </w:trPr>
        <w:tc>
          <w:tcPr>
            <w:tcW w:w="2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9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OCI</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1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1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(78,262)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(253,674)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buyback</w:t>
            </w: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for paid-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in-kind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issuance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earnout shares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2,344,682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net of taxes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2,310,848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C</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issued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related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w:t>
            </w: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0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1,118,808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47,103,800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484,256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(221,285)</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(1,478)</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264,247</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525,745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2,885,848</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28,727</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40"/>
          </w:cols>
          <w:pgMar w:left="320" w:top="117" w:right="1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27"/>
        </w:trPr>
        <w:tc>
          <w:tcPr>
            <w:tcW w:w="74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147"/>
        </w:trPr>
        <w:tc>
          <w:tcPr>
            <w:tcW w:w="7440" w:type="dxa"/>
            <w:vAlign w:val="bottom"/>
          </w:tcPr>
          <w:p>
            <w:pPr>
              <w:spacing w:after="0"/>
              <w:rPr>
                <w:sz w:val="12"/>
                <w:szCs w:val="12"/>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2025</w:t>
            </w:r>
          </w:p>
        </w:tc>
        <w:tc>
          <w:tcPr>
            <w:tcW w:w="80" w:type="dxa"/>
            <w:vAlign w:val="bottom"/>
          </w:tcPr>
          <w:p>
            <w:pPr>
              <w:spacing w:after="0"/>
              <w:rPr>
                <w:sz w:val="12"/>
                <w:szCs w:val="12"/>
                <w:color w:val="auto"/>
              </w:rPr>
            </w:pPr>
          </w:p>
        </w:tc>
        <w:tc>
          <w:tcPr>
            <w:tcW w:w="18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Three months ended March 31, 2024</w:t>
            </w:r>
          </w:p>
        </w:tc>
      </w:tr>
      <w:tr>
        <w:trPr>
          <w:trHeight w:val="36"/>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36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5,841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loss on investments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Equity method investment gain (loss)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6,756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233,213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rent costs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net</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Accounts receivable</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Inventory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Accounts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1,234</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1,943</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1,329</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Accrued expenses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Income taxes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(14,696)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(7,397)</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2"/>
        </w:trPr>
        <w:tc>
          <w:tcPr>
            <w:tcW w:w="7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3"/>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Investing Activities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in available-for-sale debt securities - equity method investee</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Advances to equity method investee</w:t>
            </w:r>
          </w:p>
        </w:tc>
        <w:tc>
          <w:tcPr>
            <w:tcW w:w="360" w:type="dxa"/>
            <w:vAlign w:val="bottom"/>
          </w:tcPr>
          <w:p>
            <w:pPr>
              <w:spacing w:after="0"/>
              <w:rPr>
                <w:sz w:val="13"/>
                <w:szCs w:val="13"/>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(2,540)</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(3,254)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(3,180)</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2"/>
        </w:trPr>
        <w:tc>
          <w:tcPr>
            <w:tcW w:w="7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3"/>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7,116</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4,907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3,503</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debts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promissory notes to related parties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Repurchase of Preferred Stock</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8,206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10,159</w:t>
            </w:r>
          </w:p>
        </w:tc>
      </w:tr>
      <w:tr>
        <w:trPr>
          <w:trHeight w:val="142"/>
        </w:trPr>
        <w:tc>
          <w:tcPr>
            <w:tcW w:w="74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(9,744)</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(418)</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11,119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2,575</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36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1,375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2,157</w:t>
            </w:r>
          </w:p>
        </w:tc>
      </w:tr>
      <w:tr>
        <w:trPr>
          <w:trHeight w:val="20"/>
        </w:trPr>
        <w:tc>
          <w:tcPr>
            <w:tcW w:w="7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69"/>
        </w:trPr>
        <w:tc>
          <w:tcPr>
            <w:tcW w:w="7440" w:type="dxa"/>
            <w:vAlign w:val="bottom"/>
          </w:tcPr>
          <w:p>
            <w:pPr>
              <w:spacing w:after="0"/>
              <w:rPr>
                <w:sz w:val="14"/>
                <w:szCs w:val="14"/>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r>
      <w:tr>
        <w:trPr>
          <w:trHeight w:val="176"/>
        </w:trPr>
        <w:tc>
          <w:tcPr>
            <w:tcW w:w="7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Information</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redeemable units to redemption value</w:t>
            </w:r>
          </w:p>
        </w:tc>
        <w:tc>
          <w:tcPr>
            <w:tcW w:w="360" w:type="dxa"/>
            <w:vAlign w:val="bottom"/>
          </w:tcPr>
          <w:p>
            <w:pPr>
              <w:spacing w:after="0"/>
              <w:rPr>
                <w:sz w:val="15"/>
                <w:szCs w:val="15"/>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units to non-controlling interest in exchange of convertible promissory notes</w:t>
            </w:r>
          </w:p>
        </w:tc>
        <w:tc>
          <w:tcPr>
            <w:tcW w:w="3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w:t>
            </w:r>
          </w:p>
        </w:tc>
      </w:tr>
      <w:tr>
        <w:trPr>
          <w:trHeight w:val="194"/>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of working capital loans to equity method investee into investments in debt securities - related party</w:t>
            </w: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Extinguishment of debt with Series C Preferred Stock</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Contribution of Series C Preferred Stock to equity method investee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of AFX available-for-sale term loan into equity method investments</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stock in exchange for services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Equity reallocation between non-controlling interest and additional paid-in capital</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26,304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All balance sheet amounts presented are for Successor periods.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we identified an error and recorded an immaterial out of period adjustment of $10,464 to correct an overstatement of Additional paid-in capital, an immaterial out of period adjustment of $4,454 to correct understatement of Net loss attributable to Innventure, Inc.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immaterial out of period adjustment of $14,918 to correct an understatement of Non-controlling interest. The impact of the adjustments are not material to the condensed consolidated financial statements for any interim or annual periods prior to March 31, 2025 nor the current financial period. The out of period adjustment to Additional paid-in capital is included in the Non-controlling interest issued and related transfers within the consolidated statements of changes in mezzanine and stockholders' equity (deficit) and the adjustment related to Net loss attributable to Innventure, Inc. within Comprehensive loss attributable to Non-redeemable non-controlling interest on the condensed consolidated statements of operations and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stockholders' deficit, or net income as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cash balance of $1,375, accumulated deficit of $221,285 and a working capital deficit of $37,039. During the three months ended March 31, 2025 (Successor), the Company incurred a net loss of $253,674. 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FASB’s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 Board’s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condensed consolidated financial statements.</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March 31, 2025 and December 31, 2024. The fair value of the underlying investments in the ESG Fund is based on the Company’s assessment, which takes into account expected cash flows, earnings multiples and/or comparisons to similar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among other factors. Valuation adjustments reflecting consideration of credit quality, concentration risk, sales restrictions and other liquidity factors are integral to valuing these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 38% and 34% equity method investment interest in AeroFlexx as of March 31, 2025 and December 31,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Available for Sale (“AFS”)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three months ended March 31, 2025 (Successor) and is included in non-operating income in the condensed consolidated statements of operations and comprehensive income (loss).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$4,375 was reclassified from Due from related parties under the term loan and $2,337 was drawn down by AeroFlexx under the term loan. The total balance drawn as of March 31, 2025 was $9,629.</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contractual maturity of the loan is in 2026, it is included in the non-current line item Investments of the condensed consolidated balance sheets. The change in fair value of this investment in debt securities of $880 for the three months ended March 31, 2025 (Successor) is included as Unrealized loss on available for sale debt securities - related party in the condensed consolidated statements of operations and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r>
      <w:tr>
        <w:trPr>
          <w:trHeight w:val="504"/>
        </w:trPr>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7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three months ended March 31, 2025 (Successor) and the three months ended March 31, 2024 (Predecessor),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 in debt</w:t>
            </w:r>
          </w:p>
        </w:tc>
        <w:tc>
          <w:tcPr>
            <w:tcW w:w="120" w:type="dxa"/>
            <w:vAlign w:val="bottom"/>
          </w:tcPr>
          <w:p>
            <w:pPr>
              <w:spacing w:after="0"/>
              <w:rPr>
                <w:sz w:val="17"/>
                <w:szCs w:val="17"/>
                <w:color w:val="auto"/>
              </w:rPr>
            </w:pPr>
          </w:p>
        </w:tc>
        <w:tc>
          <w:tcPr>
            <w:tcW w:w="1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Earnout Liability</w:t>
            </w:r>
          </w:p>
        </w:tc>
        <w:tc>
          <w:tcPr>
            <w:tcW w:w="18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WTI Warrant</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Liability</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 - AFS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 (Predecessor)</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 (Predecessor)</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 (Successor)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 (Successor)</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three months ended March 31, 2025 (Successor) nor for the three months ended March 31,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(Level 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Principal Valuation</w:t>
            </w:r>
          </w:p>
        </w:tc>
        <w:tc>
          <w:tcPr>
            <w:tcW w:w="29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7"/>
                <w:szCs w:val="17"/>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7"/>
                <w:szCs w:val="17"/>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29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debt securities - AFS:</w:t>
            </w:r>
          </w:p>
        </w:tc>
        <w:tc>
          <w:tcPr>
            <w:tcW w:w="2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Black-Scholes model</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Time to liquidity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Discounted Cash Flows</w:t>
            </w:r>
          </w:p>
        </w:tc>
        <w:tc>
          <w:tcPr>
            <w:tcW w:w="2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AeroFlexx yield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Earnout Shares: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risk premium</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Revenue volatility</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176.00 %</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WTI Warrants:</w:t>
            </w:r>
          </w:p>
        </w:tc>
        <w:tc>
          <w:tcPr>
            <w:tcW w:w="2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40" w:type="dxa"/>
            <w:vAlign w:val="bottom"/>
            <w:shd w:val="clear" w:color="auto" w:fill="CCEEFF"/>
          </w:tcPr>
          <w:p>
            <w:pPr>
              <w:spacing w:after="0"/>
              <w:rPr>
                <w:sz w:val="21"/>
                <w:szCs w:val="21"/>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18.80 %</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3. Investments, an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and WTI Warrants, refer to Note 9. Earnout Shares and Note 10. Warrants,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Pr>
          <w:p>
            <w:pPr>
              <w:spacing w:after="0"/>
              <w:rPr>
                <w:sz w:val="24"/>
                <w:szCs w:val="24"/>
                <w:color w:val="auto"/>
              </w:rPr>
            </w:pPr>
          </w:p>
        </w:tc>
      </w:tr>
      <w:tr>
        <w:trPr>
          <w:trHeight w:val="238"/>
        </w:trPr>
        <w:tc>
          <w:tcPr>
            <w:tcW w:w="3980" w:type="dxa"/>
            <w:vAlign w:val="bottom"/>
          </w:tcPr>
          <w:p>
            <w:pPr>
              <w:spacing w:after="0"/>
              <w:rPr>
                <w:sz w:val="20"/>
                <w:szCs w:val="20"/>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r>
      <w:tr>
        <w:trPr>
          <w:trHeight w:val="27"/>
        </w:trPr>
        <w:tc>
          <w:tcPr>
            <w:tcW w:w="39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2025 - 2026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- 15%</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- 15.99%</w:t>
            </w: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13.50%</w:t>
            </w: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4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20" w:type="dxa"/>
            <w:vAlign w:val="bottom"/>
            <w:tcBorders>
              <w:bottom w:val="single" w:sz="8" w:color="CCEEFF"/>
            </w:tcBorders>
            <w:shd w:val="clear" w:color="auto" w:fill="CCEEFF"/>
          </w:tcPr>
          <w:p>
            <w:pPr>
              <w:spacing w:after="0"/>
              <w:rPr>
                <w:sz w:val="23"/>
                <w:szCs w:val="23"/>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12,346</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4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mature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9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r>
      <w:tr>
        <w:trPr>
          <w:trHeight w:val="20"/>
        </w:trPr>
        <w:tc>
          <w:tcPr>
            <w:tcW w:w="9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amount of 1st extension promissory notes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amount of 2nd extension promissory notes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60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-1542415</wp:posOffset>
            </wp:positionV>
            <wp:extent cx="71323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-179070</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These notes were subsequently amended on October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in connection with the issuance of Series C Preferred Stock (as defined below), the Company extinguished the outstanding amount of related party notes. The Company recognized a loss of $3,538 in Loss on extinguishment of related party debt on the condensed consolidated statements of operations and comprehensive income (loss) for the three months ended March 31,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months ended March 31, 2025 (Successor) was 13.50%.</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WTI Warrants to the WTI Lenders (as further defined and described in Note 10. Warrants). The Company accounted for each of the WTI Warrants as detachable warrants at their fair value. The fair value of the WTI Warrants was recorded as a liability and as a discount to the WTI Facility on the condensed consolidated balance sheets. The Company is amortizing the discount over the term of the WTI Facility using the straight-line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line="20" w:lineRule="exact"/>
              <w:rPr>
                <w:sz w:val="1"/>
                <w:szCs w:val="1"/>
                <w:color w:val="auto"/>
              </w:rPr>
            </w:pPr>
          </w:p>
        </w:tc>
      </w:tr>
      <w:tr>
        <w:trPr>
          <w:trHeight w:val="243"/>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$0.0001 par value, (“Common Stock”) (as converted, the “Conversion Shares”). The Company will issue the aggregate principal amount of Convertible Debentures in two tranches tied to separate reporting and filing requirements. As of March 31, 2025, the Company had not yet met the required reporting and filing requirements and therefore had not issued these Convertible Debentures. See Note 18. Subsequent Events for further details on this agreement.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1100" w:type="dxa"/>
            <w:vAlign w:val="bottom"/>
          </w:tcPr>
          <w:p>
            <w:pPr>
              <w:spacing w:after="0"/>
              <w:rPr>
                <w:sz w:val="20"/>
                <w:szCs w:val="20"/>
                <w:color w:val="auto"/>
              </w:rPr>
            </w:pPr>
          </w:p>
        </w:tc>
      </w:tr>
      <w:tr>
        <w:trPr>
          <w:trHeight w:val="283"/>
        </w:trPr>
        <w:tc>
          <w:tcPr>
            <w:tcW w:w="2960" w:type="dxa"/>
            <w:vAlign w:val="bottom"/>
          </w:tcPr>
          <w:p>
            <w:pPr>
              <w:spacing w:after="0"/>
              <w:rPr>
                <w:sz w:val="24"/>
                <w:szCs w:val="24"/>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100" w:type="dxa"/>
            <w:vAlign w:val="bottom"/>
          </w:tcPr>
          <w:p>
            <w:pPr>
              <w:spacing w:after="0"/>
              <w:rPr>
                <w:sz w:val="24"/>
                <w:szCs w:val="24"/>
                <w:color w:val="auto"/>
              </w:rPr>
            </w:pPr>
          </w:p>
        </w:tc>
      </w:tr>
      <w:tr>
        <w:trPr>
          <w:trHeight w:val="297"/>
        </w:trPr>
        <w:tc>
          <w:tcPr>
            <w:tcW w:w="2960" w:type="dxa"/>
            <w:vAlign w:val="bottom"/>
          </w:tcPr>
          <w:p>
            <w:pPr>
              <w:spacing w:after="0"/>
              <w:rPr>
                <w:sz w:val="24"/>
                <w:szCs w:val="24"/>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or per share data)</w:t>
            </w:r>
          </w:p>
        </w:tc>
        <w:tc>
          <w:tcPr>
            <w:tcW w:w="1100" w:type="dxa"/>
            <w:vAlign w:val="bottom"/>
          </w:tcPr>
          <w:p>
            <w:pPr>
              <w:spacing w:after="0"/>
              <w:rPr>
                <w:sz w:val="24"/>
                <w:szCs w:val="24"/>
                <w:color w:val="auto"/>
              </w:rPr>
            </w:pPr>
          </w:p>
        </w:tc>
      </w:tr>
      <w:tr>
        <w:trPr>
          <w:trHeight w:val="513"/>
        </w:trPr>
        <w:tc>
          <w:tcPr>
            <w:tcW w:w="2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1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667,936</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6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7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7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r>
      <w:tr>
        <w:trPr>
          <w:trHeight w:val="20"/>
        </w:trPr>
        <w:tc>
          <w:tcPr>
            <w:tcW w:w="29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three months ended March 31, 2025 (Successor), the Company recorded a $233,213 non-deductible, non-cash goodwill impairment charge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during late February and March.</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7"/>
                <w:szCs w:val="7"/>
                <w:color w:val="auto"/>
              </w:rPr>
            </w:pPr>
          </w:p>
        </w:tc>
        <w:tc>
          <w:tcPr>
            <w:tcW w:w="11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vMerge w:val="restart"/>
          </w:tcPr>
          <w:p>
            <w:pPr>
              <w:jc w:val="right"/>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Period Remaining</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7"/>
                <w:szCs w:val="7"/>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7"/>
                <w:szCs w:val="7"/>
                <w:color w:val="auto"/>
              </w:rPr>
            </w:pPr>
          </w:p>
        </w:tc>
        <w:tc>
          <w:tcPr>
            <w:tcW w:w="940" w:type="dxa"/>
            <w:vAlign w:val="bottom"/>
            <w:vMerge w:val="restart"/>
          </w:tcPr>
          <w:p>
            <w:pPr>
              <w:jc w:val="right"/>
              <w:ind w:right="192"/>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finite-lived intangible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intangible assets on the condensed consolidated balance sheets during the Predecessor periods; therefore, no amortization expense was recognized. Amortization expense was $5,403 for the three months ended March 31, 2025 (Successor) and is recorded within General and administrative and Research and development on the condensed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three months of fiscal year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Earnout Shares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are not effective on the Company Earnout Shares until 6 months following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2025, the Board formally recognized the creation of the Refinity subsidiary, thereby meeting the milestone two conditions for the Company Earnout Shares. As such, 2,000,000 shares of Common Stock were issued on February 4, 2025 as a result of the satisfaction of the milestone.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Shares related to milestone three are liability classified and were fair valued at $7,470 and $14,752 as of March 31, 2025 and December 31, 2024, respectively. The Company recognized a gain of $6,409 in Change in fair value of financial liabilities on the condensed consolidated statements of operations and comprehensive income (loss) for the three months ended March 31, 2025 (Successor).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Warrants</w:t>
            </w:r>
          </w:p>
        </w:tc>
        <w:tc>
          <w:tcPr>
            <w:tcW w:w="2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8"/>
        </w:trPr>
        <w:tc>
          <w:tcPr>
            <w:tcW w:w="5060" w:type="dxa"/>
            <w:vAlign w:val="bottom"/>
          </w:tcPr>
          <w:p>
            <w:pPr>
              <w:spacing w:after="0"/>
              <w:rPr>
                <w:sz w:val="24"/>
                <w:szCs w:val="24"/>
                <w:color w:val="auto"/>
              </w:rPr>
            </w:pPr>
          </w:p>
        </w:tc>
        <w:tc>
          <w:tcPr>
            <w:tcW w:w="2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Public</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Private</w:t>
            </w:r>
          </w:p>
        </w:tc>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WTI</w:t>
            </w:r>
          </w:p>
        </w:tc>
      </w:tr>
      <w:tr>
        <w:trPr>
          <w:trHeight w:val="241"/>
        </w:trPr>
        <w:tc>
          <w:tcPr>
            <w:tcW w:w="506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11,240,688</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7,146,000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 (Successor)</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11,240,688</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7,146,000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outstanding during the three months ended March 31, 2024 (Predecessor).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equity-classified public warrants were measured at fair value at Closing using the warrant price at Closing and will not be subsequently re-measured. The public warrants will expire on October 2, 2029 or earlier upon redemption or liquidation and are exercisable for $11.50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March 31, 2025 (Successor) and December 31, 2024 (Predecessor), the fair value of the private placement warrants is $10,653 and $16,793, respectively, and is presented as a current liability in the condensed consolidated balance sheets. For the three months ended March 31, 2025 (Successor), the Company recognized a gain of $6,140 in Change in fair value of financial liabilities on the condensed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"WTI Warrants") to the WTI Lenders. The WTI Warrants are considered freestanding financial instruments and are recorded at fair value on the condensed consolidated balance sheets as a warrant liability in the amount of $13,350 and $17,230 as of March 31, 2025 (Successor) and December 31, 2024 (Predecessor), respectively. For the three months ended March 31, 2025 (Successor), the Company recognized a gain of $3,880 in Change in fair value of financial liabilities on the condensed consolidated statements of operations and comprehensive income (loss). The WTI Warrants expire on March 31, 2035. See Note 4. Fair Value for details on the valuation.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Mezzanine and Stockholders'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3,000,000 shares of the authorized preferred stock are designated as Series B preferred stock (“Series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As a result, the Company had a total of 1,118,808 shares of Series B Preferred Stock issued and outstanding as of March 31, 2025. As of March 31, 2025, the Company accrued $217 for the 8% dividend in the Obligation to issue equity on the condensed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5,000,000 shares of the authorized preferred stock are designated as series C preferred stock (the “Series C Preferred Stock”). On March 24, 2025, Innventure issued 2,885,848 shares of Series C Preferred Stock at the original issue price for a total amount of $28,858,480. The consideration received by the Company was in the form of cash, services rendered and the cancellation of related party debt. The Series C Preferred Stock is subject to similar terms and conditions as the Series B Preferred Stock and is contingently redeemable for Common Stock and is recorded in mezzanine equity as of March 31, 2025. As a result, the Company had a total of 2,885,848 shares of Series C Preferred Stock issued and outstanding as of March 31, 2025. As of March 31, 2025, the Company accrued $44 for the 8% dividend in the Obligation to issue equity on the condensed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As of March 31, 2025 there were 47,103,800 shares of Common Stock issued and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(Successor), the Company sold 73,993 shares of Common Stock under the SEPA, raising $931 which is classified within Issuance of common shares, net of issuance costs in the consolidated statements of changes in mezzanine and stockholders' equity (deficit). As of March 31, 2025, the maximum remaining availability under the SEPA is approximately $72,000.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compensation costs related to the restricted stock units of $3,916 in the condensed consolidated statements of operations and comprehensive income (loss). As of March 31, 2025, the Company had $19,325 in stock-based compensation expense remaining to be recognized over approximately 1.5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140,000 stock options to two independent contractors through two separate agreements.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compensation costs related to the stock options of $1,027 in the condensed consolidated statements of operations and comprehensive income (loss). As of March 31, 2025, the Company had $5,732 in compensation expense remaining to be recognized over approximately 1.7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using the Black-Scholes option-pricing model based on an expected volatility of 70%, an expected term of approximately 1.75 years, and risk-free rate of return of 4%. The Company recognized a decrease in compensation expense in the amount of $442 in relation to the change in fair value of the cash-settled SARs for the three months ended March 31, 2025 (Successor).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Accelsius Subsidiary Equity Plan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there were no Class C units granted under the Accelsius Subsidiary Equity Plan. During the three months ended March 31, 2024 (Predecessor), there were 129,700 Class C units granted with a grant date fair value per share of $4.41.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Accelsius Subsidiary Equity Plan of $898 and $345 for the three months ended March 31, 2025 (Successor) and the three months ended March 31, 2024 (Predecessor), respectively, in the condensed consolidated statements of operations and comprehensive income (loss). As of March 31, 2025, the Company had $6,673 in unit-based compensation expense remaining to be recognized over approximately 2.21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income tax benefits of $1,399. During the three months ended March 31, 2024 (Predecessor), no income tax provision or expense was recorded.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March 31, 2025 (Successor) was a benefit of 0.55% driven primarily by the impact of the goodwill impairment, which is not deductible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and WTI Warrants, which are determined to be participating securities, do not have a contractual obligation to fund losses, undistributed net losses are not allocated to them for purposes of the loss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12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EPS calculations for the three months ended March 31, 2025 (Successor):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14"/>
        </w:trPr>
        <w:tc>
          <w:tcPr>
            <w:tcW w:w="9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9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(142,997)</w:t>
            </w: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6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loss for participating securities</w:t>
            </w:r>
          </w:p>
        </w:tc>
        <w:tc>
          <w:tcPr>
            <w:tcW w:w="1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(143,256)</w:t>
            </w: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(143,256)</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9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9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w:t>
            </w:r>
          </w:p>
        </w:tc>
      </w:tr>
      <w:tr>
        <w:trPr>
          <w:trHeight w:val="26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37"/>
        </w:trPr>
        <w:tc>
          <w:tcPr>
            <w:tcW w:w="944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7"/>
        </w:trPr>
        <w:tc>
          <w:tcPr>
            <w:tcW w:w="9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895,047</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 Preferred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3,733,547</w:t>
            </w: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1,115,409</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2,036,476</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which were settled on March 20, 2025. In addition, the Company had a convertible note to the ESG Fund as part of the 2025 Notes which was converted during the three months ended March 31, 2024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more fully described in Note 12. Stock-based Compensation, the Company issued various equity awards to related parties throughout 2024. On December 9, 2024, the Company issued 1,246,722 restricted stock units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the Company issued 100,000 Class C Units with a grant date fair value of $441 to one director under the Accelsius Subsidiary Equity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2. Accounting Policies in our 2024 Annual Report, the Company earns a 1-2% management fee for administrative, finance and accounting, and other back-office functions from the ESG Fund. Management fees earned from the ESG Fund were $196 for the three months ended March 31, 2025 (Successor), and $197 for the three months ended March 31, 2024 (Predecessor), which is recorded as Revenue in the condensed consolidated statements of operations and comprehensive income (loss).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578,294 shares of Series C Preferred Stock to settle AeroFlexx’s debt with a related party. The Company considers the stock issuance to be an investment in AeroFlexx of $5,783 which was recorded in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March 31, 2025 (Successor) and December 31, 2024 (Predecessor),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Each installment payment shall be credited towards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set off against any royalty payments (described below) which may become due. As such, these installment payments serve as minimum amounts due to the MNC each calendar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Minimum royalties included in Patent installment payables on the condensed consolidated balance sheets are due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(the “Technology License”)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semi-annual fee of $65 until ownership transfers or the Gasification Technology is no longer licensed, which is accrued on a monthly basis. During the three months ended March 31, 2025 (Successor), $33 related to the Gasification Technology was recognized within General and administrative expense in the condensed consolidated statements of operations and comprehensive income (loss).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committed to pay annual royalties based on Refinity-related gross sales and licensing revenue starting in 2025. As of March 31, 2025, no royalty payments were made to the third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Framework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22, 2025, Refinity entered into the Framework Agreement (“Framework Agreement”) with a third party to obtain research services focusing on the further development and optimization of the Gasification Technology.</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Data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three months ended March 31, 2025 (Successor) and the three months ended March 31,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4"/>
        </w:trPr>
        <w:tc>
          <w:tcPr>
            <w:tcW w:w="7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4"/>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29"/>
        </w:trPr>
        <w:tc>
          <w:tcPr>
            <w:tcW w:w="7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244,314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r>
      <w:tr>
        <w:trPr>
          <w:trHeight w:val="256"/>
        </w:trPr>
        <w:tc>
          <w:tcPr>
            <w:tcW w:w="79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depreciation not already included in Cost of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 change in fair value of financial liabilities, loss on conversion of promissory notes, travel and other miscellaneous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4"/>
        </w:trPr>
        <w:tc>
          <w:tcPr>
            <w:tcW w:w="7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4"/>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29"/>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r>
      <w:tr>
        <w:trPr>
          <w:trHeight w:val="250"/>
        </w:trPr>
        <w:tc>
          <w:tcPr>
            <w:tcW w:w="7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50"/>
        </w:trPr>
        <w:tc>
          <w:tcPr>
            <w:tcW w:w="7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(253,674)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r>
    </w:tbl>
    <w:p>
      <w:pPr>
        <w:spacing w:after="0" w:line="238" w:lineRule="exact"/>
        <w:rPr>
          <w:sz w:val="20"/>
          <w:szCs w:val="20"/>
          <w:color w:val="auto"/>
        </w:rPr>
      </w:pPr>
    </w:p>
    <w:p>
      <w:pPr>
        <w:ind w:right="1060"/>
        <w:spacing w:after="0" w:line="406" w:lineRule="auto"/>
        <w:rPr>
          <w:sz w:val="20"/>
          <w:szCs w:val="20"/>
          <w:color w:val="auto"/>
        </w:rPr>
      </w:pPr>
      <w:r>
        <w:rPr>
          <w:rFonts w:ascii="Times New Roman" w:cs="Times New Roman" w:eastAsia="Times New Roman" w:hAnsi="Times New Roman"/>
          <w:sz w:val="18"/>
          <w:szCs w:val="18"/>
          <w:color w:val="auto"/>
        </w:rPr>
        <w:t xml:space="preserve">All long-lived assets are located entirely in the United States. Segment assets are not reviewed by the CODM and therefore are not disclosed. </w:t>
      </w:r>
      <w:r>
        <w:rPr>
          <w:rFonts w:ascii="Times New Roman" w:cs="Times New Roman" w:eastAsia="Times New Roman" w:hAnsi="Times New Roman"/>
          <w:sz w:val="18"/>
          <w:szCs w:val="18"/>
          <w:b w:val="1"/>
          <w:bCs w:val="1"/>
          <w:color w:val="auto"/>
        </w:rPr>
        <w:t>Note 18. Subsequent Events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March 31, 2025, management has evaluated events through May 15, 2025, which is the date the condensed consolidated financial statements were available to be issued. Events occurring after March 31, 2025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2025, the Company issued the first tranche of Convertible Debentures with a principal amount of $20,000 in accordance with the Securities Purchase Agreement further described in Note 5. Borrowings. These Convertible Debentures resulted in gross proceeds to the Company of approximately $18,000, representing an original issue discount of 10%.</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2025, the Company issued warrants to purchase up to 300,000 shares of Common Stock to the WTI Lenders in connection with the securities purchase agreement related to the issuance and sale of Convertible Debentures, as described in Note 5. Borrowings. These warrants serve as consideration for the WTI Lenders’ consent to the Convertible Debentures. The warrants have an exercise price of $0.01 per share and are exercisable until March 31, 2035, with additional customary rights and protections.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16 and May 6, 2025, the Company authorized the conversion of 881,688 shares of Series B Preferred Stock and 2,310,848 shares of Series C Preferred Stock for 1,763,376 and 4,621,696 shares of Common Stock, respectively. Upon conversion, all the converted Series B and Series C Preferred Stock shares were canceled and retired.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Company’s SEPA with Yorkville, on May 2, 2025, the Company sold 44,000 shares of Common Stock to Yorkville for aggregate proceeds of approximately $174. The remaining shares that could be sold to Yorkville are 4,165,314.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the second tranche of Convertible Debentures with a principal amount of $10,000 in accordance with the Securities Purchase Agreement further described in Note 5. Borrowings. These Convertible Debentures resulted in gross proceeds to the Company of approximately $9,000, representing an original issue discount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and our predecessor’s, as applicable, unaudited condensed consolidated financial statements and related notes as of March 31, 2025 and for the three months ended March 31,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with the intent to maximize values for investors and other stakeholders through positive cash flow generated through holding long term positions in our Operating Companies. Refer to Item 1. Business of the Form 10-K for a detailed discussion of our business activities.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(Successor) and three months ended March 31, 2024 (Predecessor) (in thousands, except as otherwise noted)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three months ended March 31, 2024 (labeled “Predecessor”) and (2) three months ended March 31, 2025 (labeled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Pr>
          <w:p>
            <w:pPr>
              <w:spacing w:after="0"/>
              <w:rPr>
                <w:sz w:val="17"/>
                <w:szCs w:val="17"/>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00" w:type="dxa"/>
            <w:vAlign w:val="bottom"/>
          </w:tcPr>
          <w:p>
            <w:pPr>
              <w:spacing w:after="0"/>
              <w:rPr>
                <w:sz w:val="20"/>
                <w:szCs w:val="20"/>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8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20"/>
                <w:szCs w:val="20"/>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274.7 %</w:t>
            </w:r>
          </w:p>
        </w:tc>
        <w:tc>
          <w:tcPr>
            <w:tcW w:w="0" w:type="dxa"/>
            <w:vAlign w:val="bottom"/>
          </w:tcPr>
          <w:p>
            <w:pPr>
              <w:spacing w:after="0"/>
              <w:rPr>
                <w:sz w:val="1"/>
                <w:szCs w:val="1"/>
                <w:color w:val="auto"/>
              </w:rPr>
            </w:pPr>
          </w:p>
        </w:tc>
      </w:tr>
      <w:tr>
        <w:trPr>
          <w:trHeight w:val="237"/>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impairment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37"/>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261,422</w:t>
            </w: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250,666</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2,330.5 %</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(261,198)</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2,380.0 %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gain on investments</w:t>
            </w:r>
          </w:p>
        </w:tc>
        <w:tc>
          <w:tcPr>
            <w:tcW w:w="8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on investments - due to related parties</w:t>
            </w:r>
          </w:p>
        </w:tc>
        <w:tc>
          <w:tcPr>
            <w:tcW w:w="8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(3,537.0)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method investment (loss) gain</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(135,220.0)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Realized gain on conversion of available for sale investment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extinguishment of related party debt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8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6"/>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Miscellaneous other income</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Income</w:t>
            </w:r>
          </w:p>
        </w:tc>
        <w:tc>
          <w:tcPr>
            <w:tcW w:w="8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6,125</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103.8 %</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(253,674)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(246,148)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3,270.6 %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4,697.4 %</w:t>
            </w:r>
          </w:p>
        </w:tc>
        <w:tc>
          <w:tcPr>
            <w:tcW w:w="0" w:type="dxa"/>
            <w:vAlign w:val="bottom"/>
          </w:tcPr>
          <w:p>
            <w:pPr>
              <w:spacing w:after="0"/>
              <w:rPr>
                <w:sz w:val="1"/>
                <w:szCs w:val="1"/>
                <w:color w:val="auto"/>
              </w:rPr>
            </w:pPr>
          </w:p>
        </w:tc>
      </w:tr>
      <w:tr>
        <w:trPr>
          <w:trHeight w:val="148"/>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Innventure, Inc. Stockholders / Innventure</w:t>
            </w:r>
          </w:p>
        </w:tc>
        <w:tc>
          <w:tcPr>
            <w:tcW w:w="8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(142,997)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(137,778)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2,639.9 %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LLC Unitholders</w:t>
            </w:r>
          </w:p>
        </w:tc>
        <w:tc>
          <w:tcPr>
            <w:tcW w:w="8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net of taxes: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loss on available for sale debt securities - related party</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02"/>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of realized gain on conversion of available for sale</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investments</w:t>
            </w: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taxes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nil</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(256,061)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(248,535)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3,302.4 %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4,697.4 %</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Comprehensive Loss Attributable to Innventure, Inc. Stockholders</w:t>
            </w: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(145,384)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(140,165)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2,685.7 %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Innventure LLC Unitholders</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65"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was $224 for the three months ended March 31, 2025 (Successor) and $224 for the three months ended March 31, 2024 (Predecessor), showing no change period over period. Revenue was consistent as it was substantially comprised of predetermined management fee income period over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was $184 for the three months ended March 31, 2025 (Successor) and nil for the three months ended March 31, 2024 (Predecessor), an increase of $184. The increase relates primarily to inventory write-offs.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$19,676 for the three months ended March 31, 2025 (Successor) and $7,904 for the three months ended March 31, 2024 (Predecessor), an increase of $11,772, or 148.9%. The increase in expenditure was primarily attributed to an increase in professional services, legal fees and consulting fees of $2,000, amortization expense resulting from the intangibles acquired in the Business Combination of $2,240, increased equity based compensation of $5,445. The remaining increase in expenditure was due to increased employee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$2,096 for the three months ended March 31, 2025 (Successor) and $1,183 for the three months ended March 31, 2024 (Predecessor), an increase of $913, or 77.2%. The increase was primarily due to increased compensation costs as a result of increased headcount across the business and increases in advertising and marketing-related events and expenses associated with the commercialization phase of the Technology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$6,253 for the three months ended March 31, 2025 (Successor) and $1,669 for the three months ended March 31, 2024 (Predecessor), an increase of $4,584, or 274.7%. The increase was primarily due to amortization of intangibles in the Technology segment and an increase in new product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impairment, was $233,213 for the three months ended March 31, 2025 (Successor) and nil for the three months ended March 31, 2024 (Predecessor), an increase of $233,213. The increase was due to sustained decreases in the Company’s publicly quoted share price and market capitalization, which were, at least in part, sensitive to the general downward volatility experienced in the stock market during late February and March.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$1,538 for the three months ended March 31, 2025 (Successor) and $405 for the three months ended March 31, 2024 (Predecessor), an increase of $1,133, or 279.8%. The increase was primarily due to an increase in interest expense for the WTI Facility and related party notes, partially offset by convertible notes that were converted during the three months ended March 31, 2024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nil for the three months ended March 31, 2025 (Successor) and $5,189 for the three months ended March 31, 2024 (Predecessor), a decrease of $5,189, over the comparable period for the three months ended March 31, 2024 (Predecessor). The decrease was due to the de-consolidation of certain mezzanine equity as a result of the Business Combination and the gain on investment in PCT owned stock via Class PCTA units during the three months ended March 31,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on investments – due to related parties was nil for the three months ended March 31, 2025 (Successor) and $186 for the three months ended March 31, 2024 (Predecessor), a decrease of $186. The decrease was primarily due to an increase in fair value of liability - PCT stock owed to others for the three months ended March 31, 2024 (Predecessor). The Class PCTA associated liabilities were de-consolidated as a result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liabilities decreased by $16,429 for the three months ended March 31, 2025 (Successor) and increased by $478 for the three months ended March 31, 2024 (Predecessor), a change of $16,907, or 3,537.0%. The increase was primarily due to increases in fair value adjustments for warrants and earnout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gain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method investment loss was $6,756 for the three months ended March 31, 2025 (Successor) and equity method investment gain was $5 for the three months ended March 31, 2024 (Predecessor), a decrease of $6,761, or 135,220.0%. The loss during the three months ended March 31, 2025 (Successor) represented allocated losses from the ESG Fund and AeroFlexx. The gain during the three months ended March 31, 2024 (Predecessor) was primarily due to an allocated gain from the ESG Fund offset by an allocated loss from investment of AeroFlexx.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gain on conversion of available for sale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 on conversion of available for sale investment was $1,507 for the three months ended March 31, 2025 (Successor) and nil for the three months ended March 31, 2024 (Predecessor), an increase of $1,507. The increase was due to the partial conversion of the AeroFlexx investment in debt securities resulting in a realized gain during the three months ended March 31,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related party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related party debt was $3,538 for the three months ended March 31, 2025 (Successor) and nil for the three months ended March 31, 2024 (Predecessor), an increase of $3,538. The increase was due to the extinguishment of certain related party debt by issuing Series C Preferred Stock during the three months ended March 31, 2025 (Successor). There was no gain or loss on extinguishment of related party debt for the three months ended March 31, 2024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conversion of promissory notes was nil for the three months ended March 31, 2025 (Successor) and $1,119 for the three months ended March 31, 2024 (Predecessor), a decrease of $1,119. This was due to the automatic conversion of promissory notes during the three months ended March 31, 2024 (Predecessor) into equity instruments which was treated as an extinguishment thereby generating a loss. There was no equivalent transaction for the three months ended March 31, 2025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available for sale debt securities - related party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loss on available for sale debt securities - related party, was $880 for the three months ended March 31, 2025 (Successor) and nil for the three months ended March 31, 2024 (Predecessor), an increase of $880. The increase was due to the fair value adjustment to investments in debt securities which are classified as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realized gain on conversion of available for sale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 of realized gain on conversion of available for sale investments was $1,507 for the three months ended March 31, 2025 (Successor) and nil for the three months ended March 31, 2024 (Predecessor), an increase of $1,507. The increase was due to the partial conversion of the AeroFlexx investment in debt securities resulting in a realized gain during the three months ended March 31, 2025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attributable to non-redeemable non-controlling interests was $110,677 for the three months ended March 31, 2025 (Successor) and $2,307 for the three months ended March 31, 2024 (Predecessor), an increase of $108,370, or 4,697.4%. This was due to the increase in Accelsius net loss, primarily as a result of goodwill impairment, during the three months ended March 31, 2025 (Successor) as compared to the three months ended March 31,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69"/>
        </w:trPr>
        <w:tc>
          <w:tcPr>
            <w:tcW w:w="7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5"/>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(253,674)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(247,987)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23"/>
        </w:trPr>
        <w:tc>
          <w:tcPr>
            <w:tcW w:w="7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 of related party debt</w:t>
            </w:r>
            <w:r>
              <w:rPr>
                <w:rFonts w:ascii="Times New Roman" w:cs="Times New Roman" w:eastAsia="Times New Roman" w:hAnsi="Times New Roman"/>
                <w:sz w:val="23"/>
                <w:szCs w:val="23"/>
                <w:color w:val="auto"/>
                <w:vertAlign w:val="superscript"/>
              </w:rPr>
              <w:t>(6)</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(21,824)</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r>
    </w:tbl>
    <w:p>
      <w:pPr>
        <w:spacing w:after="0" w:line="234"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17" w:lineRule="exact"/>
        <w:rPr>
          <w:rFonts w:ascii="Times New Roman" w:cs="Times New Roman" w:eastAsia="Times New Roman" w:hAnsi="Times New Roman"/>
          <w:sz w:val="14"/>
          <w:szCs w:val="14"/>
          <w:color w:val="auto"/>
        </w:rPr>
      </w:pPr>
    </w:p>
    <w:p>
      <w:pPr>
        <w:ind w:firstLine="8"/>
        <w:spacing w:after="0" w:line="231"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months ended March 31, 2025 (Successor) and three months ended March 31, 2024 (Predecessor), this is comprised of consulting, legal, and other professional fees related to the Business Combination.</w:t>
      </w:r>
    </w:p>
    <w:p>
      <w:pPr>
        <w:jc w:val="both"/>
        <w:ind w:firstLine="8"/>
        <w:spacing w:after="0" w:line="241"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months ended March 31, 2025 (Successor), the change in fair value of financial liabilities primarily consists of the change in fair value of the warrant liability and the earnout liability. For the three months ended March 31, 2024 (Predecessor),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months ended March 31,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 based payment employee incentive plans in existence at Innventure LLC and other subsidiaries. For the three months ended March 31, 2024 (Predecessor), stock based compensation was comprised wholly of share-based payment employee incentive plans in existence at Innventure LLC and other subsidiaries.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three months ended March 31, 2025 (Successor), the Company recognized a goodwill impairment charge due to sustained decreases in the Company’s publicly quoted share price and market capitalization, which were, at least in part, sensitive to the general downward volatility experienced in the stock market during late February and March. There was no similar goodwill impairment charge for the three months ended March 31, 2024 (Predecessor).</w:t>
      </w:r>
    </w:p>
    <w:p>
      <w:pPr>
        <w:spacing w:after="0" w:line="1" w:lineRule="exact"/>
        <w:rPr>
          <w:rFonts w:ascii="Times New Roman" w:cs="Times New Roman" w:eastAsia="Times New Roman" w:hAnsi="Times New Roman"/>
          <w:sz w:val="14"/>
          <w:szCs w:val="14"/>
          <w:color w:val="auto"/>
        </w:rPr>
      </w:pPr>
    </w:p>
    <w:p>
      <w:pPr>
        <w:ind w:firstLine="8"/>
        <w:spacing w:after="0" w:line="278"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months ended March 31, 2025 (Successor), the Company extinguished certain related party debts by issuing Series C Preferred Stock. There was no loss on extinguishment of related party debt for the three months ended March 31, 2024 (Predecessor).</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otherwise noted)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liquidity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r>
    </w:tbl>
    <w:p>
      <w:pPr>
        <w:spacing w:after="0" w:line="2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with Yorkville for the issuance and sale of the Convertible Debentures in two tranches with an aggregate principal amount of up to $30,000. On April 14, 2025, the Company issued the first tranche of Convertible Debentures with an aggregate principal amount of $20,000 and received $18,000 of gross proceeds. On May 15, 2025, the Company issued the second tranche of Convertible Debentures to Yorkville with an aggregate principal amount of $10,000 and received $9,000 of gross proceeds.</w:t>
      </w:r>
    </w:p>
    <w:p>
      <w:pPr>
        <w:spacing w:after="0" w:line="20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Based on current projections, we estimate that Innventure and its Operating Companies will require, in addition to cash on hand, at least $50,000 to meet our collective liquidity requirements for the next 12 months and, to grow the Operating Companies in accordance with our current business plan, the Operating Companies will require at least an additional $25,000.</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cash generated from the operations of our Operating Companies, and the SEPA with Yorkville (maximum remaining availability of approximately $72,000 as of March 31, 2025), as well as proceeds from additional financings completed by us or our Operating Companies. During the three months ended March 31, 2025 (Successor), the Technology segment raised approximately $5,150 of additional equity financing, in comparison to approximately $3,855 during the three months ended March 31, 2024 (Predecessor).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the Company converted and repaid the aggregate outstanding amount of these unsecured promissory notes with the two related parties described above and issued shares of the Company’s Series C Preferred Stock and paid cash to settle these unsecured promissory notes and all outstanding obligations with these parties. See Note 5. Borrowings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3,000,000 shares of the authorized preferred stock are designated as Series B Preferred Stock. 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See further discussion of the Series B Preferred Stock in Note 11. Mezzanine and Stockholders' Equity within the 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 Stock</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5,000,000 shares of preferred stock are designated as Series C Preferred Stock. On March 24, 2025, Innventure issued 2,885,848 shares of Series C Preferred Stock at the original issue price for a total amount of $28,858,480. The consideration received by the Company was in the form of cash, services rendered and the cancellation of related party debt. See further discussion of the Series C Preferred Stock in Note 11. Mezzanine and Stockholders' Equity within the 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(Successor), the Company sold 73,993 shares of Common Stock under the SEPA, raising $931 which is classified within Issuance of common shares, net of issuance costs in the consolidated statements of changes in mezzanine and stockholders' equity (deficit).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Debentures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for the issuance and sale of the Convertible Debentures with an aggregate principal amount of up to $30,000. These Convertible Debentures will be convertible into shares of Common Stock under certain circumstances. The Company will issue the aggregate principal amount of Convertible Debentures in two tranches tied to separate reporting and filing requirements. As of March 31, 2025, the Company had not yet met the required reporting and filing requirements and therefore had not issued these Convertible Debentures. On April 14, 2025 and May 15, 2025, the Company issued the first and second tranches of Convertible Debentures with aggregate principal amounts of $20,000 and $10,000, respectively, and gross proceeds of $18,000 and $9,000, respectively. In connection to the Convertible Debentures, on April 14, 2025 the Company issued warrants to purchase up to 300,000 shares of Common Stock to the WTI Lenders. See further discussion in Note 5. Borrowings and Note 18. Subsequent Events within the notes to the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three months ended March 31, 2025 (Successor)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(Predecessor)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37"/>
        </w:trPr>
        <w:tc>
          <w:tcPr>
            <w:tcW w:w="5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(7,299)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2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8,206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(1,953)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r>
      <w:tr>
        <w:trPr>
          <w:trHeight w:val="25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(9,744)</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(9,326)</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-633730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were $14,696 for the three months ended March 31, 2025 (Successor), as compared to $7,397 for the three months ended March 31, 2024 (Predecessor), an increase of $7,299, or 98.7%. The increase is primarily related to an increase in the Company’s 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by 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$3,254 for the three months ended March 31, 2025 (Successor), as compared to $3,180 for the three months ended March 31, 2024 (Predecessor), an increase of $74 or 2.3%. The increase is primarily related to additional investment in debt securities to an equity method investee and acquisitions of 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$8,206 for the three months ended March 31, 2025 (Successor), as compared to $10,159 for the three months ended March 31, 2024 (Predecessor), a decrease of $1,953 or (19.2)%. The decrease is primarily related to less proceeds from the issuance of equity and debt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condensed consolidated financial statements for the three months ended March 31, 2025 (Successor) and three months ended March 31, 2024 (Predecessor) included in Item 1. of this Form 10-Q for a discussion of our 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(remaining</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4"/>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9 months)</w:t>
            </w:r>
          </w:p>
        </w:tc>
        <w:tc>
          <w:tcPr>
            <w:tcW w:w="24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r>
      <w:tr>
        <w:trPr>
          <w:trHeight w:val="27"/>
        </w:trPr>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royalties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6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34,160</w:t>
            </w: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-710565</wp:posOffset>
            </wp:positionV>
            <wp:extent cx="5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-710565</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-710565</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-710565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FASB’s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w:t>
      </w:r>
    </w:p>
    <w:p>
      <w:pPr>
        <w:spacing w:after="0" w:line="1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March 31, 2025, because of the material weaknesses in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4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and financial reporting knowledge and experience to review and monitor third-party consultants;</w:t>
      </w:r>
    </w:p>
    <w:p>
      <w:pPr>
        <w:spacing w:after="0" w:line="225" w:lineRule="exact"/>
        <w:rPr>
          <w:sz w:val="20"/>
          <w:szCs w:val="20"/>
          <w:color w:val="auto"/>
        </w:rPr>
      </w:pP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w:t>
      </w:r>
    </w:p>
    <w:p>
      <w:pPr>
        <w:spacing w:after="0" w:line="19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made an error in its assessment of the accounting acquirer in conjunction with the transaction, which resulted in an incorrect conclusion that the transaction was an asset acquisition. Additionally, management’s control over the forecast prepared for Accelsius was not effective, resulting in an adjusted forecast for purposes of the purchase accounting;</w:t>
      </w:r>
    </w:p>
    <w:p>
      <w:pPr>
        <w:spacing w:after="0" w:line="19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evidence of control procedures over the periodic reconciliation of significant accounts. This included lack of segregation of duties and lack of review.</w:t>
      </w:r>
    </w:p>
    <w:p>
      <w:pPr>
        <w:spacing w:after="0" w:line="176"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(c) segregation of duties and (d) review of accounting treatment related to equity of publicly traded securities.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Company issued Yorkville 50,000 shares of Common Stock at an effective price of $12.85 per share; on January 23, 2025, the Company issued Yorkville 4,617 shares of Common Stock at an effective price of $12.37 per share; and on January 31, 2025, the Company issued Yorkville 19,376 shares of Common Stock at an effective price of $11.93 per share, each pursuant to the terms of the SEPA. 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0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900" w:type="dxa"/>
            <w:vAlign w:val="bottom"/>
            <w:gridSpan w:val="3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9900" w:type="dxa"/>
            <w:vAlign w:val="bottom"/>
            <w:gridSpan w:val="32"/>
          </w:tcPr>
          <w:p>
            <w:pPr>
              <w:spacing w:after="0" w:line="194"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702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320" w:type="dxa"/>
            <w:vAlign w:val="bottom"/>
            <w:gridSpan w:val="7"/>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(incorporated by reference to Exhibit 3.1 to Innventure Inc.’s Current Report on Form 8-K filed with the SEC on October 9, 2024).</w:t>
              </w:r>
            </w:hyperlink>
          </w:p>
        </w:tc>
        <w:tc>
          <w:tcPr>
            <w:tcW w:w="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5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SEC on October 9, 2024).</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w:t>
            </w:r>
          </w:p>
        </w:tc>
        <w:tc>
          <w:tcPr>
            <w:tcW w:w="70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Certificate of Designation of Series B Preferred Stock, dated October 2, 2024, of Innventure, Inc.</w:t>
              </w:r>
            </w:hyperlink>
          </w:p>
        </w:tc>
        <w:tc>
          <w:tcPr>
            <w:tcW w:w="290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3.4</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Certificate of Designation of Series C Preferred Stock, dated March 24, 2025, of Innventure, Inc.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Innventure Inc.’s Current Report on Form 8-K filed with the SEC on March 25, 2025).</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First Convertible Debenture, issued to YA II PN, Ltd., dated April 14, 2024 (incorporated by reference to Exhibit 4.1 to Innventure,</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Inc.’s Current Report on Form 8-K dated April 14, 2025).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Warrant to Acquire Securities of Innventure, Inc., issued to WTI Fund X, LLC on April 14, 2025 (incorporated by reference to Exhibit</w:t>
              </w:r>
            </w:hyperlink>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7020" w:type="dxa"/>
            <w:vAlign w:val="bottom"/>
            <w:tcBorders>
              <w:top w:val="single" w:sz="8" w:color="0000FF"/>
            </w:tcBorders>
            <w:gridSpan w:val="11"/>
          </w:tcPr>
          <w:p>
            <w:pPr>
              <w:spacing w:after="0" w:line="136" w:lineRule="exact"/>
              <w:rPr>
                <w:rFonts w:ascii="Times New Roman" w:cs="Times New Roman" w:eastAsia="Times New Roman" w:hAnsi="Times New Roman"/>
                <w:sz w:val="15"/>
                <w:szCs w:val="15"/>
                <w:color w:val="0000FF"/>
              </w:rPr>
            </w:pPr>
            <w:hyperlink r:id="rId26">
              <w:r>
                <w:rPr>
                  <w:rFonts w:ascii="Times New Roman" w:cs="Times New Roman" w:eastAsia="Times New Roman" w:hAnsi="Times New Roman"/>
                  <w:sz w:val="15"/>
                  <w:szCs w:val="15"/>
                  <w:color w:val="0000FF"/>
                </w:rPr>
                <w:t>4.</w:t>
              </w:r>
              <w:r>
                <w:rPr>
                  <w:rFonts w:ascii="Times New Roman" w:cs="Times New Roman" w:eastAsia="Times New Roman" w:hAnsi="Times New Roman"/>
                  <w:sz w:val="15"/>
                  <w:szCs w:val="15"/>
                  <w:u w:val="single" w:color="auto"/>
                  <w:color w:val="0000FF"/>
                </w:rPr>
                <w:t>2</w:t>
              </w:r>
              <w:r>
                <w:rPr>
                  <w:rFonts w:ascii="Times New Roman" w:cs="Times New Roman" w:eastAsia="Times New Roman" w:hAnsi="Times New Roman"/>
                  <w:sz w:val="15"/>
                  <w:szCs w:val="15"/>
                  <w:color w:val="0000FF"/>
                </w:rPr>
                <w:t xml:space="preserve"> to Innventure, Inc.’s Current Report on Form 8-K dated April 14, 2025).</w:t>
              </w:r>
            </w:hyperlink>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Warrant to Acquire Securities of Innventure, Inc., issued to WTI Fund XI, LLC on April 14, 2025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Standby Equity Purchase Agreement, by and between Innventure, Inc. and YA II PN, Ltd., dated October 24, 2023 (incorporated by</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reference to Exhibit 10.1 to Innventure, Inc.’s Current Report on Form 8-K dated March 25, 2025).</w:t>
              </w:r>
            </w:hyperlink>
          </w:p>
        </w:tc>
        <w:tc>
          <w:tcPr>
            <w:tcW w:w="234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Form of Series C Purchase Agreement for U.S. Investors (incorporated by reference to Exhibit 10.2 to Innventure, Inc.’s Current Report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82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on Form 8-K dated March 25, 2025).</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6"/>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Form of Series C Purchase Agreement for Ex-U.S. Investors (incorporated by reference to Exhibit 10.3 to Innventure, Inc.’s Current</w:t>
              </w:r>
            </w:hyperlink>
          </w:p>
        </w:tc>
        <w:tc>
          <w:tcPr>
            <w:tcW w:w="0" w:type="dxa"/>
            <w:vAlign w:val="bottom"/>
          </w:tcPr>
          <w:p>
            <w:pPr>
              <w:spacing w:after="0"/>
              <w:rPr>
                <w:sz w:val="1"/>
                <w:szCs w:val="1"/>
                <w:color w:val="auto"/>
              </w:rPr>
            </w:pPr>
          </w:p>
        </w:tc>
      </w:tr>
      <w:tr>
        <w:trPr>
          <w:trHeight w:val="136"/>
        </w:trPr>
        <w:tc>
          <w:tcPr>
            <w:tcW w:w="1340" w:type="dxa"/>
            <w:vAlign w:val="bottom"/>
          </w:tcPr>
          <w:p>
            <w:pPr>
              <w:spacing w:after="0"/>
              <w:rPr>
                <w:sz w:val="11"/>
                <w:szCs w:val="11"/>
                <w:color w:val="auto"/>
              </w:rPr>
            </w:pPr>
          </w:p>
        </w:tc>
        <w:tc>
          <w:tcPr>
            <w:tcW w:w="320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5"/>
                <w:szCs w:val="15"/>
                <w:color w:val="0000FF"/>
              </w:rPr>
            </w:pPr>
            <w:hyperlink r:id="rId29">
              <w:r>
                <w:rPr>
                  <w:rFonts w:ascii="Times New Roman" w:cs="Times New Roman" w:eastAsia="Times New Roman" w:hAnsi="Times New Roman"/>
                  <w:sz w:val="15"/>
                  <w:szCs w:val="15"/>
                  <w:color w:val="0000FF"/>
                </w:rPr>
                <w:t>Report on Form 8-K dated March 25, 2025).</w:t>
              </w:r>
            </w:hyperlink>
          </w:p>
        </w:tc>
        <w:tc>
          <w:tcPr>
            <w:tcW w:w="3920" w:type="dxa"/>
            <w:vAlign w:val="bottom"/>
            <w:tcBorders>
              <w:top w:val="single" w:sz="8" w:color="0000FF"/>
            </w:tcBorders>
            <w:gridSpan w:val="9"/>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32"/>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Securities Purchase Agreement, by and between Innventure, Inc. and YA II PN, Ltd., dated March 25, 2025 (incorporated by reference to</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Exhibit 10.1 to Innventure, Inc.’s Current Report on Form 8-K dated March 25,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Global Guaranty Agreement by Innventure, LLC dated April 14, 2025 (incorporated by reference to Exhibit 10.1 to Innventure, Inc.’s</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Current Report on Form 8-K dated April 14, 2025).</w:t>
              </w:r>
            </w:hyperlink>
          </w:p>
        </w:tc>
        <w:tc>
          <w:tcPr>
            <w:tcW w:w="2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Registration Rights Agreement, dated April 14, 2025, between Innventure, Inc. and YA II PN, Ltd. (incorporated by reference to Exhibit</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556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Innventure, Inc.’s Current Report on Form 8-K dated April 14, 2025).</w:t>
              </w:r>
            </w:hyperlink>
          </w:p>
        </w:tc>
        <w:tc>
          <w:tcPr>
            <w:tcW w:w="434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83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Rule 13a-14(a) Certification by Gregory W. Haskell, Chief Executive Officer, for the quarter ended March 31, 2025.</w:t>
              </w:r>
            </w:hyperlink>
          </w:p>
        </w:tc>
        <w:tc>
          <w:tcPr>
            <w:tcW w:w="15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82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Rule 13a-14(a) Certification by David Yablunosky, Chief Financial Officer, for the quarter ended March 31, 2025.</w:t>
              </w:r>
            </w:hyperlink>
          </w:p>
        </w:tc>
        <w:tc>
          <w:tcPr>
            <w:tcW w:w="168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82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Section 1350 Certification by Gregory W. Haskell, Chief Executive Officer, for the quarter ended March 31, 2025.</w:t>
              </w:r>
            </w:hyperlink>
          </w:p>
        </w:tc>
        <w:tc>
          <w:tcPr>
            <w:tcW w:w="16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99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Section 1350 Certification by David Yablunosky, Chief Financial Officer, for the quarter ended March 31,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101*</w:t>
            </w: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 ended March 31, 2025,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formatted in Inline XBRL (eXtensible Business Reporting Language): (i) Condensed Consolidated Balance Sheets as of March 31, 2025</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w w:val="99"/>
              </w:rPr>
              <w:t>and December 31, 2024; (ii) Condensed Consolidated Statements of Operations and Comprehensive Income (Loss) for the three months</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ended March 31, 2025 (Successor), and for the three months ended March 31, 2024 (Predecessor); (iii) Condensed Consolidated</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Statements of Changes in Unitholders’ Deficit for the period December 31, 2023 through March 31, 2024 (Predecessor); (iv) Condensed</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period December 31, 2024 through March 31, 2025</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(Successor); (v) Condensed Consolidated Statements of Cash Flows for the three months ended March 31, 2025 (Successor), and the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three months ended March 31, 2024 (Predecessor); and (vi) Notes to Condensed Consolidated Financial Statements.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 upon request.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Corrected version of exhibit previously filed as Exhibit 3.3 to the registrant's Annual Report on Form 10-K filed with the SEC on April 14, 2025.</w:t>
      </w:r>
    </w:p>
    <w:p>
      <w:pPr>
        <w:spacing w:after="0" w:line="1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1440" w:right="419" w:bottom="1440" w:gutter="0" w:footer="0" w:header="0"/>
        </w:sectPr>
      </w:pPr>
    </w:p>
    <w:bookmarkStart w:id="49" w:name="page50"/>
    <w:bookmarkEnd w:id="4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4"/>
          </w:tcPr>
          <w:p>
            <w:pPr>
              <w:ind w:left="18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392"/>
        </w:trPr>
        <w:tc>
          <w:tcPr>
            <w:tcW w:w="3280" w:type="dxa"/>
            <w:vAlign w:val="bottom"/>
          </w:tcPr>
          <w:p>
            <w:pPr>
              <w:spacing w:after="0"/>
              <w:rPr>
                <w:sz w:val="24"/>
                <w:szCs w:val="24"/>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48"/>
        </w:trPr>
        <w:tc>
          <w:tcPr>
            <w:tcW w:w="32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237"/>
        </w:trPr>
        <w:tc>
          <w:tcPr>
            <w:tcW w:w="32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70"/>
        </w:trPr>
        <w:tc>
          <w:tcPr>
            <w:tcW w:w="3280" w:type="dxa"/>
            <w:vAlign w:val="bottom"/>
          </w:tcPr>
          <w:p>
            <w:pPr>
              <w:spacing w:after="0"/>
              <w:rPr>
                <w:sz w:val="23"/>
                <w:szCs w:val="23"/>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26"/>
        </w:trPr>
        <w:tc>
          <w:tcPr>
            <w:tcW w:w="3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15,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0"/>
          <w:szCs w:val="20"/>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51" w:name="page52"/>
    <w:bookmarkEnd w:id="5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4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As previously disclosed in the Current Reports on Form 8-K filed by Innventure, Inc., a Delaware corporation (the “Company”) with the U.S. Securities and Exchange Commission (the “SEC”) on March 26, 2025 and April 14, 2025,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(the "Common Stock," as converted, the “Conversion Shares”).</w:t>
      </w:r>
    </w:p>
    <w:p>
      <w:pPr>
        <w:spacing w:after="0" w:line="21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On April 14, 2025 (the “First Closing Date”), the Company issued a Convertible Debenture to Yorkville with a principal amount of $20,000,000. Pursuant to the Purchase Agreement, Yorkville will purchase, and the Company will issue, an additional $10,000,000 in aggregate principal amount of Convertible Debentures on the first business day after both (i) the registration statement filed with the SEC registering the resale of the Conversion Shares is declared effective by the SEC, which occurred on April 23, 2025, and (ii) the Company has received stockholder approval either through (a) affirmative votes at the Company’s annual meeting or (b) irrevocable proxies to do the same, which occurred on May 13, 2025 as further described below, by a majority of the voting power of the Company (“Stockholder Approval”) of the issuance of Conversion Shares and shares issuable pursuant to the Company’s Standby Equity Purchase Agreement, dated October 24, 2023, with Yorkville in excess of the Exchange Cap (as defined in the Purchase Agreement).</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By May 13, 2025, in connection with the Stockholder Approval, certain stockholders of the Company (each a “Voting Agreement Party”) constituting a majority of the voting power of the Company, each entered into an irrevocable Voting Agreement ("Voting Agreement") pursuant to which each Voting Agreement Party agreed to vote all shares of voting stock over which the Voting Agreement Party has voting control in favor of both Proposals 3 and 4, each as described in the Company’s Definitive Proxy Statement on Schedule 14A filed with the SEC on May 9, 2025 (the “2025 Proxy Statement”) in connection with the Company’s Annual Meeting of Stockholders to be held virtually at 9:00 a.m., ET, on June 25, 2025 (the “2025 Annual Meeting”). Each Voting Agreement Party also agreed to vote all shares of voting stock over which the Voting Agreement Party has voting control in favor of the equivalent of Proposals 3 and 4, each as described in the Company’s 2025 Proxy Statement, at any other meeting of stockholders of the Company subsequent to the 2025 Annual Meeting if such proposals are required to be resubmitted to the Company’s stockholders.</w:t>
      </w:r>
    </w:p>
    <w:p>
      <w:pPr>
        <w:spacing w:after="0" w:line="21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of the Voting Agreement does not purport to be complete and is qualified in its entirety by reference to the full text of such document, a form of which is filed herewith as Exhibit 10.1 and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Second Convertible Debenture</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May 15, 2025 (the “Second Closing Date”), the Company issued a Convertible Debenture to Yorkville with a principal amount of $10,000,000 (the “Second Convertible Debenture”). The Second Convertible Debenture will not bear interest unless an event of default occurs and remains uncured, upon which the Second Convertible Debenture will bear interest at an annual rate of 18.0%. The Second Convertible Debenture will mature on July 14, 2026 (the</w:t>
      </w:r>
    </w:p>
    <w:p>
      <w:pPr>
        <w:spacing w:after="0" w:line="1"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auto"/>
        </w:rPr>
        <w:t>“Maturity Date”). The Second Convertible Debenture resulted in gross proceeds to the Company of approximately $9,000,000, representing an original issue discount of 10%. With respect to the Second Convertible Debenture, the Company will be required to make monthly cash payments of principal in amounts between $545,455 and $1,545,450 (as per the schedule set forth in the Second Convertible Debenture) plus a payment premium of 5% and all accrued and unpaid interest as of the date of such installment. Such payments will commence on June 14, 2025 and will continue on a monthly basis thereafter until the Second Convertible Debenture is repaid in full.</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Second Convertible Debenture is convertible at the option of the holder into Common Stock equal to the applicable Conversion Amount (as defined below) divided by the Conversion Price (as defined below). The conversion price for the Second Convertible Debenture will initially be $10.00, and will be adjusted on the six-month anniversary of the First Closing Date (the “First Reset Date”) and the nine-month anniversary of the First</w:t>
      </w:r>
    </w:p>
    <w:p>
      <w:pPr>
        <w:sectPr>
          <w:pgSz w:w="11900" w:h="16838" w:orient="portrait"/>
          <w:cols w:equalWidth="0" w:num="1">
            <w:col w:w="11240"/>
          </w:cols>
          <w:pgMar w:left="320" w:top="14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Second Convertible Debenture may be converted at any time and from time to time, subject to the Exchange Cap (as defined below). The Conversion Amount with respect to any requested conversion will equal the principal amount requested to be converted plus all accrued and unpaid interest on the Second Convertible Debenture as of such conversion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1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w:t>
      </w:r>
    </w:p>
    <w:p>
      <w:pPr>
        <w:spacing w:after="0" w:line="21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Second Convertible Debenture provides the Company, subject to certain conditions, with an optional redemption right pursuant to which the Company, upon 10 trading days’ prior written notice to Yorkville (the “Redemption Notice”), may redeem in cash, in whole or in part, all amounts outstanding under the Second Convertible Debenture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a press release, attached hereto as Exhibit 99.1 and incorporated herein by reference, announcing the Company’s financial results for the first quarter ended March 31, 2025, and certain other information.</w:t>
      </w:r>
    </w:p>
    <w:p>
      <w:pPr>
        <w:spacing w:after="0" w:line="226" w:lineRule="exact"/>
        <w:rPr>
          <w:sz w:val="20"/>
          <w:szCs w:val="20"/>
          <w:color w:val="auto"/>
        </w:rPr>
      </w:pPr>
    </w:p>
    <w:p>
      <w:pPr>
        <w:ind w:right="380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Second Convertible Debenture was, and the Conversion Shares issuable upon conversion of the Second Convertible Debenture will be, exempt from registration pursuant to Section 4(a)(2) of the Securities Act. Yorkville represented to the Company that it is an “accredited investor” as defined in Rule 501 of the Securities Act and that each of the Second Convertible Debenture and the Conversion Shares will be acquired for investment purposes and not with a view to, or for sale in connection with, any distribution thereof.</w:t>
      </w:r>
    </w:p>
    <w:p>
      <w:pPr>
        <w:sectPr>
          <w:pgSz w:w="11900" w:h="16838" w:orient="portrait"/>
          <w:cols w:equalWidth="0" w:num="1">
            <w:col w:w="11220"/>
          </w:cols>
          <w:pgMar w:left="320" w:top="1404" w:right="359" w:bottom="1440" w:gutter="0" w:footer="0" w:header="0"/>
        </w:sectPr>
      </w:pPr>
    </w:p>
    <w:bookmarkStart w:id="53" w:name="page54"/>
    <w:bookmarkEnd w:id="5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8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9"/>
              </w:rPr>
            </w:pPr>
            <w:hyperlink r:id="rId36">
              <w:r>
                <w:rPr>
                  <w:rFonts w:ascii="Times New Roman" w:cs="Times New Roman" w:eastAsia="Times New Roman" w:hAnsi="Times New Roman"/>
                  <w:sz w:val="18"/>
                  <w:szCs w:val="18"/>
                  <w:color w:val="auto"/>
                  <w:w w:val="99"/>
                </w:rPr>
                <w:t>Second Convertible Debenture, issued to YA II PN, Ltd., dated May 15, 2025</w:t>
              </w:r>
            </w:hyperlink>
          </w:p>
        </w:tc>
      </w:tr>
      <w:tr>
        <w:trPr>
          <w:trHeight w:val="26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960" w:type="dxa"/>
            <w:vAlign w:val="bottom"/>
            <w:tcBorders>
              <w:bottom w:val="single" w:sz="8" w:color="auto"/>
            </w:tcBorders>
          </w:tcPr>
          <w:p>
            <w:pPr>
              <w:spacing w:after="0"/>
              <w:rPr>
                <w:rFonts w:ascii="Times New Roman" w:cs="Times New Roman" w:eastAsia="Times New Roman" w:hAnsi="Times New Roman"/>
                <w:sz w:val="18"/>
                <w:szCs w:val="18"/>
                <w:color w:val="auto"/>
                <w:w w:val="98"/>
              </w:rPr>
            </w:pPr>
            <w:hyperlink r:id="rId37">
              <w:r>
                <w:rPr>
                  <w:rFonts w:ascii="Times New Roman" w:cs="Times New Roman" w:eastAsia="Times New Roman" w:hAnsi="Times New Roman"/>
                  <w:sz w:val="18"/>
                  <w:szCs w:val="18"/>
                  <w:color w:val="auto"/>
                  <w:w w:val="98"/>
                </w:rPr>
                <w:t>Form of Voting Agreement</w:t>
              </w:r>
            </w:hyperlink>
          </w:p>
        </w:tc>
        <w:tc>
          <w:tcPr>
            <w:tcW w:w="3620" w:type="dxa"/>
            <w:vAlign w:val="bottom"/>
            <w:gridSpan w:val="2"/>
          </w:tcPr>
          <w:p>
            <w:pPr>
              <w:spacing w:after="0"/>
              <w:rPr>
                <w:sz w:val="22"/>
                <w:szCs w:val="22"/>
                <w:color w:val="auto"/>
              </w:rPr>
            </w:pPr>
          </w:p>
        </w:tc>
      </w:tr>
      <w:tr>
        <w:trPr>
          <w:trHeight w:val="26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80" w:type="dxa"/>
            <w:vAlign w:val="bottom"/>
            <w:gridSpan w:val="3"/>
          </w:tcPr>
          <w:p>
            <w:pPr>
              <w:spacing w:after="0"/>
              <w:rPr>
                <w:rFonts w:ascii="Times New Roman" w:cs="Times New Roman" w:eastAsia="Times New Roman" w:hAnsi="Times New Roman"/>
                <w:sz w:val="18"/>
                <w:szCs w:val="18"/>
                <w:color w:val="auto"/>
              </w:rPr>
            </w:pPr>
            <w:hyperlink r:id="rId38">
              <w:r>
                <w:rPr>
                  <w:rFonts w:ascii="Times New Roman" w:cs="Times New Roman" w:eastAsia="Times New Roman" w:hAnsi="Times New Roman"/>
                  <w:sz w:val="18"/>
                  <w:szCs w:val="18"/>
                  <w:color w:val="auto"/>
                </w:rPr>
                <w:t>Press Release by Innventure, Inc. dated May 15, 2025</w:t>
              </w:r>
            </w:hyperlink>
          </w:p>
        </w:tc>
      </w:tr>
      <w:tr>
        <w:trPr>
          <w:trHeight w:val="20"/>
        </w:trPr>
        <w:tc>
          <w:tcPr>
            <w:tcW w:w="2540" w:type="dxa"/>
            <w:vAlign w:val="bottom"/>
          </w:tcPr>
          <w:p>
            <w:pPr>
              <w:spacing w:after="0" w:line="20" w:lineRule="exact"/>
              <w:rPr>
                <w:sz w:val="1"/>
                <w:szCs w:val="1"/>
                <w:color w:val="auto"/>
              </w:rPr>
            </w:pPr>
          </w:p>
        </w:tc>
        <w:tc>
          <w:tcPr>
            <w:tcW w:w="388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396" w:lineRule="exact"/>
        <w:rPr>
          <w:sz w:val="20"/>
          <w:szCs w:val="20"/>
          <w:color w:val="auto"/>
        </w:rPr>
      </w:pPr>
    </w:p>
    <w:p>
      <w:pPr>
        <w:ind w:left="120" w:hanging="112"/>
        <w:spacing w:after="0"/>
        <w:tabs>
          <w:tab w:leader="none" w:pos="120" w:val="left"/>
        </w:tabs>
        <w:numPr>
          <w:ilvl w:val="0"/>
          <w:numId w:val="14"/>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8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320" w:val="left"/>
          <w:tab w:leader="none" w:pos="28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160"/>
          </w:cols>
          <w:pgMar w:left="320" w:top="1400" w:right="419" w:bottom="1440" w:gutter="0" w:footer="0" w:header="0"/>
        </w:sectPr>
      </w:pPr>
    </w:p>
    <w:bookmarkStart w:id="54" w:name="page55"/>
    <w:bookmarkEnd w:id="54"/>
    <w:p>
      <w:pPr>
        <w:ind w:right="220"/>
        <w:spacing w:after="0" w:line="282" w:lineRule="auto"/>
        <w:rPr>
          <w:sz w:val="20"/>
          <w:szCs w:val="20"/>
          <w:color w:val="auto"/>
        </w:rPr>
      </w:pPr>
      <w:r>
        <w:rPr>
          <w:rFonts w:ascii="Times New Roman" w:cs="Times New Roman" w:eastAsia="Times New Roman" w:hAnsi="Times New Roman"/>
          <w:sz w:val="18"/>
          <w:szCs w:val="18"/>
          <w:color w:val="auto"/>
        </w:rPr>
        <w:t>The table appearing on page 41 in the Prospectus is hereby replaced in its entirety with the table appearing below. The existing table is being corrected to update for certain mathematical calculations.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702"/>
        </w:trPr>
        <w:tc>
          <w:tcPr>
            <w:tcW w:w="340" w:type="dxa"/>
            <w:vAlign w:val="bottom"/>
            <w:tcBorders>
              <w:top w:val="single" w:sz="8" w:color="808080"/>
              <w:left w:val="single" w:sz="8" w:color="808080"/>
            </w:tcBorders>
          </w:tcPr>
          <w:p>
            <w:pPr>
              <w:spacing w:after="0"/>
              <w:rPr>
                <w:sz w:val="24"/>
                <w:szCs w:val="24"/>
                <w:color w:val="auto"/>
              </w:rPr>
            </w:pPr>
          </w:p>
        </w:tc>
        <w:tc>
          <w:tcPr>
            <w:tcW w:w="3620" w:type="dxa"/>
            <w:vAlign w:val="bottom"/>
            <w:tcBorders>
              <w:top w:val="single" w:sz="8" w:color="808080"/>
            </w:tcBorders>
          </w:tcPr>
          <w:p>
            <w:pPr>
              <w:spacing w:after="0"/>
              <w:rPr>
                <w:sz w:val="24"/>
                <w:szCs w:val="24"/>
                <w:color w:val="auto"/>
              </w:rPr>
            </w:pPr>
          </w:p>
        </w:tc>
        <w:tc>
          <w:tcPr>
            <w:tcW w:w="1620" w:type="dxa"/>
            <w:vAlign w:val="bottom"/>
            <w:tcBorders>
              <w:top w:val="single" w:sz="8" w:color="808080"/>
              <w:bottom w:val="single" w:sz="8" w:color="auto"/>
            </w:tcBorders>
          </w:tcPr>
          <w:p>
            <w:pPr>
              <w:spacing w:after="0"/>
              <w:rPr>
                <w:sz w:val="24"/>
                <w:szCs w:val="24"/>
                <w:color w:val="auto"/>
              </w:rPr>
            </w:pPr>
          </w:p>
        </w:tc>
        <w:tc>
          <w:tcPr>
            <w:tcW w:w="1580" w:type="dxa"/>
            <w:vAlign w:val="bottom"/>
            <w:tcBorders>
              <w:top w:val="single" w:sz="8" w:color="808080"/>
              <w:bottom w:val="single" w:sz="8" w:color="auto"/>
            </w:tcBorders>
          </w:tcPr>
          <w:p>
            <w:pPr>
              <w:spacing w:after="0"/>
              <w:rPr>
                <w:sz w:val="24"/>
                <w:szCs w:val="24"/>
                <w:color w:val="auto"/>
              </w:rPr>
            </w:pPr>
          </w:p>
        </w:tc>
        <w:tc>
          <w:tcPr>
            <w:tcW w:w="1820" w:type="dxa"/>
            <w:vAlign w:val="bottom"/>
            <w:tcBorders>
              <w:top w:val="single" w:sz="8" w:color="808080"/>
              <w:bottom w:val="single" w:sz="8" w:color="auto"/>
            </w:tcBorders>
          </w:tcPr>
          <w:p>
            <w:pPr>
              <w:spacing w:after="0"/>
              <w:rPr>
                <w:sz w:val="24"/>
                <w:szCs w:val="24"/>
                <w:color w:val="auto"/>
              </w:rPr>
            </w:pPr>
          </w:p>
        </w:tc>
        <w:tc>
          <w:tcPr>
            <w:tcW w:w="1920" w:type="dxa"/>
            <w:vAlign w:val="bottom"/>
            <w:tcBorders>
              <w:top w:val="single" w:sz="8" w:color="808080"/>
              <w:bottom w:val="single" w:sz="8" w:color="auto"/>
            </w:tcBorders>
          </w:tcPr>
          <w:p>
            <w:pPr>
              <w:spacing w:after="0"/>
              <w:rPr>
                <w:sz w:val="24"/>
                <w:szCs w:val="24"/>
                <w:color w:val="auto"/>
              </w:rPr>
            </w:pPr>
          </w:p>
        </w:tc>
        <w:tc>
          <w:tcPr>
            <w:tcW w:w="360" w:type="dxa"/>
            <w:vAlign w:val="bottom"/>
            <w:tcBorders>
              <w:top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808080"/>
            </w:tcBorders>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S/P Combined (Non-</w:t>
            </w:r>
          </w:p>
        </w:tc>
        <w:tc>
          <w:tcPr>
            <w:tcW w:w="192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3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Borders>
              <w:left w:val="single" w:sz="8" w:color="808080"/>
            </w:tcBorders>
          </w:tcPr>
          <w:p>
            <w:pPr>
              <w:spacing w:after="0"/>
              <w:rPr>
                <w:sz w:val="21"/>
                <w:szCs w:val="21"/>
                <w:color w:val="auto"/>
              </w:rPr>
            </w:pPr>
          </w:p>
        </w:tc>
        <w:tc>
          <w:tcPr>
            <w:tcW w:w="3620" w:type="dxa"/>
            <w:vAlign w:val="bottom"/>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920" w:type="dxa"/>
            <w:vAlign w:val="bottom"/>
            <w:tcBorders>
              <w:bottom w:val="single" w:sz="8" w:color="auto"/>
            </w:tcBorders>
            <w:vMerge w:val="continue"/>
          </w:tcPr>
          <w:p>
            <w:pPr>
              <w:spacing w:after="0"/>
              <w:rPr>
                <w:sz w:val="21"/>
                <w:szCs w:val="21"/>
                <w:color w:val="auto"/>
              </w:rPr>
            </w:pPr>
          </w:p>
        </w:tc>
        <w:tc>
          <w:tcPr>
            <w:tcW w:w="36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808080"/>
            </w:tcBorders>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5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808080"/>
            </w:tcBorders>
          </w:tcPr>
          <w:p>
            <w:pPr>
              <w:spacing w:after="0"/>
              <w:rPr>
                <w:sz w:val="15"/>
                <w:szCs w:val="15"/>
                <w:color w:val="auto"/>
              </w:rPr>
            </w:pPr>
          </w:p>
        </w:tc>
        <w:tc>
          <w:tcPr>
            <w:tcW w:w="3620" w:type="dxa"/>
            <w:vAlign w:val="bottom"/>
          </w:tcPr>
          <w:p>
            <w:pPr>
              <w:spacing w:after="0"/>
              <w:rPr>
                <w:sz w:val="15"/>
                <w:szCs w:val="15"/>
                <w:color w:val="auto"/>
              </w:rPr>
            </w:pPr>
          </w:p>
        </w:tc>
        <w:tc>
          <w:tcPr>
            <w:tcW w:w="16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October 2, 2024</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January 1, 2024</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c>
          <w:tcPr>
            <w:tcW w:w="192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60" w:type="dxa"/>
            <w:vAlign w:val="bottom"/>
            <w:tcBorders>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Borders>
              <w:left w:val="single" w:sz="8" w:color="808080"/>
            </w:tcBorders>
          </w:tcPr>
          <w:p>
            <w:pPr>
              <w:spacing w:after="0"/>
              <w:rPr>
                <w:sz w:val="16"/>
                <w:szCs w:val="16"/>
                <w:color w:val="auto"/>
              </w:rPr>
            </w:pPr>
          </w:p>
        </w:tc>
        <w:tc>
          <w:tcPr>
            <w:tcW w:w="3620" w:type="dxa"/>
            <w:vAlign w:val="bottom"/>
          </w:tcPr>
          <w:p>
            <w:pPr>
              <w:spacing w:after="0"/>
              <w:rPr>
                <w:sz w:val="16"/>
                <w:szCs w:val="16"/>
                <w:color w:val="auto"/>
              </w:rPr>
            </w:pPr>
          </w:p>
        </w:tc>
        <w:tc>
          <w:tcPr>
            <w:tcW w:w="16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through December</w:t>
            </w: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through October 1,</w:t>
            </w:r>
          </w:p>
        </w:tc>
        <w:tc>
          <w:tcPr>
            <w:tcW w:w="182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3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808080"/>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808080"/>
            </w:tcBorders>
          </w:tcPr>
          <w:p>
            <w:pPr>
              <w:spacing w:after="0"/>
              <w:rPr>
                <w:sz w:val="19"/>
                <w:szCs w:val="19"/>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(70,093)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(98,291)</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(30,984)</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808080"/>
            </w:tcBorders>
          </w:tcPr>
          <w:p>
            <w:pPr>
              <w:spacing w:after="0"/>
              <w:rPr>
                <w:sz w:val="19"/>
                <w:szCs w:val="19"/>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net(1)</w:t>
            </w:r>
          </w:p>
        </w:tc>
        <w:tc>
          <w:tcPr>
            <w:tcW w:w="1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1,224</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808080"/>
            </w:tcBorders>
          </w:tcPr>
          <w:p>
            <w:pPr>
              <w:spacing w:after="0"/>
              <w:rPr>
                <w:sz w:val="19"/>
                <w:szCs w:val="19"/>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808080"/>
            </w:tcBorders>
          </w:tcPr>
          <w:p>
            <w:pPr>
              <w:spacing w:after="0"/>
              <w:rPr>
                <w:sz w:val="19"/>
                <w:szCs w:val="19"/>
                <w:color w:val="auto"/>
              </w:rPr>
            </w:pPr>
          </w:p>
        </w:tc>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808080"/>
            </w:tcBorders>
          </w:tcPr>
          <w:p>
            <w:pPr>
              <w:spacing w:after="0"/>
              <w:rPr>
                <w:sz w:val="19"/>
                <w:szCs w:val="19"/>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(56,747)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(83,067)</w:t>
            </w:r>
          </w:p>
        </w:tc>
        <w:tc>
          <w:tcPr>
            <w:tcW w:w="19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(29,752)</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808080"/>
            </w:tcBorders>
          </w:tcPr>
          <w:p>
            <w:pPr>
              <w:spacing w:after="0"/>
              <w:rPr>
                <w:sz w:val="19"/>
                <w:szCs w:val="19"/>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other related costs(2)</w:t>
            </w:r>
          </w:p>
        </w:tc>
        <w:tc>
          <w:tcPr>
            <w:tcW w:w="1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3,452</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808080"/>
            </w:tcBorders>
          </w:tcPr>
          <w:p>
            <w:pPr>
              <w:spacing w:after="0"/>
              <w:rPr>
                <w:sz w:val="19"/>
                <w:szCs w:val="19"/>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financial liabilities(3)</w:t>
            </w:r>
          </w:p>
        </w:tc>
        <w:tc>
          <w:tcPr>
            <w:tcW w:w="16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20,946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(766)</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808080"/>
            </w:tcBorders>
          </w:tcPr>
          <w:p>
            <w:pPr>
              <w:spacing w:after="0"/>
              <w:rPr>
                <w:sz w:val="19"/>
                <w:szCs w:val="19"/>
                <w:color w:val="auto"/>
              </w:rPr>
            </w:pPr>
          </w:p>
        </w:tc>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Stock based compensation(4)</w:t>
            </w:r>
          </w:p>
        </w:tc>
        <w:tc>
          <w:tcPr>
            <w:tcW w:w="16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16,338</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910</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808080"/>
            </w:tcBorders>
          </w:tcPr>
          <w:p>
            <w:pPr>
              <w:spacing w:after="0"/>
              <w:rPr>
                <w:sz w:val="19"/>
                <w:szCs w:val="19"/>
                <w:color w:val="auto"/>
              </w:rPr>
            </w:pPr>
          </w:p>
        </w:tc>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(17,154)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(32,526)</w:t>
            </w:r>
          </w:p>
        </w:tc>
        <w:tc>
          <w:tcPr>
            <w:tcW w:w="19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(26,156)</w:t>
            </w:r>
          </w:p>
        </w:tc>
        <w:tc>
          <w:tcPr>
            <w:tcW w:w="3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808080"/>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left w:val="single" w:sz="8" w:color="808080"/>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w:t>
      </w:r>
    </w:p>
    <w:p>
      <w:pPr>
        <w:spacing w:after="0" w:line="5" w:lineRule="exact"/>
        <w:rPr>
          <w:rFonts w:ascii="Times New Roman" w:cs="Times New Roman" w:eastAsia="Times New Roman" w:hAnsi="Times New Roman"/>
          <w:sz w:val="18"/>
          <w:szCs w:val="18"/>
          <w:color w:val="auto"/>
        </w:rPr>
      </w:pPr>
    </w:p>
    <w:p>
      <w:pPr>
        <w:ind w:right="400"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other related costs – For the combined twelve months ended December 31, 2024 and for the Predecessor year ended December 31, 2023 this is comprised entirely of consulting, legal, and other professional fees related to the Business Combination.</w:t>
      </w:r>
    </w:p>
    <w:p>
      <w:pPr>
        <w:ind w:right="160"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8"/>
          <w:szCs w:val="18"/>
          <w:color w:val="auto"/>
        </w:rPr>
      </w:pPr>
    </w:p>
    <w:p>
      <w:pPr>
        <w:ind w:right="40"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sectPr>
      <w:pgSz w:w="11900" w:h="16838" w:orient="portrait"/>
      <w:cols w:equalWidth="0" w:num="1">
        <w:col w:w="11260"/>
      </w:cols>
      <w:pgMar w:left="320" w:top="14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hyperlink" Target="https://www.sec.gov/Archives/edgar/data/2001557/000114036124040480/ny20012992x29_s4a.htm#tANNEXA" TargetMode="External"/><Relationship Id="rId22" Type="http://schemas.openxmlformats.org/officeDocument/2006/relationships/hyperlink" Target="https://www.sec.gov/Archives/edgar/data/2001557/000114036124043179/ef20036737_ex3-1.htm" TargetMode="External"/><Relationship Id="rId23" Type="http://schemas.openxmlformats.org/officeDocument/2006/relationships/hyperlink" Target="https://www.sec.gov/Archives/edgar/data/2001557/000114036124043179/ef20036737_ex3-2.htm" TargetMode="External"/><Relationship Id="rId24" Type="http://schemas.openxmlformats.org/officeDocument/2006/relationships/hyperlink" Target="https://www.sec.gov/Archives/edgar/data/2001557/000162828025025892/inv-ex33innventureseriesbp.htm" TargetMode="External"/><Relationship Id="rId25" Type="http://schemas.openxmlformats.org/officeDocument/2006/relationships/hyperlink" Target="https://www.sec.gov/Archives/edgar/data/2001557/000114036125010165/ef20045914_ex3-1.htm" TargetMode="External"/><Relationship Id="rId26" Type="http://schemas.openxmlformats.org/officeDocument/2006/relationships/hyperlink" Target="https://www.sec.gov/ix?doc=/Archives/edgar/data/0002001557/000162828025017703/inv-20250414.htm" TargetMode="External"/><Relationship Id="rId27" Type="http://schemas.openxmlformats.org/officeDocument/2006/relationships/hyperlink" Target="https://www.sec.gov/Archives/edgar/data/2001557/000114036125010165/ef20045914_ex10-1.htm" TargetMode="External"/><Relationship Id="rId28" Type="http://schemas.openxmlformats.org/officeDocument/2006/relationships/hyperlink" Target="https://www.sec.gov/Archives/edgar/data/2001557/000114036125010165/ef20045914_ex10-2.htm" TargetMode="External"/><Relationship Id="rId29" Type="http://schemas.openxmlformats.org/officeDocument/2006/relationships/hyperlink" Target="https://www.sec.gov/Archives/edgar/data/2001557/000114036125010165/ef20045914_ex10-3.htm" TargetMode="External"/><Relationship Id="rId30" Type="http://schemas.openxmlformats.org/officeDocument/2006/relationships/hyperlink" Target="https://www.sec.gov/Archives/edgar/data/2001557/000114036125010344/ef20045913_ex10-1.htm" TargetMode="External"/><Relationship Id="rId31" Type="http://schemas.openxmlformats.org/officeDocument/2006/relationships/hyperlink" Target="https://www.sec.gov/Archives/edgar/data/2001557/000162828025017703/exhibit101-globalguarant.htm" TargetMode="External"/><Relationship Id="rId32" Type="http://schemas.openxmlformats.org/officeDocument/2006/relationships/hyperlink" Target="https://www.sec.gov/Archives/edgar/data/2001557/000162828025017703/exhibit102-registrationr.htm" TargetMode="External"/><Relationship Id="rId33" Type="http://schemas.openxmlformats.org/officeDocument/2006/relationships/hyperlink" Target="https://www.sec.gov/Archives/edgar/data/2001557/000162828025025892/inv-ex311to2025q110xq50005.htm" TargetMode="External"/><Relationship Id="rId34" Type="http://schemas.openxmlformats.org/officeDocument/2006/relationships/hyperlink" Target="https://www.sec.gov/Archives/edgar/data/2001557/000162828025025892/inv-ex312to2025q110xq50005.htm" TargetMode="External"/><Relationship Id="rId35" Type="http://schemas.openxmlformats.org/officeDocument/2006/relationships/hyperlink" Target="https://www.sec.gov/Archives/edgar/data/2001557/000162828025025892/inv-ex321to2025q110xq50005.htm" TargetMode="External"/><Relationship Id="rId36" Type="http://schemas.openxmlformats.org/officeDocument/2006/relationships/hyperlink" Target="https://www.sec.gov/Archives/edgar/data/2001557/000162828025025932/inv-seconddebenturexex41.htm" TargetMode="External"/><Relationship Id="rId37" Type="http://schemas.openxmlformats.org/officeDocument/2006/relationships/hyperlink" Target="https://www.sec.gov/Archives/edgar/data/2001557/000162828025025932/innventureformofvotingagre.htm" TargetMode="External"/><Relationship Id="rId38" Type="http://schemas.openxmlformats.org/officeDocument/2006/relationships/hyperlink" Target="https://www.sec.gov/Archives/edgar/data/2001557/000162828025025932/innventure-1q25earningsr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2025-05-19T13:04:10Z</dcterms:created>
  <dcterms:modified xsi:type="dcterms:W3CDTF">2025-05-19T13:04:10Z</dcterms:modified>
</cp:coreProperties>
</file>