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333-286558</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2025)</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April 23, 2025 (the “Prospectus”), which forms a part of our Registration Statement on Form S-1 (Registration No. 333-286558) and is being filed to update, amend and supplement the information included in the Prospectus with information contained in our Current Report on Form 8-K which was filed with the Securities and Exchange Commission (the “SEC”) on July 2, 2025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July 1, 2025, the closing price of our Common Stock was $4.76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2, 2025.</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0"/>
          <w:szCs w:val="20"/>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ind w:right="200" w:firstLine="648"/>
        <w:spacing w:after="0" w:line="239" w:lineRule="auto"/>
        <w:rPr>
          <w:sz w:val="20"/>
          <w:szCs w:val="20"/>
          <w:color w:val="auto"/>
        </w:rPr>
      </w:pPr>
      <w:r>
        <w:rPr>
          <w:rFonts w:ascii="Times New Roman" w:cs="Times New Roman" w:eastAsia="Times New Roman" w:hAnsi="Times New Roman"/>
          <w:sz w:val="18"/>
          <w:szCs w:val="18"/>
          <w:color w:val="auto"/>
        </w:rPr>
        <w:t>On June 30, 2025, Accelsius, LLC (“Accelsius”), a controlled subsidiary of Innventure, Inc., a Delaware corporation, entered into an Amended and Restated Technology License and Know-How Agreement (the “A&amp;R License Agreement”) with Nokia Technologies Oy (“Nokia Tech”), Nokia Solutions and Networks Oy (“NSN”), Nokia of America Corporation (“NoAC” and, collectively with Nokia Tech and NSN, “Nokia”), and Innventure, LLC (solely as specifically set forth therein) (“Innventure LLC”), which amends and restates the Technology License and Know-How Agreement (the “Original License Agreement”), dated May 27, 2022, among Accelsius, Nokia Tech, NSN, NoAC, and Innventure LLC.</w:t>
      </w:r>
    </w:p>
    <w:p>
      <w:pPr>
        <w:spacing w:after="0" w:line="2"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18"/>
          <w:szCs w:val="18"/>
          <w:color w:val="auto"/>
        </w:rPr>
        <w:t>The Original License Agreement set forth the terms under which Nokia granted to Accelsius a worldwide, non-transferable, and non-exclusive license to use, copy, perform, display, and create derivative works of certain technical information and software for the manufacture and sale of specified products and activities related to Accelsius’ two-phase cooling technology. The Original License Agreement also provided for limited sublicensing rights, subject to confidentiality and use restrictions. The Original License Agreement required Accelsius to pay Nokia a fixed initial fee, royalty payments tied to certain revenues, and additional fixed installment payments according to a defined schedule.</w:t>
      </w:r>
    </w:p>
    <w:p>
      <w:pPr>
        <w:spacing w:after="0" w:line="3"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8"/>
          <w:szCs w:val="18"/>
          <w:color w:val="auto"/>
        </w:rPr>
        <w:t>The A&amp;R License Agreement eliminates the requirement for Accelsius to pay Nokia royalty payments tied to revenues and extends the due dates for fixed installment payments. The A&amp;R License Agreement also provides for certain technical and conforming changes related to the elimination of the revenue-based royalty payments. Additionally, the A&amp;R License Agreement modifies and reduces the buy-out fee payable to Nokia in lieu of future installment payments upon certain events such as an assignment of the A&amp;R License Agreement or a capital event (including a change of control or initial public offering), at the option of either Nokia or Accelsius. Furthermore, the A&amp;R License Agreement eliminates Accelsius’ ability to unilaterally terminate the A&amp;R License Agreement upon the occurrence of certain events (other than a material breach) and provides Nokia with certain limited information rights related to the equity ownership of Accelsius.</w:t>
      </w:r>
    </w:p>
    <w:p>
      <w:pPr>
        <w:spacing w:after="0" w:line="5"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The foregoing summary of the A&amp;R License Agreement does not purport to be complete and is qualified in its entirety by reference to the text of the A&amp;R License Agreement, which is included as Exhibit 10.1 to this Current Report on Form 8-K and is incorporated herein by reference.</w:t>
      </w:r>
    </w:p>
    <w:p>
      <w:pPr>
        <w:sectPr>
          <w:pgSz w:w="11900" w:h="16838" w:orient="portrait"/>
          <w:cols w:equalWidth="0" w:num="1">
            <w:col w:w="11160"/>
          </w:cols>
          <w:pgMar w:left="320" w:top="1413" w:right="419" w:bottom="1440" w:gutter="0" w:footer="0" w:header="0"/>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38"/>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780" w:type="dxa"/>
            <w:vAlign w:val="bottom"/>
            <w:tcBorders>
              <w:bottom w:val="single" w:sz="8" w:color="auto"/>
            </w:tcBorders>
            <w:gridSpan w:val="3"/>
          </w:tcPr>
          <w:p>
            <w:pPr>
              <w:spacing w:after="0"/>
              <w:rPr>
                <w:rFonts w:ascii="Times New Roman" w:cs="Times New Roman" w:eastAsia="Times New Roman" w:hAnsi="Times New Roman"/>
                <w:sz w:val="18"/>
                <w:szCs w:val="18"/>
                <w:color w:val="auto"/>
                <w:w w:val="99"/>
              </w:rPr>
            </w:pPr>
            <w:hyperlink r:id="rId8">
              <w:r>
                <w:rPr>
                  <w:rFonts w:ascii="Times New Roman" w:cs="Times New Roman" w:eastAsia="Times New Roman" w:hAnsi="Times New Roman"/>
                  <w:sz w:val="18"/>
                  <w:szCs w:val="18"/>
                  <w:color w:val="auto"/>
                  <w:w w:val="99"/>
                </w:rPr>
                <w:t>Amended and Restated Technology License and Know-How Agreement, dated June 30, 2025,</w:t>
              </w:r>
            </w:hyperlink>
          </w:p>
        </w:tc>
      </w:tr>
      <w:tr>
        <w:trPr>
          <w:trHeight w:val="209"/>
        </w:trPr>
        <w:tc>
          <w:tcPr>
            <w:tcW w:w="2540" w:type="dxa"/>
            <w:vAlign w:val="bottom"/>
          </w:tcPr>
          <w:p>
            <w:pPr>
              <w:spacing w:after="0"/>
              <w:rPr>
                <w:sz w:val="18"/>
                <w:szCs w:val="18"/>
                <w:color w:val="auto"/>
              </w:rPr>
            </w:pPr>
          </w:p>
        </w:tc>
        <w:tc>
          <w:tcPr>
            <w:tcW w:w="6780" w:type="dxa"/>
            <w:vAlign w:val="bottom"/>
            <w:gridSpan w:val="3"/>
          </w:tcPr>
          <w:p>
            <w:pPr>
              <w:spacing w:after="0"/>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among Accelsius, LLC, Innventure, LLC (solely as specifically set forth therein), Nokia</w:t>
              </w:r>
            </w:hyperlink>
          </w:p>
        </w:tc>
      </w:tr>
      <w:tr>
        <w:trPr>
          <w:trHeight w:val="20"/>
        </w:trPr>
        <w:tc>
          <w:tcPr>
            <w:tcW w:w="2540" w:type="dxa"/>
            <w:vAlign w:val="bottom"/>
          </w:tcPr>
          <w:p>
            <w:pPr>
              <w:spacing w:after="0" w:line="20" w:lineRule="exact"/>
              <w:rPr>
                <w:sz w:val="1"/>
                <w:szCs w:val="1"/>
                <w:color w:val="auto"/>
              </w:rPr>
            </w:pPr>
          </w:p>
        </w:tc>
        <w:tc>
          <w:tcPr>
            <w:tcW w:w="6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2540" w:type="dxa"/>
            <w:vAlign w:val="bottom"/>
          </w:tcPr>
          <w:p>
            <w:pPr>
              <w:spacing w:after="0"/>
              <w:rPr>
                <w:sz w:val="17"/>
                <w:szCs w:val="17"/>
                <w:color w:val="auto"/>
              </w:rPr>
            </w:pPr>
          </w:p>
        </w:tc>
        <w:tc>
          <w:tcPr>
            <w:tcW w:w="6780" w:type="dxa"/>
            <w:vAlign w:val="bottom"/>
            <w:gridSpan w:val="3"/>
          </w:tcPr>
          <w:p>
            <w:pPr>
              <w:spacing w:after="0" w:line="196" w:lineRule="exact"/>
              <w:rPr>
                <w:rFonts w:ascii="Times New Roman" w:cs="Times New Roman" w:eastAsia="Times New Roman" w:hAnsi="Times New Roman"/>
                <w:sz w:val="18"/>
                <w:szCs w:val="18"/>
                <w:color w:val="auto"/>
              </w:rPr>
            </w:pPr>
            <w:hyperlink r:id="rId8">
              <w:r>
                <w:rPr>
                  <w:rFonts w:ascii="Times New Roman" w:cs="Times New Roman" w:eastAsia="Times New Roman" w:hAnsi="Times New Roman"/>
                  <w:sz w:val="18"/>
                  <w:szCs w:val="18"/>
                  <w:color w:val="auto"/>
                </w:rPr>
                <w:t>Technologies Oy, Nokia Solutions and Networks Oy, and Nokia of America Corporation.</w:t>
              </w:r>
            </w:hyperlink>
          </w:p>
        </w:tc>
      </w:tr>
      <w:tr>
        <w:trPr>
          <w:trHeight w:val="304"/>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3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40" w:firstLine="8"/>
        <w:spacing w:after="0" w:line="253" w:lineRule="auto"/>
        <w:tabs>
          <w:tab w:leader="none" w:pos="10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identified information has been excluded from this exhibit pursuant to Rule 601(b)(10) of Regulation S-K because it is both (i) not material and (ii) is the type of information that the registrant treats as private or confidential.</w:t>
      </w:r>
    </w:p>
    <w:p>
      <w:pPr>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Schedules and exhibits have been omitted pursuant to Item 601(a)(5) of Regulation S-K. Innventure, Inc. agrees to furnish supplementally a copy of any omitted schedule or exhibit to the SEC upon request.</w:t>
      </w:r>
    </w:p>
    <w:p>
      <w:pPr>
        <w:sectPr>
          <w:pgSz w:w="11900" w:h="16838" w:orient="portrait"/>
          <w:cols w:equalWidth="0" w:num="1">
            <w:col w:w="11160"/>
          </w:cols>
          <w:pgMar w:left="320" w:top="1400" w:right="419" w:bottom="1440" w:gutter="0" w:footer="0" w:header="0"/>
        </w:sectPr>
      </w:pPr>
    </w:p>
    <w:bookmarkStart w:id="4" w:name="page5"/>
    <w:bookmarkEnd w:id="4"/>
    <w:p>
      <w:pPr>
        <w:spacing w:after="0" w:line="21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56" w:lineRule="exact"/>
        <w:rPr>
          <w:sz w:val="20"/>
          <w:szCs w:val="20"/>
          <w:color w:val="auto"/>
        </w:rPr>
      </w:pPr>
    </w:p>
    <w:p>
      <w:pPr>
        <w:spacing w:after="0"/>
        <w:tabs>
          <w:tab w:leader="none" w:pos="2200" w:val="left"/>
          <w:tab w:leader="none" w:pos="2700" w:val="left"/>
        </w:tabs>
        <w:rPr>
          <w:sz w:val="20"/>
          <w:szCs w:val="20"/>
          <w:color w:val="auto"/>
        </w:rPr>
      </w:pPr>
      <w:r>
        <w:rPr>
          <w:rFonts w:ascii="Times New Roman" w:cs="Times New Roman" w:eastAsia="Times New Roman" w:hAnsi="Times New Roman"/>
          <w:sz w:val="18"/>
          <w:szCs w:val="18"/>
          <w:color w:val="auto"/>
        </w:rPr>
        <w:t>Date: July 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David Yablunosky</w:t>
      </w:r>
    </w:p>
    <w:p>
      <w:pPr>
        <w:spacing w:after="0" w:line="16" w:lineRule="exact"/>
        <w:rPr>
          <w:sz w:val="20"/>
          <w:szCs w:val="20"/>
          <w:color w:val="auto"/>
        </w:rPr>
      </w:pPr>
    </w:p>
    <w:p>
      <w:pPr>
        <w:ind w:left="4540"/>
        <w:spacing w:after="0"/>
        <w:tabs>
          <w:tab w:leader="none" w:pos="5220" w:val="left"/>
        </w:tabs>
        <w:rPr>
          <w:sz w:val="20"/>
          <w:szCs w:val="20"/>
          <w:color w:val="auto"/>
        </w:rPr>
      </w:pPr>
      <w:r>
        <w:rPr>
          <w:rFonts w:ascii="Times New Roman" w:cs="Times New Roman" w:eastAsia="Times New Roman" w:hAnsi="Times New Roman"/>
          <w:sz w:val="18"/>
          <w:szCs w:val="18"/>
          <w:color w:val="auto"/>
        </w:rPr>
        <w:t>Name:</w:t>
        <w:tab/>
        <w:t>David Yablunosky</w:t>
      </w:r>
    </w:p>
    <w:p>
      <w:pPr>
        <w:spacing w:after="0" w:line="7" w:lineRule="exact"/>
        <w:rPr>
          <w:sz w:val="20"/>
          <w:szCs w:val="20"/>
          <w:color w:val="auto"/>
        </w:rPr>
      </w:pPr>
    </w:p>
    <w:p>
      <w:pPr>
        <w:ind w:left="4540"/>
        <w:spacing w:after="0"/>
        <w:tabs>
          <w:tab w:leader="none" w:pos="5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s://www.sec.gov/Archives/edgar/data/2001557/000162828025033968/inv-formxarnokialicens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2025-07-02T15:49:27Z</dcterms:created>
  <dcterms:modified xsi:type="dcterms:W3CDTF">2025-07-02T15:49:27Z</dcterms:modified>
</cp:coreProperties>
</file>