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b w:val="1"/>
          <w:bCs w:val="1"/>
          <w:i w:val="1"/>
          <w:iCs w:val="1"/>
          <w:color w:val="auto"/>
        </w:rPr>
        <w:t>see</w:t>
      </w:r>
      <w:r>
        <w:rPr>
          <w:rFonts w:ascii="Times New Roman" w:cs="Times New Roman" w:eastAsia="Times New Roman" w:hAnsi="Times New Roman"/>
          <w:sz w:val="18"/>
          <w:szCs w:val="18"/>
          <w:b w:val="1"/>
          <w:bCs w:val="1"/>
          <w:color w:val="auto"/>
        </w:rPr>
        <w:t xml:space="preserve"> General Instruction A.2. below):</w:t>
      </w:r>
    </w:p>
    <w:p>
      <w:pPr>
        <w:spacing w:after="0" w:line="15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5"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2025 (the “Series C Closing Date”), Innventure, Inc. (the “Company”) entered into preferred stock purchase agreements (each, a “Series C Purchase Agreement”, and collectively, the “Series C Purchase Agreements”) with certain purchasers (the “Purchasers”), pursuant to which the Company agreed to issue and sell to the Purchasers an aggregate of up to 275,000 shares of the Company’s Series C preferred stock, par value $0.0001 per share (the “Series C Preferred Stock”), in a private placement, at a price of $10.00 per share of Series C Preferred Stock, resulting in an aggregate purchase price of approximately $2,750,000 before deducting fees and other estimated offering expenses (such offering, the “Series C Preferred Stock Financing”). The Series C Preferred Stock Financing closed on the Series C Closing Date.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Series C Purchase Agreements contain customary representations, warranties, and covenants by the parties, including certain indemnification obligations of the Purchasers. The representations, warranties, and covenants contained in the Series C Purchase Agreements were made only for purposes of such agreement and as of specific dates, were solely for the benefit of the Purchasers and are subject to limitations agreed upon by contracting parties. Accordingly, the form of the Series C Purchase Agreement is incorporated herein by reference only to provide investors with information regarding the terms of the Series C Purchase Agreements and not to provide investors with any other factual information regarding the Company or its business and should be read in conjunction with the disclosures in the Company’s periodic reports and other filings with the Securities and Exchange Commission (the “SEC”).</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Series C Purchase Agreements, the Company is required to prepare and file a registration statement (the “Series C Preferred Stock Resale Registration Statement”) with the SEC under the Securities Act of 1933, as amended (the “Securities Act”), covering the resale of the shares of the Company’s common stock, par value $0.0001 per share (the “Common Stock”), issuable upon conversion of shares of Series C Preferred Stock within 120 days from the original issuance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Series C Closing Date, the Company also filed a Certificate of Designations (the “Series C Preferred Stock Certificate of Designations”) with the Secretary of State of the State of Delaware setting forth the terms, rights, obligations and preferences of the Series C Preferred Stock. The information set forth in Item 5.03 is incorporated herein by reference.</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Series C Purchase Agreements does not purport to be complete and is qualified in its entirety by reference to the full text of such document, which is filed herewith as Exhibit 10.2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Terminations of Related Party Loans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(i) on May 2, 2024, Innventure LLC, a Delaware limited liability company and wholly-owned subsidiary of the Company (“Innventure LLC”) , and Michael Otworth, the Executive Chairman and a director of the Company, entered into that certain Unsecured Promissory Note (the “Otworth Note”) pursuant to which Innventure LLC agreed to pay Mr. Otworth the principal and interest in accordance the terms and conditions set forth therein.</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on October 1, 2024, Innventure LLC and John Scott, the Chief Strategy Officer of the Company, entered into that certain Amended and Restated Unsecured Promissory Note (the “Scott Note”) pursuant to which Innventure LLC agreed to pay Dr. Scott the principal and interest in accordance the terms and conditions set forth therein.</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February 9, 2023, AeroFlexx Packaging Company, LLC, a Delaware limited liability company and indirect partially-owned subsidiary of the Company (“AeroFlexx”), and Auto Now Acceptance Co., LLC (“Auto Now”), of which James Donnally, a director of the Company, serves as a director, entered into that certain Loan Agreement, dated February 9, 2023, as extended by the Loan Renewal Agreement No. 1, dated December 1, 2023 (the “Auto Now Loan”) pursuant to which AeroFlexx agreed to pay Auto Now the principal and interest in accordance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October 1, 2024, Innventure LLC and the Glockner Family Venture Fund, LP (the “Glockner Fund” and, collectively with Mr. Otworth, Dr. Scott, Auto Now and each of their respective affiliates, the “Lenders”) entered into that certain Amended and Restated Unsecured Promissory Note (the “Glockner Note,” together with the Otworth Note, the Scott Note, and the Auto Now Loan, the “Related Party Loans”) pursuant to which Innventure LLC agreed to pay the Glockner Fund the principal and interest in accordance with the terms and conditions set forth therein. Mr. Donnally also serves as the Managing Member of Bellringer Consulting Group, LLC, the General Partner of the Fund, and is a 25% owner of the Fund and of Bellringer Consulting Group, LLC.</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Series C Closing Date, each of the Lenders terminated their respective Related Party Loans in exchange for (i) in the case of the Otworth Note, 114,161 shares of Series C Preferred Stock and a cash payment of $180,042, (ii) in the case of the Scott Note, 226,334 shares of Series C Preferred Stock and a cash payment of $194,507, (iii) in the case of the Auto Now Loan, 578,294 shares of Series C Preferred Stock, and (iv) in the case of the Glockner Note, 1,392,059 shares of Series C Preferred Stock.</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Series C 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and Item 5.03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issued the Series C Preferred Stock to the Purchasers in transactions not involving an underwriter and not requiring registration under Section 5 of the Securities Act in reliance on the exemption afforded by Section 4(a)(2) thereof or Regulation D promulgated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to Yorkville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19, 2024, the Company issued YA II PN, Ltd. (“Yorkville”) 60,000 shares of Common Stock, on December 26, 2024, the Company issued Yorkville 50,000 shares of Common Stock, on January 3, 2024, the Company issued Yorkville 50,000 shares of Common Stock, on January 17, 2025, the Company issued Yorkville 4,617 shares of Common Stock, and on January 28, 2025, the Company issued Yorkville 19,376 shares of Common Stock (collectively, the “SEPA shares”), each pursuant to the terms of the Standby Equity Purchase Agreement dated October 24, 2023, entered into with Yorkville.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Ducera</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On February 3, 2025, the Company issued to Ducera Partners LLC and its affiliates (“Ducera”) 85,471 shares of Common Stock (the “Ducera shares”) pursuant to the terms of an engagement letter under which Ducera would perform certain financial advisory and investment baking services to Innventure LLC. Such engagement letter was amended to include the Company on December 23,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Roth</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October 31, 2024, pursuant to a letter agreement between Innventure LLC and Roth Capital Partners LLC (“Roth”), dated July 8, 2024, the Company issued to Roth 25,000 shares of Common Stock (the “Roth shares”) in settlement of $250,000 of transaction costs incurred by the Company and its affiliates for certain capital markets advisory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Grail Partners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24, 2025, the Company issued to affiliates of Grail Partners LLC an aggregate of 300,000 shares of Series C Preferred Stock (the “Grail shares”) in settlement of amounts owed pursuant to the terms of a letter agreement under which Grail Partners LLC would provide certain financial advisory and merchant banking services.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the SEPA shares, the Ducera shares, the Roth shares, and the Grail shares in transactions not involving an underwriter and not requiring registration under Section 5 of the Securities Act, in reliance on the exemption afforded by Section 4(a)(2) thereof or Regulation D promulgated under the Securities Act. The Company has previously registered the resale of the SEPA shares, and the Roth shares (as defined below) under the Securities Act. The Company has also agreed to register the resale of the Ducera shares under the Securities Act.</w:t>
      </w:r>
    </w:p>
    <w:p>
      <w:pPr>
        <w:spacing w:after="0" w:line="17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and Item 5.03 is incorporated herein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the Closing Date, the Company filed the Series C Preferred Stock Certificate of Designations with the Secretary of State of the State of Delaware, which became effective upon filing. A description of the material terms of the Series C Preferred Stock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(i) payment of dividends, (ii) distribution of assets and (iii) all other liquidation, winding up, dissolution, dividend and redemption rights, the Series C Preferred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to all Parity Stock (defined below) and senior in priority of payment to all Junior Stock (defined below) in any liquidation, dissolution, winding up or distribution of the Company, and junior to any existing or future secured or unsecured indebtedness and other liabilities (including trade payables)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“Junior Stock” means (i) the Common Stock, (ii) any other preferred stock, other than the Company’s Series B preferred stock, par value $0.0001 per share (“Series B Preferred Stock”), and (ii) any other equity interest of the Company, in each case which by its terms ranks junior to the Series C Preferred Stock with respect to payment of dividends and/or distribution of assets.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“Parity Stock” means the Company’s Series B Preferred Stock and any equity interest of the Company hereinafter created which by its terms ranks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Series C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Series C Preferred Stock carries an annual 8.0% cumulative dividend, which will be paid prior to and in preference over any Junior Stock or Parity Stock. On the last day of the last quarter in each fiscal year of the Company, such dividends will be made as a payment in kind.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 each whole share of Series C Preferred Stock, the holders of Series C Preferred Stock will be entitled to cast the number of votes equal to (i) the original issue price, which is $10.00 (the “Original Issue Price”), divided by (ii) $the Minimum Price (as defined in Nasdaq Listing Rule 5635(d)) of Common Stock as of the Initial Issue Date (as determined by reference to the Nasdaq Official Closing Price) and will vote with the holders of the Common Stock as a single class and on an as-converted basis, except as provided by law or applicable Nasdaq listing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at the Company’s Option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C Preferred Stock, all shares of Series C Preferred Stock will be converted into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 at the Holder’s Option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Series C Preferred Stock may convert all of their respective shares of Series C Preferred Stock into shares of Common Stock upon the effectiveness of the Series C Preferred Stock Resale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each holder of Series C Preferred Stock will receive upon conversion of all of such holder’s shares of Series C Preferred Stock will be the number of shares equal to the Series C Conversion Rate (defined below) multiplied by the number of shares of Series C Preferred Stock held by such holder (subject to a threshold amount). No fractional shares of Common Stock shall be issued upon the exercise of any conversion right. Any fractional shares of Common Stock that a holder would otherwise be entitled to will be rounded up to the next whole share.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“Series C Conversion Rate” means a fraction whose numerator is the Original Issue Price, and whose denominator is the lesser of (i) the Reset Conversion Price and (ii) $12.50.</w:t>
      </w:r>
    </w:p>
    <w:p>
      <w:pPr>
        <w:spacing w:after="0" w:line="162" w:lineRule="exact"/>
        <w:rPr>
          <w:sz w:val="20"/>
          <w:szCs w:val="20"/>
          <w:color w:val="auto"/>
        </w:rPr>
      </w:pPr>
    </w:p>
    <w:p>
      <w:pPr>
        <w:jc w:val="both"/>
        <w:ind w:right="20" w:firstLine="696"/>
        <w:spacing w:after="0" w:line="282" w:lineRule="auto"/>
        <w:rPr>
          <w:sz w:val="20"/>
          <w:szCs w:val="20"/>
          <w:color w:val="auto"/>
        </w:rPr>
      </w:pPr>
      <w:r>
        <w:rPr>
          <w:rFonts w:ascii="Times New Roman" w:cs="Times New Roman" w:eastAsia="Times New Roman" w:hAnsi="Times New Roman"/>
          <w:sz w:val="18"/>
          <w:szCs w:val="18"/>
          <w:color w:val="auto"/>
        </w:rPr>
        <w:t>“Reset Conversion Price” means the greater of (a) $5.00 and (b) the 10-trading day volume-weighted average Nasdaq official closing price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Series C Preferred Stock will have rights to certain adjustments for stock dividends stock splits and rights in connection with certain subsequent rights offerings.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C Preferred Stock does not purport to be complete and is subject to and qualified in its entirety by reference to the form of Series C Preferred Stock Certificate of Designations, which is filed as Exhibit 3.1 to this Current Report on Form 8-K and is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4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Exhibits and Financial Statements</w:t>
            </w:r>
          </w:p>
        </w:tc>
      </w:tr>
      <w:tr>
        <w:trPr>
          <w:trHeight w:val="432"/>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40" w:type="dxa"/>
            <w:vAlign w:val="bottom"/>
          </w:tcPr>
          <w:p>
            <w:pPr>
              <w:spacing w:after="0"/>
              <w:rPr>
                <w:sz w:val="24"/>
                <w:szCs w:val="24"/>
                <w:color w:val="auto"/>
              </w:rPr>
            </w:pPr>
          </w:p>
        </w:tc>
      </w:tr>
      <w:tr>
        <w:trPr>
          <w:trHeight w:val="410"/>
        </w:trPr>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40" w:type="dxa"/>
            <w:vAlign w:val="bottom"/>
          </w:tcPr>
          <w:p>
            <w:pPr>
              <w:spacing w:after="0"/>
              <w:rPr>
                <w:sz w:val="24"/>
                <w:szCs w:val="24"/>
                <w:color w:val="auto"/>
              </w:rPr>
            </w:pPr>
          </w:p>
        </w:tc>
      </w:tr>
      <w:tr>
        <w:trPr>
          <w:trHeight w:val="238"/>
        </w:trPr>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No.</w:t>
            </w: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Designations of Series C Preferred Stock, dated March 24, 2025, of Innventure, Inc.</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Standby Equity Purchase Agreement, by and between Innventure, Inc. and YA II PN, Ltd., dated October 24, 2023.</w:t>
            </w:r>
          </w:p>
        </w:tc>
      </w:tr>
      <w:tr>
        <w:trPr>
          <w:trHeight w:val="196"/>
        </w:trPr>
        <w:tc>
          <w:tcPr>
            <w:tcW w:w="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Series C Purchase Agreement for U.S. Investors</w:t>
            </w:r>
          </w:p>
        </w:tc>
      </w:tr>
      <w:tr>
        <w:trPr>
          <w:trHeight w:val="196"/>
        </w:trPr>
        <w:tc>
          <w:tcPr>
            <w:tcW w:w="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640" w:type="dxa"/>
            <w:vAlign w:val="bottom"/>
          </w:tcPr>
          <w:p>
            <w:pPr>
              <w:spacing w:after="0"/>
              <w:rPr>
                <w:sz w:val="17"/>
                <w:szCs w:val="17"/>
                <w:color w:val="auto"/>
              </w:rPr>
            </w:pPr>
          </w:p>
        </w:tc>
        <w:tc>
          <w:tcPr>
            <w:tcW w:w="84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Form of Series C Purchase Agreement for Ex-U.S. Investors</w:t>
            </w: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2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76"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45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2025</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198"/>
        </w:trPr>
        <w:tc>
          <w:tcPr>
            <w:tcW w:w="3540" w:type="dxa"/>
            <w:vAlign w:val="bottom"/>
          </w:tcPr>
          <w:p>
            <w:pPr>
              <w:spacing w:after="0"/>
              <w:rPr>
                <w:sz w:val="17"/>
                <w:szCs w:val="17"/>
                <w:color w:val="auto"/>
              </w:rPr>
            </w:pPr>
          </w:p>
        </w:tc>
        <w:tc>
          <w:tcPr>
            <w:tcW w:w="276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David Yablunosky</w:t>
            </w:r>
          </w:p>
        </w:tc>
      </w:tr>
      <w:tr>
        <w:trPr>
          <w:trHeight w:val="234"/>
        </w:trPr>
        <w:tc>
          <w:tcPr>
            <w:tcW w:w="3540" w:type="dxa"/>
            <w:vAlign w:val="bottom"/>
          </w:tcPr>
          <w:p>
            <w:pPr>
              <w:spacing w:after="0"/>
              <w:rPr>
                <w:sz w:val="20"/>
                <w:szCs w:val="20"/>
                <w:color w:val="auto"/>
              </w:rPr>
            </w:pP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IN THE OFFICE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DELAWARE SECRETARY OF STATE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submit the following: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 25,000,000 shares of Preferred Stock, with a par value of $0.0001 per share,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 Board of Directors of the Company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March 21, 2025, the Board of Directors approved and adopted the following certificate of designation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purposes of issuing shares of Preferred Stock designated as a series known as “Series C Preferred Stock”, with each such share having the designations, powers, preferences and relative, participating, optional or other rights, and the qualifications, limitations and restrictions, as set forth in this Certificate.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C Preferred Stock” and authorizes for issuance 5,000,000 shares of the Series C Preferred Stock (as defined below), and hereby fixes the designations, powers, preferences and other rights, and the qualifications, limitations and restrictions of the Series C Preferred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jc w:val="both"/>
        <w:ind w:firstLine="656"/>
        <w:spacing w:after="0" w:line="266" w:lineRule="auto"/>
        <w:tabs>
          <w:tab w:leader="none" w:pos="13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A total of 5,000,000 shares of Preferred Stock shall be designated as a series known as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which Series C Preferred Stock will have the designations, powers, preferences and relative, participating, optional, special and other rights, and the qualifications, limitations and restrictions set forth in this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 With respect to (a) payment of dividends, (b) distribution of assets and (c) all other liquidation, winding up, dissolution, dividend and redemption rights, the Series C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79"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9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 of Series C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Minimum Price (as defined in Nasdaq Listing Rule 5635(d)) of Common Stock as of the Initial Issue Date (as determined by reference to the Nasdaq Official Closing Price). Except as provided by law or by the other provisions of this Certificate, Holders shall vote together with the holders of Series B Preferred Stock and Common Stock as a single class and as provided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Notwithstanding the foregoing, the Holders of shares of Series C Preferred Stock shall not be entitled to any voting rights in respect of such shares of Series C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C Preferred Stock shall not be entitled to any voting rights at any stockholders’ meeting or in any written consent of the stockholders, in each case to the extent, and only to the extent, that the issuance, delivery, conversion or convertibility of such Series C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20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Meetings</w:t>
      </w:r>
      <w:r>
        <w:rPr>
          <w:rFonts w:ascii="Times New Roman" w:cs="Times New Roman" w:eastAsia="Times New Roman" w:hAnsi="Times New Roman"/>
          <w:sz w:val="18"/>
          <w:szCs w:val="18"/>
          <w:color w:val="auto"/>
        </w:rPr>
        <w:t>. A consent or affirmative vote of the Holders may be given or obtained either in writing without a meeting, or in person or by proxy at a regular annual meeting, or a special meeting of stockholders or 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are pari passu with any dividend on any Parity Stock and are prior to and in preference over any dividend on any Junior Stock. All Dividends shall be declared and fully paid concurrently with any dividends declared and paid, or any other distributions made, on Parity Stock but before any dividends are declared and paid, or any other distributions are made, on any Junior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 during each Dividend Period on the date that is at least 15 Business Days prior to the Dividend Payment Date and five Business Days prior to the record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Issue Date, preferential cumulative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accrue on the total number of shares of Series C Preferred Stock held by a Holder on an annual basis and in arrears as 8.0% of the Liquidation Preference (the “</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Dividends will be due and payable annually in arrears as payment in kind (in the form of shares of Series C Preferred Stock) on each Dividend Payment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7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Series C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C Preferred Stock held by such Holder had been converted into the applicable number of shares of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on the day any such dividend was declared.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So long as any shares of Series C Preferred Stock remain outstanding, and unless a greater percentage is required by law, the Company shall not, without the affirmative vote or written consent of the Holders of 51% of the then-outstanding Series C Preferred Stock, voting separately as one class, amend, alter or change the rights, preferences or privileges of the shares of Series C Preferred Stock, or waive the compliance of any of the covenants included in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effect any of the following matters without the consent of each Holder that is adversely affected thereby:</w:t>
      </w:r>
    </w:p>
    <w:p>
      <w:pPr>
        <w:spacing w:after="0" w:line="183"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Dividend Rate or alter the timing or method of payment of any Dividends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any series of Preferred Stock of the Company that is senior to the Series C Preferred Stock with respect to any rights referenced in Section 2 of this Certificate; or</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Issue Price.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1138"/>
        <w:spacing w:after="0" w:line="282" w:lineRule="auto"/>
        <w:tabs>
          <w:tab w:leader="none" w:pos="323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C Preferred Stock will be converted into shares of Common Stock (the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on the fifth anniversary of the Initial Issue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left="180" w:firstLine="1138"/>
        <w:spacing w:after="0" w:line="252" w:lineRule="auto"/>
        <w:tabs>
          <w:tab w:leader="none" w:pos="190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Prior to such date of conversion, the Company shall send all Holders written notice. Such notice will contain the time (“</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and the place designated for mandatory conversion of all such shares of Series C Preferred Stock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Such notice will be sent at least seven days in advance of the Mandatory Conversion Time. Upon receipt of such notice, each Holder that holds shares of Series C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C Preferred Stock converted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Series C Preferred Stock, the Company shall issue and deliver to such Holder, (A) a certificate or certificates for the number of full shares of Common Stock issuable upon such conversion in accordance with the provisions hereof or (B) a notice of issuance of uncertificated shares and may, upon written request, issue and deliver a certificate for the number of full shares of Common Stock issuable upon such conversion in accordance with the provisions hereof.</w:t>
      </w:r>
    </w:p>
    <w:p>
      <w:pPr>
        <w:spacing w:after="0" w:line="191"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firstLine="1138"/>
        <w:spacing w:after="0" w:line="282" w:lineRule="auto"/>
        <w:tabs>
          <w:tab w:leader="none" w:pos="18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Date, each Holder may convert all of its shares of Series C Preferred Stock into shares of Common Stock (the “</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and together with the Mandatory Conversion, each a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80" w:firstLine="1138"/>
        <w:spacing w:after="0" w:line="252" w:lineRule="auto"/>
        <w:tabs>
          <w:tab w:leader="none" w:pos="19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to voluntarily convert all of such Holder’s shares of Series C Preferred Stock into shares of Common Stock, such Holder shall (A) provide written notice to the Company’s transfer agent at the office of the transfer agent for the Series C Preferred Stock (or at the principal office of the Company if the Company serves as its own transfer agent) that such Holder elects to convert all of such Holder’s shares of Series C Preferred Stock and (B), if such Holder’s shares are certificated, surrender the certificate or certificates for such shares of Series C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 (z) a notice of issuance of uncertificated shares and may, upon written request, issue and deliver a certificate for the number of full shares of Common Stock issuable upon such conversion in accordance with the provisions hereof.</w:t>
      </w:r>
    </w:p>
    <w:p>
      <w:pPr>
        <w:spacing w:after="0" w:line="3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1" w:name="page12"/>
    <w:bookmarkEnd w:id="11"/>
    <w:p>
      <w:pPr>
        <w:jc w:val="both"/>
        <w:ind w:right="200" w:firstLine="1304"/>
        <w:spacing w:after="0" w:line="266" w:lineRule="auto"/>
        <w:tabs>
          <w:tab w:leader="none" w:pos="20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58" w:lineRule="auto"/>
        <w:tabs>
          <w:tab w:leader="none" w:pos="20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Issuable Upon Conversion</w:t>
      </w:r>
      <w:r>
        <w:rPr>
          <w:rFonts w:ascii="Times New Roman" w:cs="Times New Roman" w:eastAsia="Times New Roman" w:hAnsi="Times New Roman"/>
          <w:sz w:val="18"/>
          <w:szCs w:val="18"/>
          <w:color w:val="auto"/>
        </w:rPr>
        <w:t xml:space="preserve">. The number of shares of Common Stock that each Holder will receive upon conversion of all of such Holder’s shares of Series C Preferred Stock will be the number of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C Preferred Stock held by such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fractional shares shall be issued upon 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183" w:lineRule="exact"/>
        <w:rPr>
          <w:rFonts w:ascii="Times New Roman" w:cs="Times New Roman" w:eastAsia="Times New Roman" w:hAnsi="Times New Roman"/>
          <w:sz w:val="18"/>
          <w:szCs w:val="18"/>
          <w:color w:val="auto"/>
        </w:rPr>
      </w:pPr>
    </w:p>
    <w:p>
      <w:pPr>
        <w:ind w:right="280" w:firstLine="1304"/>
        <w:spacing w:after="0" w:line="266" w:lineRule="auto"/>
        <w:tabs>
          <w:tab w:leader="none" w:pos="20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Series C Preferred Stock which shall have been surrendered for conversion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75" w:lineRule="exact"/>
        <w:rPr>
          <w:rFonts w:ascii="Times New Roman" w:cs="Times New Roman" w:eastAsia="Times New Roman" w:hAnsi="Times New Roman"/>
          <w:sz w:val="18"/>
          <w:szCs w:val="18"/>
          <w:color w:val="auto"/>
        </w:rPr>
      </w:pPr>
    </w:p>
    <w:p>
      <w:pPr>
        <w:ind w:right="300" w:firstLine="1304"/>
        <w:spacing w:after="0" w:line="282" w:lineRule="auto"/>
        <w:tabs>
          <w:tab w:leader="none" w:pos="20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Conversion Limits</w:t>
      </w:r>
      <w:r>
        <w:rPr>
          <w:rFonts w:ascii="Times New Roman" w:cs="Times New Roman" w:eastAsia="Times New Roman" w:hAnsi="Times New Roman"/>
          <w:sz w:val="18"/>
          <w:szCs w:val="18"/>
          <w:color w:val="auto"/>
        </w:rPr>
        <w:t xml:space="preserve">. Any proposed conversion will be reviewed and addressed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Preferred Stock Purchase Agreement for compliance with Nasdaq conversion limits.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xml:space="preserve">. If the Company, at any time while the Series C Preferred Stock is outstanding: (i) pays a stock dividend or otherwise makes a distribution or distributions payable in shares of Common Stock on shares of Series B Preferred Stock, Common Stock or any other Common Stock Equivalents (which, for avoidance of doubt, will not include any shares of Common Stock issued by the Company upon conversion of this Series C Preferred Stock or payment of a dividend on this Series C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Rate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will apply shares of reclassified capital stock, outstanding immediately after such event. Any adjustment made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right="20" w:firstLine="1304"/>
        <w:spacing w:after="0" w:line="253" w:lineRule="auto"/>
        <w:tabs>
          <w:tab w:leader="none" w:pos="20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C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8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304"/>
        <w:spacing w:after="0" w:line="282" w:lineRule="auto"/>
        <w:tabs>
          <w:tab w:leader="none" w:pos="20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61" w:lineRule="exact"/>
        <w:rPr>
          <w:rFonts w:ascii="Times New Roman" w:cs="Times New Roman" w:eastAsia="Times New Roman" w:hAnsi="Times New Roman"/>
          <w:sz w:val="18"/>
          <w:szCs w:val="18"/>
          <w:color w:val="auto"/>
        </w:rPr>
      </w:pPr>
    </w:p>
    <w:p>
      <w:pPr>
        <w:ind w:right="40" w:firstLine="1304"/>
        <w:spacing w:after="0" w:line="266" w:lineRule="auto"/>
        <w:tabs>
          <w:tab w:leader="none" w:pos="20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300" w:right="2640" w:hanging="644"/>
        <w:spacing w:after="0" w:line="500"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the following terms shall have the meanings specified below: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have the meaning assigned to such term in the recitals hereof.</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open for the transaction of normal banking business.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Nasdaq under the name and ticker “INV.”</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and excluding shares of Common Stock issuable upon conversion of the Series C Preferred Stock.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the last day of the last quarter in each fiscal year of the Company (or, if such date is not a Business Day, the immediately succeeding Business Day), following the Initial Issue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Dividend Period shall commence on and include the Initial Issue Date and end on, but not include, the first Dividend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the date on which the Registration Statement is declared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as of the relevant date, any Person that is the holder of record of at least one share of Series C Preferred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means March 24, 2025.</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(a) Common Stock, (b) any other preferred stock, other than the Series B Preferred Stock, and (c) any other equity interest of the Company, in each case which by its terms ranks junior to the Series C Preferred Stock with respect to payment of dividends and/or distribution of assets.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 Holder, the Original Issue Price, multiplied by the number of shares of Series C Preferred Stock held by such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Official Closing Price</w:t>
      </w:r>
      <w:r>
        <w:rPr>
          <w:rFonts w:ascii="Times New Roman" w:cs="Times New Roman" w:eastAsia="Times New Roman" w:hAnsi="Times New Roman"/>
          <w:sz w:val="18"/>
          <w:szCs w:val="18"/>
          <w:color w:val="auto"/>
        </w:rPr>
        <w:t>” means the closing price for a share of Common Stock as reported on the “Historical NOCP” section of the web site Nasdaq.com for the ticker symbol “INV.”</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$10.00 per share of Series C Preferred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the Series B Preferred Stock, and any equity interest of the Company hereinafter created which by its terms ranks pari passu with the Series C Preferred Stock.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Purchase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C Preferred Stock by the Company, or, to the extent the Company has engaged a transfer agent, such transfer agent.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 registration statement registering the resale of the shares of Common Stock issued to each Holder upon conversion of such Holder’s shares of Series C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Conversion Price</w:t>
      </w:r>
      <w:r>
        <w:rPr>
          <w:rFonts w:ascii="Times New Roman" w:cs="Times New Roman" w:eastAsia="Times New Roman" w:hAnsi="Times New Roman"/>
          <w:sz w:val="18"/>
          <w:szCs w:val="18"/>
          <w:color w:val="auto"/>
        </w:rPr>
        <w:t xml:space="preserve">” means the greater of (a) $5.00 and (b) the 10-Trading Day volume-weighted average Nasdaq Official Closing Price (which shall be calculated based on the 10 Trading Day period ending on the Trading Day immediately prior to the date on which the notice required under either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6(b)(i)(A)</w:t>
      </w:r>
      <w:r>
        <w:rPr>
          <w:rFonts w:ascii="Times New Roman" w:cs="Times New Roman" w:eastAsia="Times New Roman" w:hAnsi="Times New Roman"/>
          <w:sz w:val="18"/>
          <w:szCs w:val="18"/>
          <w:color w:val="auto"/>
        </w:rPr>
        <w:t>, as applicable, is received).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“Securities” shall not include any earn-out agreement or obligation or any employee bonus or other incentive compensation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means any shares of preferred stock of the Company designated as “Series B Preferred Stock” with a par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$0.0001.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19.99% of the number of shares of Common Stock outstanding immediately after giving effect to the issuance of shares of Common Stock pursuant to an applicable Conversion Right.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the Series C Preferred Stock and any other capital stock of the Company having the right to vote generally in any election of directors of the Board of Directors.</w:t>
      </w:r>
    </w:p>
    <w:p>
      <w:pPr>
        <w:spacing w:after="0" w:line="162" w:lineRule="exact"/>
        <w:rPr>
          <w:sz w:val="20"/>
          <w:szCs w:val="20"/>
          <w:color w:val="auto"/>
        </w:rPr>
      </w:pPr>
    </w:p>
    <w:p>
      <w:pPr>
        <w:ind w:left="1280" w:hanging="624"/>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(including the Schedules hereto) together with that certain Preferred Stock Purchase Agreement, dated as of the date hereof, entered into by and among the Company and the purchasers listed on Schedule I thereto (the “</w:t>
      </w:r>
      <w:r>
        <w:rPr>
          <w:rFonts w:ascii="Times New Roman" w:cs="Times New Roman" w:eastAsia="Times New Roman" w:hAnsi="Times New Roman"/>
          <w:sz w:val="18"/>
          <w:szCs w:val="18"/>
          <w:u w:val="single" w:color="auto"/>
          <w:color w:val="auto"/>
        </w:rPr>
        <w:t>Preferred Stock Purchase Agreement</w:t>
      </w:r>
      <w:r>
        <w:rPr>
          <w:rFonts w:ascii="Times New Roman" w:cs="Times New Roman" w:eastAsia="Times New Roman" w:hAnsi="Times New Roman"/>
          <w:sz w:val="18"/>
          <w:szCs w:val="18"/>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79"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shall not be given effect in interpreting this Certificate. References herein to any Section shall be to a Section hereof unless otherwise specifically provided.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2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31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not to any particular provision of this Certificate.</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masculine, feminine or neuter gender or the singular or plural form of words shall not limit any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2060" w:hanging="756"/>
        <w:spacing w:after="0"/>
        <w:tabs>
          <w:tab w:leader="none" w:pos="2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currency, monetary values and dollars set forth herein shall mean U.S.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notifies the Holders that the Company requests an amendment to any provision hereof to eliminate the effect of any change occurring after the Initial Issue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to be signed by a duly authorized officer this 24th day of March, 2025.</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C Certificate of Designation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980" w:top="121" w:right="89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Final 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STANDBY EQUITY PURCHASE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THIS STANDBY EQUITY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24, 2023 is made by and between</w:t>
      </w:r>
      <w:r>
        <w:rPr>
          <w:rFonts w:ascii="Times New Roman" w:cs="Times New Roman" w:eastAsia="Times New Roman" w:hAnsi="Times New Roman"/>
          <w:sz w:val="18"/>
          <w:szCs w:val="18"/>
          <w:b w:val="1"/>
          <w:bCs w:val="1"/>
          <w:color w:val="auto"/>
        </w:rPr>
        <w:t xml:space="preserve"> YA II PN, LTD.</w:t>
      </w:r>
      <w:r>
        <w:rPr>
          <w:rFonts w:ascii="Times New Roman" w:cs="Times New Roman" w:eastAsia="Times New Roman" w:hAnsi="Times New Roman"/>
          <w:sz w:val="18"/>
          <w:szCs w:val="18"/>
          <w:color w:val="auto"/>
        </w:rPr>
        <w:t>,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LEARN SPAC HOLDCO,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Agreement, references to the “Company” shall also include, after the closing of the Business Combination (as defined below), the resulting publicly listed company pursuant to the transactions contemplated by the Business Combination Agreement, dated as of October 24, 2023 (as it may be amended or supplemented from time to time, the “</w:t>
      </w:r>
      <w:r>
        <w:rPr>
          <w:rFonts w:ascii="Times New Roman" w:cs="Times New Roman" w:eastAsia="Times New Roman" w:hAnsi="Times New Roman"/>
          <w:sz w:val="18"/>
          <w:szCs w:val="18"/>
          <w:u w:val="single" w:color="auto"/>
          <w:color w:val="auto"/>
        </w:rPr>
        <w:t>Merger Agreemen</w:t>
      </w:r>
      <w:r>
        <w:rPr>
          <w:rFonts w:ascii="Times New Roman" w:cs="Times New Roman" w:eastAsia="Times New Roman" w:hAnsi="Times New Roman"/>
          <w:sz w:val="18"/>
          <w:szCs w:val="18"/>
          <w:color w:val="auto"/>
        </w:rPr>
        <w:t>t”), by and among the Company, Learn CW Investment Corporation, a Cayman Islands exempted company with limited liability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LCW Merger Sub, Inc., a Delaware corporation (“</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Innventure LLC, a Delaware limited liability company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and Innventure Merger Sub, LLC, a Delaware limited liability company (“</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pursuant to which, upon the terms and subject to the conditions contained therein, LCW Merger Sub will merge with and into Parent (the “</w:t>
      </w:r>
      <w:r>
        <w:rPr>
          <w:rFonts w:ascii="Times New Roman" w:cs="Times New Roman" w:eastAsia="Times New Roman" w:hAnsi="Times New Roman"/>
          <w:sz w:val="18"/>
          <w:szCs w:val="18"/>
          <w:u w:val="single" w:color="auto"/>
          <w:color w:val="auto"/>
        </w:rPr>
        <w:t>LCW Merger</w:t>
      </w:r>
      <w:r>
        <w:rPr>
          <w:rFonts w:ascii="Times New Roman" w:cs="Times New Roman" w:eastAsia="Times New Roman" w:hAnsi="Times New Roman"/>
          <w:sz w:val="18"/>
          <w:szCs w:val="18"/>
          <w:color w:val="auto"/>
        </w:rPr>
        <w:t>”), with Parent being the surviving corporation as a wholly owned subsidiary of the Company, and Innventure Merger Sub will merge with and into the Innventure (the “Innventure Merger” and, together with the LCW Merger, the “Mergers”), with Innventure being the surviving company as a wholly owned subsidiary of the Company. The shareholders of Parent and the members of the Company shall, pursuant to the Mergers, become stockholders the Company. The Mergers and the other transactions described in the Merger Agreement are collectively referred to herein as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The Investor and the Company may be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following the closing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shall have the right to issue and sell to the Investor, from time to time as provided herein, and the Investor shall purchase from the Company, up to $75 million of the Company’s shares of Class A Common Stock, par value $0.0001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Common Shares shall be listed for trading in the Principal Market under a symbol to be determined;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offer and sale of the Common Shares issuable hereunder will be made in reliance upon Section 4(a)(2) under the 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upon such other exemption from the registration requirements of the Securities Act as may be available with respect to any or all of the transactions to be made hereunder;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of the Investor’s execution and delivery of this Agreement, immediately following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the Company shall pay the Commitment Fee pursuant to and in accordance with Section 12.04.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Parties hereto agree as follows: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shall have the meaning set forth in Section 2.01(f)(ii).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Advance Amount</w:t>
      </w:r>
      <w:r>
        <w:rPr>
          <w:rFonts w:ascii="Times New Roman" w:cs="Times New Roman" w:eastAsia="Times New Roman" w:hAnsi="Times New Roman"/>
          <w:sz w:val="18"/>
          <w:szCs w:val="18"/>
          <w:color w:val="auto"/>
        </w:rPr>
        <w:t>” shall have the meaning set forth in Section 2.01(f)(i).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shall mean any issuance and sale of Advance Shares by the Company to the Investor pursuant to Article II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mean the first Trading Day after expiration of the applicable Pricing Period for each Advance.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xml:space="preserve">” shall mean a written notice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to the Investor executed by an officer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 Date</w:t>
      </w:r>
      <w:r>
        <w:rPr>
          <w:rFonts w:ascii="Times New Roman" w:cs="Times New Roman" w:eastAsia="Times New Roman" w:hAnsi="Times New Roman"/>
          <w:sz w:val="18"/>
          <w:szCs w:val="18"/>
          <w:color w:val="auto"/>
        </w:rPr>
        <w:t>” shall mean each date the Company is deemed to have delivered (in accordance with Section 2.01(b) of this Agreement) an Advance Notice to the Investor, subject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Shares</w:t>
      </w:r>
      <w:r>
        <w:rPr>
          <w:rFonts w:ascii="Times New Roman" w:cs="Times New Roman" w:eastAsia="Times New Roman" w:hAnsi="Times New Roman"/>
          <w:sz w:val="18"/>
          <w:szCs w:val="18"/>
          <w:color w:val="auto"/>
        </w:rPr>
        <w:t>” shall mean the Common Shares that the Company shall issue and sell to the Investor pursuant to the terms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set forth in Section 3.07.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Price</w:t>
      </w:r>
      <w:r>
        <w:rPr>
          <w:rFonts w:ascii="Times New Roman" w:cs="Times New Roman" w:eastAsia="Times New Roman" w:hAnsi="Times New Roman"/>
          <w:sz w:val="18"/>
          <w:szCs w:val="18"/>
          <w:color w:val="auto"/>
        </w:rPr>
        <w:t>” shall mean a price per Share equal to the quotient obtained by dividing (i) the aggregate gross purchase price paid by the Investor for all Shares purchased pursuant to this Agreement, by (ii) the aggregate number of Shares issued pursuant to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 shall have the meaning set forth in Section 6.01(e)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2.02.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Amount</w:t>
      </w:r>
      <w:r>
        <w:rPr>
          <w:rFonts w:ascii="Times New Roman" w:cs="Times New Roman" w:eastAsia="Times New Roman" w:hAnsi="Times New Roman"/>
          <w:sz w:val="18"/>
          <w:szCs w:val="18"/>
          <w:color w:val="auto"/>
        </w:rPr>
        <w:t>” shall mean $75 million of the Common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shall have the meaning set forth in Section 12.04.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shall mean the period commencing on the Effective Date and expiring upon the date of termination of this Agreement in accordance with Section 10.01.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shall have the meaning set forth in Section 12.04.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shall have the meaning set forth in Section 5.02.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shall have the meaning set forth in Section 7.01.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shall have the meaning set forth in Section 6.12.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Traded Amount</w:t>
      </w:r>
      <w:r>
        <w:rPr>
          <w:rFonts w:ascii="Times New Roman" w:cs="Times New Roman" w:eastAsia="Times New Roman" w:hAnsi="Times New Roman"/>
          <w:sz w:val="18"/>
          <w:szCs w:val="18"/>
          <w:color w:val="auto"/>
        </w:rPr>
        <w:t>” shall mean the daily trading volume of the Company’s Common Shares on the Principal Market during regular trading hours as reported by Bloomberg L.P.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of the closing of the Business Combination.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set forth in Section 4.13.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shall have the meaning set forth in Section 2.01(e)(iii).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Day</w:t>
      </w:r>
      <w:r>
        <w:rPr>
          <w:rFonts w:ascii="Times New Roman" w:cs="Times New Roman" w:eastAsia="Times New Roman" w:hAnsi="Times New Roman"/>
          <w:sz w:val="18"/>
          <w:szCs w:val="18"/>
          <w:color w:val="auto"/>
        </w:rPr>
        <w:t>” shall have the meaning set forth in Section 2.01(f)(i).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set forth in Section 4.06.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set forth in Section 4.13.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shall have the meaning set forth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 Merger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Indemnitees</w:t>
      </w:r>
      <w:r>
        <w:rPr>
          <w:rFonts w:ascii="Times New Roman" w:cs="Times New Roman" w:eastAsia="Times New Roman" w:hAnsi="Times New Roman"/>
          <w:sz w:val="18"/>
          <w:szCs w:val="18"/>
          <w:color w:val="auto"/>
        </w:rPr>
        <w:t>” shall have the meaning set forth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LCW Merger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shall have the meaning set forth in the preamble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shall mean the Option 1 Market Price or Option 2 Market Price, as applicable.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shall have the meaning set forth in Section 6.08.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Advance Amount</w:t>
      </w:r>
      <w:r>
        <w:rPr>
          <w:rFonts w:ascii="Times New Roman" w:cs="Times New Roman" w:eastAsia="Times New Roman" w:hAnsi="Times New Roman"/>
          <w:sz w:val="18"/>
          <w:szCs w:val="18"/>
          <w:color w:val="auto"/>
        </w:rPr>
        <w:t>” in respect of each Advance Notice means the greater of: (i) an amount equal to one hundred percent (100%) of the aggregate Daily Traded Amount for the five (5) Trading Days immediately preceding an Advance Notice, or (ii) $10,000,000.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Advance Notice Date</w:t>
      </w:r>
      <w:r>
        <w:rPr>
          <w:rFonts w:ascii="Times New Roman" w:cs="Times New Roman" w:eastAsia="Times New Roman" w:hAnsi="Times New Roman"/>
          <w:sz w:val="18"/>
          <w:szCs w:val="18"/>
          <w:color w:val="auto"/>
        </w:rPr>
        <w:t>” shall mean each date the Company is deemed to have delivered (in accordance with Section 2.01(b) of this Agreement) an Option 1 Advance Notice to the Investor, subject to the terms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Advance Notice Date</w:t>
      </w:r>
      <w:r>
        <w:rPr>
          <w:rFonts w:ascii="Times New Roman" w:cs="Times New Roman" w:eastAsia="Times New Roman" w:hAnsi="Times New Roman"/>
          <w:sz w:val="18"/>
          <w:szCs w:val="18"/>
          <w:color w:val="auto"/>
        </w:rPr>
        <w:t>” shall mean each date the Company is deemed to have delivered (in accordance with Section 2.01(c) of this Agreement) an Option 2 Advance Notice to the Investor, subject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Market Price</w:t>
      </w:r>
      <w:r>
        <w:rPr>
          <w:rFonts w:ascii="Times New Roman" w:cs="Times New Roman" w:eastAsia="Times New Roman" w:hAnsi="Times New Roman"/>
          <w:sz w:val="18"/>
          <w:szCs w:val="18"/>
          <w:color w:val="auto"/>
        </w:rPr>
        <w:t>” shall mean the average VWAP of the Common Shares during the Option 1 Pricing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Market Price</w:t>
      </w:r>
      <w:r>
        <w:rPr>
          <w:rFonts w:ascii="Times New Roman" w:cs="Times New Roman" w:eastAsia="Times New Roman" w:hAnsi="Times New Roman"/>
          <w:sz w:val="18"/>
          <w:szCs w:val="18"/>
          <w:color w:val="auto"/>
        </w:rPr>
        <w:t>” shall mean the lowest daily VWAP of the Common Shares during the Option 2 Pricing Period other than the daily VWAP on any Excluded Days.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Minimum Acceptable Price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MAP</w:t>
      </w:r>
      <w:r>
        <w:rPr>
          <w:rFonts w:ascii="Times New Roman" w:cs="Times New Roman" w:eastAsia="Times New Roman" w:hAnsi="Times New Roman"/>
          <w:sz w:val="18"/>
          <w:szCs w:val="18"/>
          <w:color w:val="auto"/>
        </w:rPr>
        <w:t>” shall mean the minimum price notified by the Company to the Investor in each Advance Notice, if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Pricing Period</w:t>
      </w:r>
      <w:r>
        <w:rPr>
          <w:rFonts w:ascii="Times New Roman" w:cs="Times New Roman" w:eastAsia="Times New Roman" w:hAnsi="Times New Roman"/>
          <w:sz w:val="18"/>
          <w:szCs w:val="18"/>
          <w:color w:val="auto"/>
        </w:rPr>
        <w:t>” shall mean the Trading Day commencing on the Option 1 Advance Notice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2 Pricing Period</w:t>
      </w:r>
      <w:r>
        <w:rPr>
          <w:rFonts w:ascii="Times New Roman" w:cs="Times New Roman" w:eastAsia="Times New Roman" w:hAnsi="Times New Roman"/>
          <w:sz w:val="18"/>
          <w:szCs w:val="18"/>
          <w:color w:val="auto"/>
        </w:rPr>
        <w:t>” shall mean the three (3) consecutive Trading Days commencing on the Option 2 Advance Notice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1 Volume Threshold</w:t>
      </w:r>
      <w:r>
        <w:rPr>
          <w:rFonts w:ascii="Times New Roman" w:cs="Times New Roman" w:eastAsia="Times New Roman" w:hAnsi="Times New Roman"/>
          <w:sz w:val="18"/>
          <w:szCs w:val="18"/>
          <w:color w:val="auto"/>
        </w:rPr>
        <w:t>” shall mean a number of Common Shares equal to the quotient of (a) the number of Advance Shares requested by the Company in an Advance Notice divided by (b) 0.35.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have the meaning set forth in Section 2.01(e)(i).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corporation, a partnership, a limited liability company, a trust or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mean the section of a Registration Statement disclosing the plan of distribution of the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shall mean the shall mean the Option 1 Pricing Period or Option 2 Pricing Period, as applicable.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shall mean the New York Stock Exchange or the Nasdaq Stock Market; provided however, that in the event the Common Shares are not listed or traded on the New York Stock Exchange, the NYSE American or the Nasdaq Stock Market, then the “Principal Market” shall mean such other market or exchange on which the Common Shares are then listed or traded to the extent such other market or exchange is the principal trading market or exchange for the Common Shares.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any prospectus (including, without limitation, all amendments and supplements thereto) used by the Company in connection with a Registration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any prospectus supplement to a Prospectus filed with the SEC from time to time pursuant to Rule 424(b) under the Securities Act, including the documents incorporated by reference therein, including, without limitation, any prospectus supplement to be filed in accordance with Section 6.01 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the price per Advance Share obtained by multiplying the Market Price by (i) 95% in respect of an Advance Notice with an Option 1 Pricing Period, and (ii) 97% in respect of an Advance Notice with an Option 2 Pricing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(i) the Shares, and (ii) any securities issued or issuable with respect to any of the foregoing by way of exchange, stock dividend or stock split or in connection with a combination of shares, recapitalization, merger, consolidation or other reorganization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shall have the meaning set forth in Section 2.01(e)(ii).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 registration statement on Form S-1 or Form S-3 or on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the provisions of Regulation D promulgated under the Securities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shall have the meaning set forth in 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shall have the meaning set forth in Section 4.05.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shall have the meaning set forth in Section 2.02(a).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Commitment Shares and the Common Shares to be issued from time to time hereunder pursuant to an Advance.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any day during which the Principal Market shall be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have the meaning set forth in Section 4.02.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shall mean for any Trading Day, the daily volume weighted average price of the Common Shares for such Trading Day on the Principal Market during regular trading hours as reported by Bloomberg L.P. or, for a specified period, the volume weighted average price of the Common Shares on the Principal Market, for such period as reported by Bloomberg L.P. through its “AQR” function.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Advances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Advances; Mechanics</w:t>
      </w:r>
      <w:r>
        <w:rPr>
          <w:rFonts w:ascii="Times New Roman" w:cs="Times New Roman" w:eastAsia="Times New Roman" w:hAnsi="Times New Roman"/>
          <w:sz w:val="18"/>
          <w:szCs w:val="18"/>
          <w:color w:val="auto"/>
        </w:rPr>
        <w:t>. Upon the terms and subject to the conditions of this Agreement, during the Commitment Period, the Company, at its sole discretion, shall have the right, but not the obligation, to issue and sell to the Investor, and the Investor shall purchase from the Company, Advance Shares by the delivery to the Investor of Advance Notices on the following terms:</w:t>
      </w:r>
    </w:p>
    <w:p>
      <w:pPr>
        <w:spacing w:after="0" w:line="176" w:lineRule="exact"/>
        <w:rPr>
          <w:sz w:val="20"/>
          <w:szCs w:val="20"/>
          <w:color w:val="auto"/>
        </w:rPr>
      </w:pPr>
    </w:p>
    <w:p>
      <w:pPr>
        <w:jc w:val="both"/>
        <w:ind w:left="720" w:hanging="388"/>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At any time during the Commitment Period the Company may require the Investor to purchase Shares by delivering an Advance Notice to the Investor, subject to the satisfaction or waiver by the Investor of the conditions set forth in Section 7.01, and in accordance with the following provisions: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sole discretion, select the number of Advance Shares, not to exceed the Maximum Advance Amount, it desires to issue and sell to the Investor in each Advance Notice and the time it desires to deliver each Advance Notice and the Pricing Period to be used.</w:t>
      </w:r>
    </w:p>
    <w:p>
      <w:pPr>
        <w:spacing w:after="0" w:line="35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1628" w:right="20" w:hanging="656"/>
        <w:spacing w:after="0" w:line="282"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mandatory minimum Advances and no non-usages fee for not utilizing the Commitment Amount or any part thereof.</w:t>
      </w:r>
    </w:p>
    <w:p>
      <w:pPr>
        <w:spacing w:after="0" w:line="161" w:lineRule="exact"/>
        <w:rPr>
          <w:rFonts w:ascii="Times New Roman" w:cs="Times New Roman" w:eastAsia="Times New Roman" w:hAnsi="Times New Roman"/>
          <w:sz w:val="18"/>
          <w:szCs w:val="18"/>
          <w:color w:val="auto"/>
        </w:rPr>
      </w:pPr>
    </w:p>
    <w:p>
      <w:pPr>
        <w:jc w:val="both"/>
        <w:ind w:left="388" w:hanging="388"/>
        <w:spacing w:after="0" w:line="258"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an Option 1 Advance Notice</w:t>
      </w:r>
      <w:r>
        <w:rPr>
          <w:rFonts w:ascii="Times New Roman" w:cs="Times New Roman" w:eastAsia="Times New Roman" w:hAnsi="Times New Roman"/>
          <w:sz w:val="18"/>
          <w:szCs w:val="18"/>
          <w:color w:val="auto"/>
        </w:rPr>
        <w:t xml:space="preserve">. An Option 1 Advance Notices shall be delivered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 Option 1 Advance Notice shall be deemed delivered (i) the day it is received by the Investor if such notice is received by email prior to 9:00 a.m. Eastern Time (or later if waived by the Investor in its sole discretion), or (ii) if such notice is received after 9:00 a.m. Eastern Time, upon receipt by the Investor, which receipt and commencement of the Option 1 Pricing Period is confirmed by the Investor to the Company by email or other writing, in each case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388" w:hanging="388"/>
        <w:spacing w:after="0" w:line="258"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an Option 2 Advance Notice</w:t>
      </w:r>
      <w:r>
        <w:rPr>
          <w:rFonts w:ascii="Times New Roman" w:cs="Times New Roman" w:eastAsia="Times New Roman" w:hAnsi="Times New Roman"/>
          <w:sz w:val="18"/>
          <w:szCs w:val="18"/>
          <w:color w:val="auto"/>
        </w:rPr>
        <w:t>. An Option 2 Advance Notices shall be delivered in accordance with the instructions set forth on the bottom of Exhibit B. An Advance Notice shall be deemed delivered on (i) the day it is received by the Investor if such notice is received by email prior to 9:00 a.m. Eastern Time (or later if waived by the Investor in its sole discretion) in accordance with the instructions set forth on the bottom of Exhibit B, or (ii) the immediately succeeding day if it is received by email after 9:00 a.m. Eastern Time, in each case in accordance with the instructions set forth on the bottom of Exhibit B.</w:t>
      </w:r>
    </w:p>
    <w:p>
      <w:pPr>
        <w:spacing w:after="0" w:line="183"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 of an Advance Notice the Investor shall promptly (and in no event more than one-half hour after receipt) provide written confirmation (which may be by e-mail) of receipt of such Advance Notice, and which confirmation shall specify the commencement of the applicable Pricing Period.</w:t>
      </w:r>
    </w:p>
    <w:p>
      <w:pPr>
        <w:spacing w:after="0" w:line="175"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Limitations</w:t>
      </w:r>
      <w:r>
        <w:rPr>
          <w:rFonts w:ascii="Times New Roman" w:cs="Times New Roman" w:eastAsia="Times New Roman" w:hAnsi="Times New Roman"/>
          <w:sz w:val="18"/>
          <w:szCs w:val="18"/>
          <w:color w:val="auto"/>
        </w:rPr>
        <w:t>. Regardless of the number of Advance Shares requested by the Company in the Advance Notice, the final number of Shares to be issued and sold pursuant to an Advance Notice shall be reduced (if at all) in accordance with each of the following limitations:</w:t>
      </w:r>
    </w:p>
    <w:p>
      <w:pPr>
        <w:spacing w:after="0" w:line="161" w:lineRule="exact"/>
        <w:rPr>
          <w:rFonts w:ascii="Times New Roman" w:cs="Times New Roman" w:eastAsia="Times New Roman" w:hAnsi="Times New Roman"/>
          <w:sz w:val="18"/>
          <w:szCs w:val="18"/>
          <w:color w:val="auto"/>
        </w:rPr>
      </w:pPr>
    </w:p>
    <w:p>
      <w:pPr>
        <w:jc w:val="both"/>
        <w:ind w:left="1628" w:hanging="656"/>
        <w:spacing w:after="0" w:line="252" w:lineRule="auto"/>
        <w:tabs>
          <w:tab w:leader="none" w:pos="16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 Commitment Amount</w:t>
      </w:r>
      <w:r>
        <w:rPr>
          <w:rFonts w:ascii="Times New Roman" w:cs="Times New Roman" w:eastAsia="Times New Roman" w:hAnsi="Times New Roman"/>
          <w:sz w:val="18"/>
          <w:szCs w:val="18"/>
          <w:color w:val="auto"/>
        </w:rPr>
        <w:t>. At the request of the Company, the Investor shall inform the Company of the number of shares the Investor beneficially owns.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to exceed 9.99% of the then outstanding voting power or number of Common Shares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Upon the written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delivered by the Company, any portion of the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p>
      <w:pPr>
        <w:spacing w:after="0" w:line="371"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5" w:name="page26"/>
    <w:bookmarkEnd w:id="25"/>
    <w:p>
      <w:pPr>
        <w:jc w:val="both"/>
        <w:ind w:left="840" w:hanging="656"/>
        <w:spacing w:after="0" w:line="274" w:lineRule="auto"/>
        <w:tabs>
          <w:tab w:leader="none" w:pos="8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Limitation</w:t>
      </w:r>
      <w:r>
        <w:rPr>
          <w:rFonts w:ascii="Times New Roman" w:cs="Times New Roman" w:eastAsia="Times New Roman" w:hAnsi="Times New Roman"/>
          <w:sz w:val="17"/>
          <w:szCs w:val="17"/>
          <w:color w:val="auto"/>
        </w:rPr>
        <w:t>. In no event shall an Advance exceed the amount of Common Shares registered in respect of the transactions contemplated hereby under the Registration Statement then in effect (the “</w:t>
      </w:r>
      <w:r>
        <w:rPr>
          <w:rFonts w:ascii="Times New Roman" w:cs="Times New Roman" w:eastAsia="Times New Roman" w:hAnsi="Times New Roman"/>
          <w:sz w:val="17"/>
          <w:szCs w:val="17"/>
          <w:u w:val="single" w:color="auto"/>
          <w:color w:val="auto"/>
        </w:rPr>
        <w:t>Registration Limitation</w:t>
      </w:r>
      <w:r>
        <w:rPr>
          <w:rFonts w:ascii="Times New Roman" w:cs="Times New Roman" w:eastAsia="Times New Roman" w:hAnsi="Times New Roman"/>
          <w:sz w:val="17"/>
          <w:szCs w:val="17"/>
          <w:color w:val="auto"/>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w:t>
      </w:r>
    </w:p>
    <w:p>
      <w:pPr>
        <w:spacing w:after="0" w:line="172" w:lineRule="exact"/>
        <w:rPr>
          <w:rFonts w:ascii="Times New Roman" w:cs="Times New Roman" w:eastAsia="Times New Roman" w:hAnsi="Times New Roman"/>
          <w:sz w:val="17"/>
          <w:szCs w:val="17"/>
          <w:color w:val="auto"/>
        </w:rPr>
      </w:pPr>
    </w:p>
    <w:p>
      <w:pPr>
        <w:jc w:val="both"/>
        <w:ind w:left="840" w:hanging="656"/>
        <w:spacing w:after="0" w:line="25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Rules of Principal Market</w:t>
      </w:r>
      <w:r>
        <w:rPr>
          <w:rFonts w:ascii="Times New Roman" w:cs="Times New Roman" w:eastAsia="Times New Roman" w:hAnsi="Times New Roman"/>
          <w:sz w:val="18"/>
          <w:szCs w:val="18"/>
          <w:color w:val="auto"/>
        </w:rPr>
        <w:t>. Notwithstanding anything to the contrary herein, the Company shall not effect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would exceed 19.99% of the aggregate amount of Common Shares issued and outstanding as of the Effective Date, calculated in accordance with the rules of the Principal Market, which number shall be reduced, on a share-for-share basis, by the number of Common Shares issued or issuable pursuant to any transaction or series of transactions that may be aggregated with the transactions contemplated by this Agreement under the applicable rules of the Principal Market (such maximum number of shares,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Exchange Cap will not apply if (a) the Company’s stockholders have approved issuances in excess of the Exchange Cap in accordance with the rules of the Principal Market, or (b) the Average Price of all applicable sales of Common Shares hereunder (including any sales covered by an Advance Notice that has been delivered prior to the determination of whether this clause (b) applies) equals or exceeds the lower of </w:t>
      </w:r>
      <w:r>
        <w:rPr>
          <w:rFonts w:ascii="Times New Roman" w:cs="Times New Roman" w:eastAsia="Times New Roman" w:hAnsi="Times New Roman"/>
          <w:sz w:val="18"/>
          <w:szCs w:val="18"/>
          <w:color w:val="222222"/>
        </w:rPr>
        <w:t>(i) the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Official Closing Price (as reflected on Nasdaq.com) immediately preceding the Effective Date; or (ii) the average Nasdaq Official Closing Price for the five Trading Days immediately preceding the Effective Date</w:t>
      </w:r>
      <w:r>
        <w:rPr>
          <w:rFonts w:ascii="Times New Roman" w:cs="Times New Roman" w:eastAsia="Times New Roman" w:hAnsi="Times New Roman"/>
          <w:sz w:val="18"/>
          <w:szCs w:val="18"/>
          <w:color w:val="000000"/>
        </w:rPr>
        <w:t>). In connection with each Advance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w:t>
      </w:r>
    </w:p>
    <w:p>
      <w:pPr>
        <w:spacing w:after="0" w:line="370"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6" w:name="page27"/>
    <w:bookmarkEnd w:id="26"/>
    <w:p>
      <w:pPr>
        <w:jc w:val="both"/>
        <w:ind w:left="1628" w:hanging="656"/>
        <w:spacing w:after="0" w:line="256" w:lineRule="auto"/>
        <w:tabs>
          <w:tab w:leader="none" w:pos="16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1 Volume Threshold</w:t>
      </w:r>
      <w:r>
        <w:rPr>
          <w:rFonts w:ascii="Times New Roman" w:cs="Times New Roman" w:eastAsia="Times New Roman" w:hAnsi="Times New Roman"/>
          <w:sz w:val="18"/>
          <w:szCs w:val="18"/>
          <w:color w:val="auto"/>
        </w:rPr>
        <w:t>. In connection with an Advance Notice, if the total number of Common Shares traded on the Principal Market during the applicable Pricing Period is less than the Volume Threshold, then the number of Advance Shares issued and sold pursuant to such Advance Notice shall be reduced to the greater of (a) 35% of the trading volume of the Common Shares on the Principal Market during such Pricing Period as reported by Bloomberg L.P., or (b) the number of Common Shares sold by the Investor during such Pricing Period, but in each case not to exceed the amount requested in the Advance Notice.</w:t>
      </w:r>
    </w:p>
    <w:p>
      <w:pPr>
        <w:spacing w:after="0" w:line="187"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2 Minimum Acceptable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28" w:hanging="656"/>
        <w:spacing w:after="0" w:line="235" w:lineRule="auto"/>
        <w:tabs>
          <w:tab w:leader="none" w:pos="1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Advance Notice selecting an Option 2 Pricing Period, the Company may notify the Investor of the MAP with respect to such Advance by indicating a MAP on such Advance Notice. If no MAP is specified in an Advance Notice, then no MAP shall be in effect in connection with such Advance. Each Trading Day during an Option 2 Pricing Period for which (A) with respect to each Advance Notice with a MAP, the VWAP of the Common Shares is below the MAP in effect with respect to such Advance Notice, or (B) there is no VWAP (each such day, an “</w:t>
      </w:r>
      <w:r>
        <w:rPr>
          <w:rFonts w:ascii="Times New Roman" w:cs="Times New Roman" w:eastAsia="Times New Roman" w:hAnsi="Times New Roman"/>
          <w:sz w:val="18"/>
          <w:szCs w:val="18"/>
          <w:u w:val="single" w:color="auto"/>
          <w:color w:val="auto"/>
        </w:rPr>
        <w:t>Excluded Day</w:t>
      </w:r>
      <w:r>
        <w:rPr>
          <w:rFonts w:ascii="Times New Roman" w:cs="Times New Roman" w:eastAsia="Times New Roman" w:hAnsi="Times New Roman"/>
          <w:sz w:val="18"/>
          <w:szCs w:val="18"/>
          <w:color w:val="auto"/>
        </w:rPr>
        <w:t>”), shall result in an automatic reduction to the number of Advance Shares set forth in such Advance Notice by one third (1/3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(the resulting amount of each Advance being the “</w:t>
      </w:r>
      <w:r>
        <w:rPr>
          <w:rFonts w:ascii="Times New Roman" w:cs="Times New Roman" w:eastAsia="Times New Roman" w:hAnsi="Times New Roman"/>
          <w:sz w:val="18"/>
          <w:szCs w:val="18"/>
          <w:u w:val="single" w:color="auto"/>
          <w:color w:val="auto"/>
        </w:rPr>
        <w:t>Adjusted Advance Amount</w:t>
      </w:r>
      <w:r>
        <w:rPr>
          <w:rFonts w:ascii="Times New Roman" w:cs="Times New Roman" w:eastAsia="Times New Roman" w:hAnsi="Times New Roman"/>
          <w:sz w:val="18"/>
          <w:szCs w:val="18"/>
          <w:color w:val="auto"/>
        </w:rPr>
        <w:t>”), and each Excluded Day shall be excluded from the Option 2 Pricing Period for purposes of determining the Market Price.</w:t>
      </w:r>
    </w:p>
    <w:p>
      <w:pPr>
        <w:spacing w:after="0" w:line="198" w:lineRule="exact"/>
        <w:rPr>
          <w:rFonts w:ascii="Times New Roman" w:cs="Times New Roman" w:eastAsia="Times New Roman" w:hAnsi="Times New Roman"/>
          <w:sz w:val="18"/>
          <w:szCs w:val="18"/>
          <w:color w:val="auto"/>
        </w:rPr>
      </w:pPr>
    </w:p>
    <w:p>
      <w:pPr>
        <w:jc w:val="both"/>
        <w:ind w:left="1628" w:hanging="656"/>
        <w:spacing w:after="0" w:line="256" w:lineRule="auto"/>
        <w:tabs>
          <w:tab w:leader="none" w:pos="1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Advance Shares in respect of each Advance (after reductions have been made to arrive at the Adjusted Advance Amount, if any) shall be automatically increased by such number of Common Shares (the “</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equal to the number of Common Shares sold by the Investor on such Excluded Day, if any, and the price paid per share for each Additional Share shall be equal to the MAP in effect with respect to such Advance Notice multiplied by 97% (without any further discount), provided that this increase shall not cause the total Advance Shares to exceed the amount set forth in the original Advance Notice or any limitations set forth in Section 2.01(c).</w:t>
      </w:r>
    </w:p>
    <w:p>
      <w:pPr>
        <w:spacing w:after="0" w:line="362"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27" w:name="page28"/>
    <w:bookmarkEnd w:id="27"/>
    <w:p>
      <w:pPr>
        <w:jc w:val="both"/>
        <w:ind w:left="720" w:hanging="388"/>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Contract</w:t>
      </w:r>
      <w:r>
        <w:rPr>
          <w:rFonts w:ascii="Times New Roman" w:cs="Times New Roman" w:eastAsia="Times New Roman" w:hAnsi="Times New Roman"/>
          <w:sz w:val="18"/>
          <w:szCs w:val="18"/>
          <w:color w:val="auto"/>
        </w:rPr>
        <w:t>. Notwithstanding any other provision in this Agreement, the Company and the Investor acknowledge and agree that upon the Investor’s receipt of a valid Advance Notice from the Company the Parties shall be deemed to have entered into an unconditional contract binding on both Parties for the purchase and sale of Advance Shares pursuant to such Advance Notice in accordance with the terms of this Agreement and (i) subject to Applicable Laws and (ii) subject to Section 3.08, the Investor may sell Common Shares during the Pricing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Advance and each sale and purchase of Advance Shares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as soon as practicable on or after each Advance Date in accordance with the procedures set forth below. The Parties acknowledge that the Purchase Price is not known at the time the Advance Notice is delivered (at which time the Investor is irrevocably bound) but shall be determined on each Closing based on the daily prices of the Common Shares that are the inputs to the determination of the Purchase Price as set forth further below. In connection with each Closing, the Company and the Investor shall fulfill each of its obligations as set forth below:</w:t>
      </w:r>
    </w:p>
    <w:p>
      <w:pPr>
        <w:spacing w:after="0" w:line="183" w:lineRule="exact"/>
        <w:rPr>
          <w:sz w:val="20"/>
          <w:szCs w:val="20"/>
          <w:color w:val="auto"/>
        </w:rPr>
      </w:pPr>
    </w:p>
    <w:p>
      <w:pPr>
        <w:jc w:val="both"/>
        <w:ind w:left="720" w:hanging="388"/>
        <w:spacing w:after="0" w:line="25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Advance Date, the Investor shall deliver to the Company a written document, in the form attached hereto as Exhibit B (each a “</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setting forth the final number of Shares to be purchased by the Investor (taking into account any adjustments pursuant to Section 2.01), the Market Price, the Purchase Price, the aggregate proceeds to be paid by the Investor to the Company, and a report by Bloomberg, L.P. indicating the VWAP for each of the Trading Days during the Pricing Period (or, if not reported on Bloomberg, L.P., another reporting service reasonably agreed to by the Parties), in each case in accordance with the terms and conditions of this Agreement.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the Settlement Document with respect to each Advance (and, in any event, not later than one Trading Day after such receipt),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Settlement Document) in cash in immediately available funds to an account designated by the Company in writing and transmit notification to the Company that such funds transfer has been requested. No fractional shares shall be issued, and any fractional amounts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Registration Statement and otherwise in compliance with the requirements of the Securities Act (including any applicable prospectus delivery requirements) or pursuant to an available exemption).</w:t>
      </w:r>
    </w:p>
    <w:p>
      <w:pPr>
        <w:spacing w:after="0" w:line="36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left="720" w:hanging="388"/>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on any day during the Pricing Period (i) the Company notifies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Hardship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4"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Investor sells Common Shares after receipt of an Advance Notice and the Company fails to perform its obligations as mandated in Section 2.02,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the rules of the Principal Market), without the posting of a bond or other security, the terms and provisions of this Agreement.</w:t>
      </w:r>
    </w:p>
    <w:p>
      <w:pPr>
        <w:spacing w:after="0" w:line="191" w:lineRule="exact"/>
        <w:rPr>
          <w:rFonts w:ascii="Times New Roman" w:cs="Times New Roman" w:eastAsia="Times New Roman" w:hAnsi="Times New Roman"/>
          <w:sz w:val="18"/>
          <w:szCs w:val="18"/>
          <w:color w:val="auto"/>
        </w:rPr>
      </w:pPr>
    </w:p>
    <w:p>
      <w:pPr>
        <w:jc w:val="both"/>
        <w:ind w:left="720" w:hanging="388"/>
        <w:spacing w:after="0" w:line="255"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provides an Advance Notice and the Investor fails to perform its obligations as mandated in Section 2.02, the Investor agrees that in addition to and in no way limiting the rights and obligations set forth in Article V hereto and in addition to any other remedy to which the Company is entitled at law or in equity, including, without limitation, specific performance, it will hold the Company harmless against any loss, claim, damage, or expense (including reasonable legal fees and expenses), as incurred, arising out of or in connection with such default by the Investor and acknowledges that irreparable damage may occur in the event of any such default. It is accordingly agreed that the Company shall be entitled to an injunction or injunctions to prevent such breaches of this Agreement and to specifically enforce (subject to the Securities Act and other rules of the Principal Market), without the posting of a bond or other security, the terms and provisions of this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Completion of Resale Pursuant to the Registration Statement</w:t>
      </w:r>
      <w:r>
        <w:rPr>
          <w:rFonts w:ascii="Times New Roman" w:cs="Times New Roman" w:eastAsia="Times New Roman" w:hAnsi="Times New Roman"/>
          <w:sz w:val="18"/>
          <w:szCs w:val="18"/>
          <w:color w:val="auto"/>
        </w:rPr>
        <w:t>. After the Investor has purchased the full Commitment Amount and has completed the subsequent resale of the full Commitment Amount pursuant to the Registration Statement, Investor will notify the Company in writing (which may be by e-mail) that all subsequent resales are completed and the Company will be under no further obligation to maintain the effectiveness of the Registration Statement.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the Investor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as of each Advance Notice Date and as of each Advance Date that: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and Authorization</w:t>
      </w:r>
      <w:r>
        <w:rPr>
          <w:rFonts w:ascii="Times New Roman" w:cs="Times New Roman" w:eastAsia="Times New Roman" w:hAnsi="Times New Roman"/>
          <w:sz w:val="18"/>
          <w:szCs w:val="18"/>
          <w:color w:val="auto"/>
        </w:rPr>
        <w:t>. The Investor is duly organized, validly existing and in good standing under the laws of the Delaware and has the requisite corporate power and authority to enter into and perform its obligations under this Agreement and to purchase or acquire Shares in accordance with the terms hereof. The decision to invest and the execution and delivery of this Agreement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this Agreement and all other instruments on behalf of the Investor or its shareholders. This Agreement has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Evaluation of Risks</w:t>
      </w:r>
      <w:r>
        <w:rPr>
          <w:rFonts w:ascii="Times New Roman" w:cs="Times New Roman" w:eastAsia="Times New Roman" w:hAnsi="Times New Roman"/>
          <w:sz w:val="18"/>
          <w:szCs w:val="18"/>
          <w:color w:val="auto"/>
        </w:rPr>
        <w:t>.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Legal, Investment or Tax Advice from the Company</w:t>
      </w:r>
      <w:r>
        <w:rPr>
          <w:rFonts w:ascii="Times New Roman" w:cs="Times New Roman" w:eastAsia="Times New Roman" w:hAnsi="Times New Roman"/>
          <w:sz w:val="18"/>
          <w:szCs w:val="18"/>
          <w:color w:val="auto"/>
        </w:rPr>
        <w:t>. The Investor acknowledges that it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Investor is acquiring the Common Shares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Investor is an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as that term is defined in Rule 501(a)(3) of Regulation 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Investor is not an officer, director or a person that directly, or indirectly through one or more intermediaries, controls or is controlled by, or is under common control with the Company or any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the Company (as that term is defined in Rule 405 promulgated under the Securities Act). During the Commitment Period, the Investor will not acquire for its own account any Common Shares or securities exercisable for or convertible into Common Shares, other than pursuant to this Agreement or pursuant to any transaction entered into directly with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No Prior Short Sales</w:t>
      </w:r>
      <w:r>
        <w:rPr>
          <w:rFonts w:ascii="Times New Roman" w:cs="Times New Roman" w:eastAsia="Times New Roman" w:hAnsi="Times New Roman"/>
          <w:sz w:val="18"/>
          <w:szCs w:val="18"/>
          <w:color w:val="auto"/>
        </w:rPr>
        <w:t>. At no time prior to the date of this Agreement has the Investor, its sole member, any of their respective officers, or any entity managed or controlled by the Investor or its sole member, engaged in or effected, in any manner whatsoever, directly or indirectly, for its own principal account, any (i) “short sale” (as such term is defined in Rule 200 of Regulation SHO of the Exchange Act) of the Common Shares or (ii) hedging transaction, in either case which establishes a net short position with respect to the Common Shares that remains in effect as of the date of this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Investor of this Agreement and the consummation by the Investor of the transactions contemplated hereby do not and shall not (i) result in a violation of such Investor’s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or (iii)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and (iii), for such conflicts, defaults, terminations, amendments, acceleration, cancellations and violations as would not, individually or in the aggregate, prohibit or otherwise se interfere with, in any material respect, the ability of the Investor to enter into and perform its obligations under this Agreement.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The Investor understands that no United States federal or state agency or any other government or governmental agency has passed on or made any recommendation or endorsement of the Shares or the fairness or suitability of the investment in the Shares nor have such authorities passes upon or endorsed the merits of the offering of the Shares.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Resale of Shares</w:t>
      </w:r>
      <w:r>
        <w:rPr>
          <w:rFonts w:ascii="Times New Roman" w:cs="Times New Roman" w:eastAsia="Times New Roman" w:hAnsi="Times New Roman"/>
          <w:sz w:val="18"/>
          <w:szCs w:val="18"/>
          <w:color w:val="auto"/>
        </w:rPr>
        <w:t>. The Investor represents, warrants and covenants that it will resell such Shares only pursuant to a Registration Statement in which the resale of such Advance Shares is registered under the Securities Act,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Notwithstanding the foregoing any Commitment Shares held by the Investor not subject to an effective Registration Statement may be eligible for resale pursuant to Rule 144 of the Securities Act or any such applicable exemptions of the registration requirements of the Securities Act, subject to the satisfaction of any holding period and other applicable requirements under such Rule.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will be set forth in the SEC Documents or qualified hereunder, the Company represents and warrants to the Investor that, as of the date hereof and thereof, as applicable, each Advance Notice Date and each Advance Date (other than representations and warranties which address matters only as of a certain date, which shall be true and correct as written as of such certain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the Company and its Subsidiaries is an entity duly organized and validly existing under the laws of their respective jurisdiction of organization,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Authorization, Enforcement, Compliance with Other Instruments.</w:t>
      </w:r>
      <w:r>
        <w:rPr>
          <w:rFonts w:ascii="Times New Roman" w:cs="Times New Roman" w:eastAsia="Times New Roman" w:hAnsi="Times New Roman"/>
          <w:sz w:val="18"/>
          <w:szCs w:val="18"/>
          <w:color w:val="auto"/>
        </w:rPr>
        <w:t xml:space="preserve">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Common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and each of the other agreements and instruments entered into or delivered by any of the Parties hereto in connection with the transactions contemplated hereby and thereby, as may be amended from time to time.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From and after the Effective Time,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Common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such violations that would not reasonably be expected to have a Material Adverse Effect.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From and after the Effective Time, the Company shall have timely filed (giving effect to permissible extensions in accordance with Rule 12b-25 under the Exchange Act) all reports, schedules, forms, statements and other documents required to be filed by it with the SEC pursuant to the Exchange Act, including, without limitation, each Registration Statement, as the same may be amended from time to time, the Prospectus contained therein and each Prospectus Supplement thereto, and all information contained in such filings and all documents and disclosures that have been or may in the future be incorporated by reference therein (all such documents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From and after the Effective Time, the Company shall have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the SEC Documents shall comply in all material respects with the requirements of the Exchange Act or the Securities Act, as applicable, and the rules and regulations of the SEC promulgated thereunder applicable to the SEC Documents, and shall not contain any untrue statement of a material fact or omitted to state a material fact required to be stated therein or necessary in order to make the statements therein, in the light of the circumstances under which they were made, not misleading.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Following the Effective Date, the consolidated financial statements of the Company included or incorporated by reference in the SEC Documents, together with the related notes and schedules, shall present fairly, in all material respects, the consolidated financial position of the Company and the Subsidiaries as of the dates indicated and the consolidated results of operations, cash flows and changes in stockholders’ equity of the Company for the periods specified and shall have been prepared in compliance with the requirements of the Securities Act and Exchange Act and in conformity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shall be accurately and fairly presented and prepared on a basis consistent with the financial statements and books and records of the Company; there shall be no financial statements (historical or pro forma) that shall be required to be included or incorporated by reference in the SEC Documents that shall not be included or incorporated by reference as required; the Company and the Subsidiaries shall not have any material liabilities or obligations, direct or contingent (including any off-balance sheet obligations), not described in the SEC Documents (excluding the exhibits thereto); and all disclosures contained or incorporated by reference in the SEC Documents regarding “non-GAAP financial measures” (as such term is defined by the rules and regulations of the Commission) shall comply in all material respects with Regulation G of the Exchange Act and Item 10 of Regulation S-K under the Securities Act, to the extent applicable. The interactive data in eXtensible Business Reporting Language included or incorporated by reference in the SEC Documents shall fairly present the information called for in all material respects and shall be prepared in accordance with the SEC’s rules and guidelines applicable thereto.</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therein that were filed with the Commission on or prior to the date of this Agreement have been delivered, or are available through EDGAR,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Prospectus contained therein, and each other prospectus supplement.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Each Registration Statement, when it became or becomes effective, and any Prospectus, on the date of such Prospectus or any amendment or supplement thereto, conformed and will conform in all material respects with the requirements of the Securities Act. At each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 On the Effective Date the authorized share capital of the Company shall be provided to the Investor. Following the Effective Date, the Common Shares will be registered pursuant to Section 12(b) of the Exchange Act and listed on a Principal Market under the trading symbol a symbol to be determined. Commencing on the Effective Date the Company will take no action designed to, or likely to have the effect of, terminating the registration of the Common Shares under the Exchange Act, delisting the Common Shares from the Principal Market. Commencing on the Effective Date, the Company will, promptly upon receipt of any notification that the Commission or the Principal Market is contemplating terminating such registration or listing, notify the Investor. Commencing on the Effective Date, the Company will, promptly notify the Investor, if it is not in compliance with all applicable listing requirements of the Principal Market.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would not cause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would not cause a Material Adverse Effect.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involved in any labor dispute nor, to the knowledge of the Company or any of its Subsidiaries, has any such dispute threatened, in each case which is reasonably likely to cause a Material Adverse Effect.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where, in each of the foregoing clauses (i), (ii) and (iii), the failure to so comply would be reasonably expected to have, individually or in the aggregate, a Material Adverse Effect. The term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Except as would not cause a Material Adverse Effect, the Company (or its Subsidiaries) has indefeasible fee simple or leasehold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Except as would not cause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Following the Effective Date, the Company will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a Material Adverse Effect.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Other than the LCW Merger Sub and Innventure Merger Sub, the Company does not presently own or control, directly or indirectly, any interest in any other corporation, partnership, association or other business entity.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w:t>
      </w:r>
    </w:p>
    <w:p>
      <w:pPr>
        <w:spacing w:after="0" w:line="1" w:lineRule="exact"/>
        <w:rPr>
          <w:sz w:val="20"/>
          <w:szCs w:val="20"/>
          <w:color w:val="auto"/>
        </w:rPr>
      </w:pPr>
    </w:p>
    <w:p>
      <w:pPr>
        <w:jc w:val="both"/>
        <w:ind w:firstLine="8"/>
        <w:spacing w:after="0" w:line="253"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and its Subsidiaries know of no basis for any such claim where failure to pay would cause a Material Adverse Effect.</w:t>
      </w:r>
    </w:p>
    <w:p>
      <w:pPr>
        <w:spacing w:after="0" w:line="36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Rights of First Refusal</w:t>
      </w:r>
      <w:r>
        <w:rPr>
          <w:rFonts w:ascii="Times New Roman" w:cs="Times New Roman" w:eastAsia="Times New Roman" w:hAnsi="Times New Roman"/>
          <w:sz w:val="18"/>
          <w:szCs w:val="18"/>
          <w:color w:val="auto"/>
        </w:rPr>
        <w:t>. The Company is not obligated to offer the Common Shares offered hereunder on a right of first refusal basis to any third parties including, but not limited to, current or former shareholders of the Company, underwriters, brokers, agents or other third parties.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Dilution</w:t>
      </w:r>
      <w:r>
        <w:rPr>
          <w:rFonts w:ascii="Times New Roman" w:cs="Times New Roman" w:eastAsia="Times New Roman" w:hAnsi="Times New Roman"/>
          <w:sz w:val="18"/>
          <w:szCs w:val="18"/>
          <w:color w:val="auto"/>
        </w:rPr>
        <w:t>. The Company is aware and acknowledges that issuance of Common Shares hereunder could cause dilution to existing shareholders and could significantly increase the outstanding number of Common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Acknowledgment Regarding Investor’s Purchase of Shares</w:t>
      </w:r>
      <w:r>
        <w:rPr>
          <w:rFonts w:ascii="Times New Roman" w:cs="Times New Roman" w:eastAsia="Times New Roman" w:hAnsi="Times New Roman"/>
          <w:sz w:val="18"/>
          <w:szCs w:val="18"/>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the Registration Statement is not effective or if any issuances of Common Shares pursuant to any Advances would violate any rules of the Principal Market. The Company acknowledges and agrees that it is capable of evaluating and understanding, and understands and accepts, the terms, risks and conditions of the transactions contemplated by this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Neither the Company, nor any of its Subsidiaries, affiliates, nor to the knowledge of the Company, any person acting on its or their behalf is a client or customer of the Investor or any of its affiliates and neither the Investor nor any of its affiliates has provided, or will provide, any services to the Company or any of its affiliates, its subsidiaries, or, to the knowledge of the Company, any person acting on its or their behalf. The Investor’s relationship to Company is solely as investor as provided for in the Transaction Documents.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at all times in compliance with and neither the Company nor the Subsidiaries,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are in compliance with Applicable Laws;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has not complied with Applicable Laws, or could give rise to a notice of non-compliance with Applicable Laws, and is not aware of any pending change or contemplated change to any applicable law or regulation or governmental position; in each case that would have a Material Adverse Effect.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Neither the Company nor any of its Subsidiaries will, directly or indirectly, use the proceeds from the sale of Advance Shares,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Article V.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and the Company represent to the other the following with respect to itself:</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In consideration of the Investor’s execution and delivery of this Agreement and acquiring the Shares hereunder, and in addition to all of the Company’s other obligations under this Agreement, the Company shall defend, protect, indemnify and hold harmless the Investor and its investment manager, Yorkville Advisors Global, LP, and each of their respective officers, directors, managers, members, partners,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Indemnification by the Investor</w:t>
      </w:r>
      <w:r>
        <w:rPr>
          <w:rFonts w:ascii="Times New Roman" w:cs="Times New Roman" w:eastAsia="Times New Roman" w:hAnsi="Times New Roman"/>
          <w:sz w:val="18"/>
          <w:szCs w:val="18"/>
          <w:color w:val="auto"/>
        </w:rPr>
        <w:t>.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remedies provided for in this Article V are not exclusive and shall not limit any right or remedy which may be available to any indemnified person at law or equity. The obligations of the Parties to indemnify or make contribution under this Article V shall survive expiration or termination of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the foregoing, no party shall be entitled to recover from the other party for punitive, indirect, incidental or consequential damages.</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Commitment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 Registration Statement</w:t>
      </w:r>
      <w:r>
        <w:rPr>
          <w:rFonts w:ascii="Times New Roman" w:cs="Times New Roman" w:eastAsia="Times New Roman" w:hAnsi="Times New Roman"/>
          <w:sz w:val="18"/>
          <w:szCs w:val="18"/>
          <w:color w:val="auto"/>
        </w:rPr>
        <w:t xml:space="preserve">. The Company shall prepare and file with the SEC a Registration Statement, or multiple Registration Statements for the resale by the Investor of the Registrable Securities. The Company in its sole discretion may choose when to file such Registration Statements;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have the ability to request any Advances until the effectiveness of a Registration Statement.</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3"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Maintaining a Registration Statement</w:t>
      </w:r>
      <w:r>
        <w:rPr>
          <w:rFonts w:ascii="Times New Roman" w:cs="Times New Roman" w:eastAsia="Times New Roman" w:hAnsi="Times New Roman"/>
          <w:sz w:val="18"/>
          <w:szCs w:val="18"/>
          <w:color w:val="auto"/>
        </w:rPr>
        <w:t>. The Company shall maintain the effectiveness of any Registration Statement that has been declared effective at all times during the Commitment Period, provided, however, that if the Company has received notification pursuant to Section 2.04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ensure that, when declared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 promptly if (i) the Registration Statement shall cease to be effective under the Securities Act, (ii) the Common Shares shall cease to be authorized for listing on the Principal Market, (iii) the Common Shares cease to be registered under Section 12(b) or Section 12(g) of the Exchange Act or (iv) the Company fails to file in a timely manner all reports and other documents required of it as a reporting company under the Exchange Act.</w:t>
      </w:r>
    </w:p>
    <w:p>
      <w:pPr>
        <w:spacing w:after="0" w:line="36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left="388" w:hanging="388"/>
        <w:spacing w:after="0" w:line="252" w:lineRule="auto"/>
        <w:tabs>
          <w:tab w:leader="none" w:pos="3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Procedures</w:t>
      </w:r>
      <w:r>
        <w:rPr>
          <w:rFonts w:ascii="Times New Roman" w:cs="Times New Roman" w:eastAsia="Times New Roman" w:hAnsi="Times New Roman"/>
          <w:sz w:val="18"/>
          <w:szCs w:val="18"/>
          <w:color w:val="auto"/>
        </w:rPr>
        <w:t>. The Company shall (A) permit counsel to the Investor an opportunity to review and comment upon (i) each Registration Statement at least three (3) Trading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SEC, and (B) shall reasonably consider any comments of the Investor and its counsel on any such Registration Statement or amendment or supplement thereto or to any Prospectus contained therein. The Company shall promptly furnish to the Investor, without charge, (i) electronic copies of any correspondence from the SEC or the staff of the SEC to the Company or its representatives relating to each Registration Statement (which correspondence shall be redacted to exclude any material, non-public information regarding the Company or any of its Subsidiaries), (ii) after the same is prepared and filed with the SEC, one</w:t>
      </w:r>
    </w:p>
    <w:p>
      <w:pPr>
        <w:spacing w:after="0" w:line="6" w:lineRule="exact"/>
        <w:rPr>
          <w:rFonts w:ascii="Times New Roman" w:cs="Times New Roman" w:eastAsia="Times New Roman" w:hAnsi="Times New Roman"/>
          <w:sz w:val="18"/>
          <w:szCs w:val="18"/>
          <w:color w:val="auto"/>
        </w:rPr>
      </w:pPr>
    </w:p>
    <w:p>
      <w:pPr>
        <w:jc w:val="both"/>
        <w:ind w:left="388" w:hanging="10"/>
        <w:spacing w:after="0" w:line="253" w:lineRule="auto"/>
        <w:tabs>
          <w:tab w:leader="none" w:pos="6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to the extent such document is available on EDGAR).</w:t>
      </w:r>
    </w:p>
    <w:p>
      <w:pPr>
        <w:spacing w:after="0" w:line="186" w:lineRule="exact"/>
        <w:rPr>
          <w:rFonts w:ascii="Times New Roman" w:cs="Times New Roman" w:eastAsia="Times New Roman" w:hAnsi="Times New Roman"/>
          <w:sz w:val="18"/>
          <w:szCs w:val="18"/>
          <w:color w:val="auto"/>
        </w:rPr>
      </w:pPr>
    </w:p>
    <w:p>
      <w:pPr>
        <w:jc w:val="both"/>
        <w:ind w:left="388" w:hanging="388"/>
        <w:spacing w:after="0" w:line="252" w:lineRule="auto"/>
        <w:tabs>
          <w:tab w:leader="none" w:pos="3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Other Filings</w:t>
      </w:r>
      <w:r>
        <w:rPr>
          <w:rFonts w:ascii="Times New Roman" w:cs="Times New Roman" w:eastAsia="Times New Roman" w:hAnsi="Times New Roman"/>
          <w:sz w:val="18"/>
          <w:szCs w:val="18"/>
          <w:color w:val="auto"/>
        </w:rPr>
        <w:t>. The Company shall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Registration Statement. In the case of amendments and supplements to a Registration Statement which are required to be filed pursuant to this Agreement (including pursuant to this Section 6.01(d) by reason of the Company’s filing a report on Form 10-K, Form 10-Q, or Form 8-K or any analogous report under the Exchange Act, the Company shall file such report in a prospectus supplement filed pursuant to Rule 424 promulgated under the Securities Act to incorporate such filing into the Registration Statement, if applicable, or shall file such amendments or supplements with the SEC either on the day on which the Exchange Act report is filed which created the requirement for the Company to amend or supplement the Registration Statement, if feasible, or otherwise promptly thereafter.</w:t>
      </w:r>
    </w:p>
    <w:p>
      <w:pPr>
        <w:spacing w:after="0" w:line="372"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43" w:name="page44"/>
    <w:bookmarkEnd w:id="43"/>
    <w:p>
      <w:pPr>
        <w:jc w:val="both"/>
        <w:ind w:left="720" w:hanging="388"/>
        <w:spacing w:after="0" w:line="269"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Blue-Sky</w:t>
      </w:r>
      <w:r>
        <w:rPr>
          <w:rFonts w:ascii="Times New Roman" w:cs="Times New Roman" w:eastAsia="Times New Roman" w:hAnsi="Times New Roman"/>
          <w:sz w:val="17"/>
          <w:szCs w:val="17"/>
          <w:color w:val="auto"/>
        </w:rPr>
        <w:t>. The Company shall use its commercially reasonable efforts to, if required by Applicable Laws, (i) register and qualify the Common Shares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Common Shares for sale in such jurisdictions; provided, however, that the Company shall not be required in connection therewith or as a condition thereto to (w) make any change to its Certificate of Incorporation or Bylaws or any other organizational documents of the Company or any of its Subsidiaries, (x) qualify to do business in any jurisdiction where it would not otherwise be required to qualify but for this Section 6.01(e),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Common Shares for sale under the securities or “blue sky” laws of any jurisdiction in the United States or its receipt of actual notice of the initiation or threat of any proceeding for such purpose.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Suspension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8"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 Black Out Period</w:t>
      </w:r>
      <w:r>
        <w:rPr>
          <w:rFonts w:ascii="Times New Roman" w:cs="Times New Roman" w:eastAsia="Times New Roman" w:hAnsi="Times New Roman"/>
          <w:sz w:val="18"/>
          <w:szCs w:val="18"/>
          <w:color w:val="auto"/>
        </w:rPr>
        <w:t>. During the Commitment Period, the Company from time to time may suspend the use of the Registration Statement by written notice to the Investor in the event that the Company determines in its sole discretion in good faith that such suspension is necessary to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Sales by Investor During the Black Out Period</w:t>
      </w:r>
      <w:r>
        <w:rPr>
          <w:rFonts w:ascii="Times New Roman" w:cs="Times New Roman" w:eastAsia="Times New Roman" w:hAnsi="Times New Roman"/>
          <w:sz w:val="18"/>
          <w:szCs w:val="18"/>
          <w:color w:val="auto"/>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the Black Out Period</w:t>
      </w:r>
      <w:r>
        <w:rPr>
          <w:rFonts w:ascii="Times New Roman" w:cs="Times New Roman" w:eastAsia="Times New Roman" w:hAnsi="Times New Roman"/>
          <w:sz w:val="18"/>
          <w:szCs w:val="18"/>
          <w:color w:val="auto"/>
        </w:rPr>
        <w:t>. The Company shall not impose any Black Out Period that is longer than 60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spacing w:after="0" w:line="36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Listing of Common Shares</w:t>
      </w:r>
      <w:r>
        <w:rPr>
          <w:rFonts w:ascii="Times New Roman" w:cs="Times New Roman" w:eastAsia="Times New Roman" w:hAnsi="Times New Roman"/>
          <w:sz w:val="18"/>
          <w:szCs w:val="18"/>
          <w:color w:val="auto"/>
        </w:rPr>
        <w:t>. As of each Advance Date, the Shares to be sold by the Company from time to time hereunder will have been registered under Section 12(b) of the Exchange Act and approved for listing on the Principal Market, subject to official notice of issuance.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Prior to the date of the delivery by the Company of the first Advance Notice, the Investor shall have received an opinion letter from counsel to the Company in the form attached hereto as Exhibit 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will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During the Commitment Period (or such shorter time as permitted by Section 2.04 of this Agreement) and subject to Applicable Laws, the Company shall cause (including, if necessary, by causing legal counsel for the Company to deliver an opinion) the transfer agent for the Common Shares to remove restrictive legends from Common Shares purchased by the Investor pursuant to this Agreement, provided that counsel for the Company shall have been furnished with such documents as they may require for the purpose of enabling them to render the opinions or make the statements requested by the transfer agent, or in order to evidence the accuracy of any of the representations or warranties, or the fulfillment of any of the covenants, obligations or conditions, contained herein.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The Company will use commercially reasonable efforts to preserve and continue the corporate existence of the Company during the Commitment Period.</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Notice of Certain Events Affecting Registration; Suspension of Right to Make an Advance</w:t>
      </w:r>
      <w:r>
        <w:rPr>
          <w:rFonts w:ascii="Times New Roman" w:cs="Times New Roman" w:eastAsia="Times New Roman" w:hAnsi="Times New Roman"/>
          <w:sz w:val="18"/>
          <w:szCs w:val="18"/>
          <w:color w:val="auto"/>
        </w:rPr>
        <w:t>. The Company will promptly notify the Investor, and confirm in writing, upon its becoming aware of the occurrence of any of the following events in respect of a Registration Statement or related Prospectus (in each of which cases the information provided to Investor will be kept strictly confidential): (i) except for requests made in connection with SEC investigations disclosed in the SEC Documents,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(v) the Company’s reasonable determination that a post-effective amendment to the Registration Statement would be required under Applicable Law; (vi) the Common Shares shall cease to be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Section 2.02(d)), during the continuation of any of the foregoing events (each of the events described in the immediately preceding clauses (i) through (vii), inclusive, a “</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The Company shall not be required to provide any information to the Investor pursuant to this Section 6.08 if it determines in its reasonable judgement that such information would constitute material non-public information.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2.02 hereof, and all Shares in connection with such Advance have been received by the Investor.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Issuance of the Company’s Common Shares.</w:t>
      </w:r>
      <w:r>
        <w:rPr>
          <w:rFonts w:ascii="Times New Roman" w:cs="Times New Roman" w:eastAsia="Times New Roman" w:hAnsi="Times New Roman"/>
          <w:sz w:val="18"/>
          <w:szCs w:val="18"/>
          <w:color w:val="auto"/>
        </w:rPr>
        <w:t xml:space="preserve"> The issuance and sale of the Common Shares hereunder shall be made in accordance with the provisions and requirements of Section 4(a)(2) of the Securities Act and any applicable state securities law.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requested by the Investor, (vi) the fees and expenses incurred in connection with the listing or qualification of the Shares for trading on the Principal Market, or (vii) filing fees of the SEC and the Principal Market.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xml:space="preserve"> The Company shall procure that the Parent, not later than 5:30 p.m., New York City time, on the fourth business day after the date of this Agreement, file with the SEC a current report on Form 8-K disclosing the execution of this Agreement by the Company and the Investor (including any exhibits thereto,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The Company shall provide the Investor and its legal counsel a reasonable opportunity to comment on any description of this Agreement contained in a draft of the Current Report, including any exhibit to be filed related thereto, as applicable, prior to filing the Current Report with the SEC and shall give due consideration to all such comments. From and after the filing of the Current Report with the SEC,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it being understood that the mere notification of Investor required pursuant to clause (iv) of Section 6.08 shall not in and of itself be deemed to be material, non-public information.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herein, which, following the date hereof would, if not so disclosed, constitute material, non-public information regarding the Company or its Subsidiaries. The Company understands and confirms that the Investor will rely on the foregoing representations in effecting resales of Shares under a Registration Statement.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Advance Notice Limitation</w:t>
      </w:r>
      <w:r>
        <w:rPr>
          <w:rFonts w:ascii="Times New Roman" w:cs="Times New Roman" w:eastAsia="Times New Roman" w:hAnsi="Times New Roman"/>
          <w:sz w:val="18"/>
          <w:szCs w:val="18"/>
          <w:color w:val="auto"/>
        </w:rPr>
        <w:t>. The Company shall not deliver an Advance Notice if a shareholder meeting or corporate action date, or the record date for any shareholder meeting or any corporate action, would fall during the period beginning two Trading Days prior to the date of delivery of such Advance Notice and ending two Trading Days following the Closing of such Advance.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comply in all material respects with all Applicable Laws.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Common Shares or (ii) sell, bid for, or purchase Common Shares in violation of Regulation M, or pay anyone any compensation for soliciting purchases of the Shares.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Trading Information</w:t>
      </w:r>
      <w:r>
        <w:rPr>
          <w:rFonts w:ascii="Times New Roman" w:cs="Times New Roman" w:eastAsia="Times New Roman" w:hAnsi="Times New Roman"/>
          <w:sz w:val="18"/>
          <w:szCs w:val="18"/>
          <w:color w:val="auto"/>
        </w:rPr>
        <w:t>. Upon the Company’s request, the Investor agrees to provide the Company with trading reports setting forth the number and average sales prices of shares of Common Stock sold by the Investor during the prior trading week.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Selling Restrictions</w:t>
      </w:r>
      <w:r>
        <w:rPr>
          <w:rFonts w:ascii="Times New Roman" w:cs="Times New Roman" w:eastAsia="Times New Roman" w:hAnsi="Times New Roman"/>
          <w:sz w:val="18"/>
          <w:szCs w:val="18"/>
          <w:color w:val="auto"/>
        </w:rPr>
        <w:t>. (i) Except as expressly set forth below, the Investor covenants that from and after the date hereof through and including the Trading Day next following the expiration or termination of this Agreement as provided in Section 10.01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none of the Investor any of its officers, or any entity managed or controlled by the Investor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any “short sale” (as such term is defined in Rule 200 of Regulation SHO of the Exchange Act) of the Common Shares,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Shares; or</w:t>
      </w:r>
    </w:p>
    <w:p>
      <w:pPr>
        <w:spacing w:after="0" w:line="3" w:lineRule="exact"/>
        <w:rPr>
          <w:sz w:val="20"/>
          <w:szCs w:val="20"/>
          <w:color w:val="auto"/>
        </w:rPr>
      </w:pPr>
    </w:p>
    <w:p>
      <w:pPr>
        <w:ind w:firstLine="8"/>
        <w:spacing w:after="0" w:line="260"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 number of Common Shares equal to the number of Advance Shares that such Restricted Person is unconditionally obligated to purchase under a pending Advance Notice but has not yet received from the Company or the transfer agent pursuant to this Agreement.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for Delivery of Advance Notice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Conditions Precedent to the Right of the Company to Deliver an Advance Notice</w:t>
      </w:r>
      <w:r>
        <w:rPr>
          <w:rFonts w:ascii="Times New Roman" w:cs="Times New Roman" w:eastAsia="Times New Roman" w:hAnsi="Times New Roman"/>
          <w:sz w:val="18"/>
          <w:szCs w:val="18"/>
          <w:color w:val="auto"/>
        </w:rPr>
        <w:t>. The right of the Company to deliver an Advance Notice and the obligations of the Investor hereunder with respect to an Advance are subject to the satisfaction or waiver, on each Advance Notice Date (a “</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of each of the following conditions:</w:t>
      </w:r>
    </w:p>
    <w:p>
      <w:pPr>
        <w:spacing w:after="0" w:line="176" w:lineRule="exact"/>
        <w:rPr>
          <w:sz w:val="20"/>
          <w:szCs w:val="20"/>
          <w:color w:val="auto"/>
        </w:rPr>
      </w:pPr>
    </w:p>
    <w:p>
      <w:pPr>
        <w:jc w:val="both"/>
        <w:ind w:left="720" w:hanging="388"/>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 in this Agreement shall be true and correct in all material respects as of the Advance Notice Date (other than representations and warranties which address matters only as of a certain date, which shall be true and correct as written as of such certain date.</w:t>
      </w:r>
    </w:p>
    <w:p>
      <w:pPr>
        <w:spacing w:after="0" w:line="35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left="388" w:hanging="388"/>
        <w:spacing w:after="0" w:line="268"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Commitment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have issued the Commitment Shares to an account designated by the Investor, in accordance with Section 12.04, all of which Commitment Shares, if issued, shall be fully earned as of the date hereof and non-refundable, regardless of whether any Advance Notices are made or settled hereunder or any subsequent termination of this Agreement.</w:t>
      </w:r>
    </w:p>
    <w:p>
      <w:pPr>
        <w:spacing w:after="0" w:line="174" w:lineRule="exact"/>
        <w:rPr>
          <w:rFonts w:ascii="Times New Roman" w:cs="Times New Roman" w:eastAsia="Times New Roman" w:hAnsi="Times New Roman"/>
          <w:sz w:val="18"/>
          <w:szCs w:val="18"/>
          <w:color w:val="auto"/>
        </w:rPr>
      </w:pPr>
    </w:p>
    <w:p>
      <w:pPr>
        <w:jc w:val="both"/>
        <w:ind w:left="388" w:hanging="388"/>
        <w:spacing w:after="0" w:line="261"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the Common Shares with the SEC</w:t>
      </w:r>
      <w:r>
        <w:rPr>
          <w:rFonts w:ascii="Times New Roman" w:cs="Times New Roman" w:eastAsia="Times New Roman" w:hAnsi="Times New Roman"/>
          <w:sz w:val="18"/>
          <w:szCs w:val="18"/>
          <w:color w:val="auto"/>
        </w:rPr>
        <w:t>. There is an effective Registration Statement pursuant to which the Investor is permitted to utilize the prospectus thereunder to resell all of the Common Shares issuable pursuant to such Advance Notice. The Company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179"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laws and regulations to which the Company is subject.</w:t>
      </w:r>
    </w:p>
    <w:p>
      <w:pPr>
        <w:spacing w:after="0" w:line="175"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Outside Event</w:t>
      </w:r>
      <w:r>
        <w:rPr>
          <w:rFonts w:ascii="Times New Roman" w:cs="Times New Roman" w:eastAsia="Times New Roman" w:hAnsi="Times New Roman"/>
          <w:sz w:val="18"/>
          <w:szCs w:val="18"/>
          <w:color w:val="auto"/>
        </w:rPr>
        <w:t>. No Material Outside Event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 has approved the transactions contemplated by the Transaction Documents; said approval has not been amended, rescinded or modified and remains in full force and effect as of the Effective Date, and a true, correct and complete copy of such resolutions duly adopted by the board of directors of the Company shall have been provided to the Investor.</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shall have performed, satisfied and complied in all material respects with all covenants, agreements and conditions required by this Agreement to be performed, satisfied or complied with by the Company at or prior the applicable Condition Satisfaction Date.</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or directly, materially and adversely affects any of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388" w:hanging="388"/>
        <w:spacing w:after="0" w:line="254" w:lineRule="auto"/>
        <w:tabs>
          <w:tab w:leader="none" w:pos="3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w:t>
      </w:r>
      <w:r>
        <w:rPr>
          <w:rFonts w:ascii="Times New Roman" w:cs="Times New Roman" w:eastAsia="Times New Roman" w:hAnsi="Times New Roman"/>
          <w:sz w:val="18"/>
          <w:szCs w:val="18"/>
          <w:color w:val="auto"/>
        </w:rPr>
        <w:t>. Trading in the Common Shares shall not have been suspended by the SEC, the Principal Market or FINRA, the Company shall not have received any final and non-appealable notice that the listing or quotation of the Common Shares on the Principal Market shall be terminated on a date certain (unless, prior to such date certain, the Common Shares are listed or quoted on any subsequent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spacing w:after="0" w:line="363"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3" w:right="339" w:bottom="1440" w:gutter="0" w:footer="0" w:header="0"/>
        </w:sectPr>
      </w:pPr>
    </w:p>
    <w:bookmarkStart w:id="49" w:name="page50"/>
    <w:bookmarkEnd w:id="49"/>
    <w:p>
      <w:pPr>
        <w:ind w:left="7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There shall be a sufficient number of authorized but unissued and otherwise unreserved Common Shares for the issuance of all of the Shares issuable pursuant to such Advance Notice.</w:t>
      </w:r>
    </w:p>
    <w:p>
      <w:pPr>
        <w:spacing w:after="0" w:line="161"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Advance Notice</w:t>
      </w:r>
      <w:r>
        <w:rPr>
          <w:rFonts w:ascii="Times New Roman" w:cs="Times New Roman" w:eastAsia="Times New Roman" w:hAnsi="Times New Roman"/>
          <w:sz w:val="18"/>
          <w:szCs w:val="18"/>
          <w:color w:val="auto"/>
        </w:rPr>
        <w:t>. The representations contained in the applicable Advance Notice shall be true and correct in all material respects as of the applicable Condition Satisfaction Date.</w:t>
      </w:r>
    </w:p>
    <w:p>
      <w:pPr>
        <w:spacing w:after="0" w:line="161" w:lineRule="exact"/>
        <w:rPr>
          <w:rFonts w:ascii="Times New Roman" w:cs="Times New Roman" w:eastAsia="Times New Roman" w:hAnsi="Times New Roman"/>
          <w:sz w:val="18"/>
          <w:szCs w:val="18"/>
          <w:color w:val="auto"/>
        </w:rPr>
      </w:pPr>
    </w:p>
    <w:p>
      <w:pPr>
        <w:ind w:left="720" w:right="20" w:hanging="38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Consecutive Advance Notices</w:t>
      </w:r>
      <w:r>
        <w:rPr>
          <w:rFonts w:ascii="Times New Roman" w:cs="Times New Roman" w:eastAsia="Times New Roman" w:hAnsi="Times New Roman"/>
          <w:sz w:val="18"/>
          <w:szCs w:val="18"/>
          <w:color w:val="auto"/>
        </w:rPr>
        <w:t>. Except with respect to the first Advance Notice, the Company shall have delivered all Shares relating to all prior Advances.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 Exclusive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Law/Jurisdiction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firstLine="8"/>
        <w:spacing w:after="0" w:line="260" w:lineRule="auto"/>
        <w:tabs>
          <w:tab w:leader="none" w:pos="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PARTY HERETO HAVE BEEN INDUCED TO ENTER INTO THIS AGREEMENT BY, AMONG OTHER THINGS, THE MUTUAL WAIVERS AND CERTIFICATIONS IN THIS PARAGRAPH.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as provided hereunder, this Agreement shall terminate automatically on the earliest of (i) the termination of the Business Combination Agreement, (ii) the first day of the month next following the 36-month anniversary of the Effective Date or (ii) the date on which the Investor shall have made payment of Advances pursuant to this Agreement for Common Shares equal to the Commitment Amount.</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61"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this Agreement effective upon five Trading Days’ prior written notice to the Investor; provided that (i) there are no outstanding Advance Notices, the Common Shares under which have yet to be issued,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10.01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 shall survive termination 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Notices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Other than with respect to Advance Notices, which must be in writing delivered in accordance with Section 2.01(b)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(iv) 1 day after deposit with a nationally recognized overnight delivery service, in each case properly addressed to the party to receive the same. The addresses for such communications (except for Advance Notices which shall be delivered in accordance with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hereof) shall be:</w:t>
      </w:r>
    </w:p>
    <w:p>
      <w:pPr>
        <w:sectPr>
          <w:pgSz w:w="11900" w:h="16838" w:orient="portrait"/>
          <w:cols w:equalWidth="0" w:num="1">
            <w:col w:w="11240"/>
          </w:cols>
          <w:pgMar w:left="320" w:top="337"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11755 Wilshire Blvd. – Suite 2320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Hutter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(424) 324-2990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rob@learn.vc</w:t>
      </w:r>
    </w:p>
    <w:p>
      <w:pPr>
        <w:spacing w:after="0" w:line="200" w:lineRule="exact"/>
        <w:rPr>
          <w:sz w:val="20"/>
          <w:szCs w:val="20"/>
          <w:color w:val="auto"/>
        </w:rPr>
      </w:pPr>
    </w:p>
    <w:p>
      <w:pPr>
        <w:sectPr>
          <w:pgSz w:w="11900" w:h="16838" w:orient="portrait"/>
          <w:cols w:equalWidth="0" w:num="2">
            <w:col w:w="3340" w:space="720"/>
            <w:col w:w="7180"/>
          </w:cols>
          <w:pgMar w:left="320" w:top="337" w:right="33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 (which shall not</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Vedder Price</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constitute notice or delivery of process) to:</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222 North LaSalle Street, Suite 2600</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Chicago, IL 60601</w:t>
            </w:r>
          </w:p>
        </w:tc>
      </w:tr>
      <w:tr>
        <w:trPr>
          <w:trHeight w:val="414"/>
        </w:trPr>
        <w:tc>
          <w:tcPr>
            <w:tcW w:w="3800" w:type="dxa"/>
            <w:vAlign w:val="bottom"/>
          </w:tcPr>
          <w:p>
            <w:pPr>
              <w:spacing w:after="0"/>
              <w:rPr>
                <w:sz w:val="24"/>
                <w:szCs w:val="24"/>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 John Blatchford</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Telephone: (312) 609-7605</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jblatchford@vedderprice.com</w:t>
            </w:r>
          </w:p>
        </w:tc>
      </w:tr>
      <w:tr>
        <w:trPr>
          <w:trHeight w:val="41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If to the Investor(s):</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YA II PN, Ltd.</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Attention:</w:t>
            </w: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Angelo</w:t>
            </w:r>
          </w:p>
        </w:tc>
      </w:tr>
      <w:tr>
        <w:trPr>
          <w:trHeight w:val="216"/>
        </w:trPr>
        <w:tc>
          <w:tcPr>
            <w:tcW w:w="3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Portfolio Manager</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Telephone:</w:t>
            </w:r>
          </w:p>
        </w:tc>
        <w:tc>
          <w:tcPr>
            <w:tcW w:w="22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 985-8300</w:t>
            </w:r>
          </w:p>
        </w:tc>
      </w:tr>
      <w:tr>
        <w:trPr>
          <w:trHeight w:val="234"/>
        </w:trPr>
        <w:tc>
          <w:tcPr>
            <w:tcW w:w="380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mangelo@yorkvilleadvisors.com</w:t>
            </w:r>
          </w:p>
        </w:tc>
      </w:tr>
      <w:tr>
        <w:trPr>
          <w:trHeight w:val="6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or</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David Gonzalez, Esq.</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delivery of process) to:</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1012 Springfield Avenue</w:t>
            </w:r>
          </w:p>
        </w:tc>
      </w:tr>
      <w:tr>
        <w:trPr>
          <w:trHeight w:val="216"/>
        </w:trPr>
        <w:tc>
          <w:tcPr>
            <w:tcW w:w="3800" w:type="dxa"/>
            <w:vAlign w:val="bottom"/>
          </w:tcPr>
          <w:p>
            <w:pPr>
              <w:spacing w:after="0"/>
              <w:rPr>
                <w:sz w:val="18"/>
                <w:szCs w:val="18"/>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Mountainside, NJ 07092</w:t>
            </w:r>
          </w:p>
        </w:tc>
      </w:tr>
      <w:tr>
        <w:trPr>
          <w:trHeight w:val="216"/>
        </w:trPr>
        <w:tc>
          <w:tcPr>
            <w:tcW w:w="380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Telephone:</w:t>
            </w:r>
          </w:p>
        </w:tc>
        <w:tc>
          <w:tcPr>
            <w:tcW w:w="22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(201) 985-8300</w:t>
            </w:r>
          </w:p>
        </w:tc>
      </w:tr>
      <w:tr>
        <w:trPr>
          <w:trHeight w:val="234"/>
        </w:trPr>
        <w:tc>
          <w:tcPr>
            <w:tcW w:w="380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Email:</w:t>
            </w:r>
          </w:p>
        </w:tc>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legal@yorkvilleadvisors.com</w:t>
            </w:r>
          </w:p>
        </w:tc>
      </w:tr>
    </w:tbl>
    <w:p>
      <w:pPr>
        <w:spacing w:after="0" w:line="1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Miscellaneous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including by e-mail attachment, shall be deemed to have been duly and validly delivered and be valid and effective for all purposes of this Agreement.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Reporting Entity for the Common Shares</w:t>
      </w:r>
      <w:r>
        <w:rPr>
          <w:rFonts w:ascii="Times New Roman" w:cs="Times New Roman" w:eastAsia="Times New Roman" w:hAnsi="Times New Roman"/>
          <w:sz w:val="18"/>
          <w:szCs w:val="18"/>
          <w:color w:val="auto"/>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Commitment and Structuring Fee</w:t>
      </w:r>
      <w:r>
        <w:rPr>
          <w:rFonts w:ascii="Times New Roman" w:cs="Times New Roman" w:eastAsia="Times New Roman" w:hAnsi="Times New Roman"/>
          <w:sz w:val="18"/>
          <w:szCs w:val="18"/>
          <w:color w:val="auto"/>
        </w:rPr>
        <w:t>. Each of the Parties shall pay its own fees and expenses (including the fees of any attorneys, accountants, appraisers or others engaged by such party) in connection with this Agreement and the transactions contemplated hereby, except that the Company has paid to YA Global II SPV, LLC, a subsidiary of the Investor, a structuring fee in the amount of $25,000, and, within 10 Trading days of the closing of the Business Combination, the Company shall pay to the Investor a commitment fee in an amount equal to $375,000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at the Company’s election in (i) cash or (ii) by the issuance to the Investor such number of Common Shares that are equal to the Commitment Fee divided by the lower of (1) average of the daily VWAPs of the Common Shares during the 7 Trading Days immediately following the Business Combination or (2) $10.00 per share (collectively, the “</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Fully Earned</w:t>
      </w:r>
      <w:r>
        <w:rPr>
          <w:rFonts w:ascii="Times New Roman" w:cs="Times New Roman" w:eastAsia="Times New Roman" w:hAnsi="Times New Roman"/>
          <w:sz w:val="18"/>
          <w:szCs w:val="18"/>
          <w:color w:val="auto"/>
        </w:rPr>
        <w:t>. Any Commitment Shares issued pursuant to Section 12.04 shall be fully earned as of the date hereof.</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Standby Equity Purchase Agreement to be executed by the undersigned, thereunto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as of the date first set forth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Yorkville Advisors Global II,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David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Gonzalez</w:t>
      </w:r>
    </w:p>
    <w:p>
      <w:pPr>
        <w:spacing w:after="0" w:line="9"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ADVANCE NOTICE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LEARN SPAC HOLDCO, INC.</w:t>
      </w:r>
    </w:p>
    <w:p>
      <w:pPr>
        <w:sectPr>
          <w:pgSz w:w="11900" w:h="16838" w:orient="portrait"/>
          <w:cols w:equalWidth="0" w:num="1">
            <w:col w:w="11240"/>
          </w:cols>
          <w:pgMar w:left="320" w:top="333" w:right="339" w:bottom="1440" w:gutter="0" w:footer="0" w:header="0"/>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Dated: </w:t>
      </w:r>
      <w:r>
        <w:rPr>
          <w:rFonts w:ascii="Times New Roman" w:cs="Times New Roman" w:eastAsia="Times New Roman" w:hAnsi="Times New Roman"/>
          <w:sz w:val="17"/>
          <w:szCs w:val="17"/>
          <w:color w:val="auto"/>
        </w:rPr>
        <w:t>______________</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Advance Notice Number: </w:t>
      </w:r>
      <w:r>
        <w:rPr>
          <w:rFonts w:ascii="Times New Roman" w:cs="Times New Roman" w:eastAsia="Times New Roman" w:hAnsi="Times New Roman"/>
          <w:sz w:val="18"/>
          <w:szCs w:val="18"/>
          <w:color w:val="auto"/>
        </w:rPr>
        <w:t>____</w:t>
      </w:r>
    </w:p>
    <w:p>
      <w:pPr>
        <w:spacing w:after="0" w:line="200" w:lineRule="exact"/>
        <w:rPr>
          <w:sz w:val="20"/>
          <w:szCs w:val="20"/>
          <w:color w:val="auto"/>
        </w:rPr>
      </w:pPr>
    </w:p>
    <w:p>
      <w:pPr>
        <w:sectPr>
          <w:pgSz w:w="11900" w:h="16838" w:orient="portrait"/>
          <w:cols w:equalWidth="0" w:num="2">
            <w:col w:w="4900" w:space="720"/>
            <w:col w:w="5620"/>
          </w:cols>
          <w:pgMar w:left="320" w:top="333"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_______________________, hereby certifies, with respect to the sale of Common Shares of Learn SPAC Holdco, Inc. (the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issuable in connection with this Advance Notice, delivered pursuant to that certain Standby Equity Purchase Agreement, dated as of [____________]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 (with capitalized terms used herein without definition having the same meanings as given to them in the Agreement):</w:t>
      </w:r>
    </w:p>
    <w:p>
      <w:pPr>
        <w:spacing w:after="0" w:line="186" w:lineRule="exact"/>
        <w:rPr>
          <w:sz w:val="20"/>
          <w:szCs w:val="20"/>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______________ of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fundamental changes to the information set forth in the Registration Statement which would require the Company to file a post-effective amendment to the Registration Statement.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Advance Shares the Company is requesting is _____________________.</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Cap is ____.</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is ____.</w:t>
      </w:r>
    </w:p>
    <w:p>
      <w:pPr>
        <w:spacing w:after="0" w:line="225" w:lineRule="exact"/>
        <w:rPr>
          <w:sz w:val="20"/>
          <w:szCs w:val="20"/>
          <w:color w:val="auto"/>
        </w:rPr>
      </w:pPr>
    </w:p>
    <w:p>
      <w:pPr>
        <w:ind w:left="1240" w:hanging="584"/>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Period for this Advance shall be an [Option 1 Pricing Period]/[Option 2 Pricing Period.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Option 1 Pricing Period Add:) The Volume Threshold for this Advance shall be _________]. (For an Option 2 Pricing Period Add:) The Minimum Acceptable Price with respect to this Advance Notice is____________ (if left blank then no Minimum Acceptable Price will be applicable to this Advance).</w:t>
      </w:r>
    </w:p>
    <w:p>
      <w:pPr>
        <w:spacing w:after="0" w:line="17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of the Company outstanding as of the date hereof is 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has executed this Advance Notice as of the date first set forth above.</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03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deliver this Advance Notice by email to: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Trading@yorkvilleadvisors.com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Trading Department and Compliance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Confirmation Telephone Number: (201) 985-8300.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5" w:name="page56"/>
    <w:bookmarkEnd w:id="55"/>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SETTLEMENT DOCUMENT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1203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120390"/>
                    </a:xfrm>
                    <a:prstGeom prst="rect">
                      <a:avLst/>
                    </a:prstGeom>
                    <a:noFill/>
                  </pic:spPr>
                </pic:pic>
              </a:graphicData>
            </a:graphic>
          </wp:anchor>
        </w:drawing>
      </w:r>
    </w:p>
    <w:p>
      <w:pPr>
        <w:spacing w:after="0" w:line="3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Below please find the settlement information with respect to the Advance Notice Date of:</w:t>
      </w:r>
    </w:p>
    <w:p>
      <w:pPr>
        <w:spacing w:after="0" w:line="239" w:lineRule="exact"/>
        <w:rPr>
          <w:sz w:val="20"/>
          <w:szCs w:val="20"/>
          <w:color w:val="auto"/>
        </w:rPr>
      </w:pPr>
    </w:p>
    <w:p>
      <w:pPr>
        <w:ind w:left="1260" w:hanging="746"/>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Common Shares requested in the Advance Notice</w:t>
      </w:r>
    </w:p>
    <w:p>
      <w:pPr>
        <w:spacing w:after="0" w:line="239"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1.b.</w:t>
      </w:r>
      <w:r>
        <w:rPr>
          <w:sz w:val="20"/>
          <w:szCs w:val="20"/>
          <w:color w:val="auto"/>
        </w:rPr>
        <w:tab/>
      </w:r>
      <w:r>
        <w:rPr>
          <w:rFonts w:ascii="Times New Roman" w:cs="Times New Roman" w:eastAsia="Times New Roman" w:hAnsi="Times New Roman"/>
          <w:sz w:val="17"/>
          <w:szCs w:val="17"/>
          <w:color w:val="auto"/>
        </w:rPr>
        <w:t>Volume Threshold (Number of Common Shares in (1) divided by 0.35</w:t>
      </w:r>
    </w:p>
    <w:p>
      <w:pPr>
        <w:spacing w:after="0" w:line="239"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color w:val="auto"/>
        </w:rPr>
        <w:t>1.c.</w:t>
      </w:r>
      <w:r>
        <w:rPr>
          <w:sz w:val="20"/>
          <w:szCs w:val="20"/>
          <w:color w:val="auto"/>
        </w:rPr>
        <w:tab/>
      </w:r>
      <w:r>
        <w:rPr>
          <w:rFonts w:ascii="Times New Roman" w:cs="Times New Roman" w:eastAsia="Times New Roman" w:hAnsi="Times New Roman"/>
          <w:sz w:val="17"/>
          <w:szCs w:val="17"/>
          <w:color w:val="auto"/>
        </w:rPr>
        <w:t>Number of Common Shares traded during Pricing Period</w:t>
      </w:r>
    </w:p>
    <w:p>
      <w:pPr>
        <w:spacing w:after="0" w:line="239" w:lineRule="exact"/>
        <w:rPr>
          <w:sz w:val="20"/>
          <w:szCs w:val="20"/>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Acceptable Price for this Advance (if any)</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Excluded Days (if any)</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Advance Amount (if applicable) (including pursuant to Volume Threshold adjustment))</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[1] / [2] Market Price</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(Market Price x 95/97%) per share</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Advance Shares due to the Investor</w:t>
      </w:r>
    </w:p>
    <w:p>
      <w:pPr>
        <w:spacing w:after="0" w:line="238" w:lineRule="exact"/>
        <w:rPr>
          <w:rFonts w:ascii="Times New Roman" w:cs="Times New Roman" w:eastAsia="Times New Roman" w:hAnsi="Times New Roman"/>
          <w:sz w:val="18"/>
          <w:szCs w:val="18"/>
          <w:color w:val="auto"/>
        </w:rPr>
      </w:pPr>
    </w:p>
    <w:p>
      <w:pPr>
        <w:ind w:left="1260" w:hanging="746"/>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Purchase Price due to Company (row 6 x row 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If there were any Excluded Days then add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14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331" w:lineRule="exact"/>
        <w:rPr>
          <w:sz w:val="20"/>
          <w:szCs w:val="20"/>
          <w:color w:val="auto"/>
        </w:rPr>
      </w:pPr>
    </w:p>
    <w:p>
      <w:pPr>
        <w:ind w:left="1260" w:hanging="697"/>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Additional Shares to be issued to the Investor</w:t>
      </w:r>
    </w:p>
    <w:p>
      <w:pPr>
        <w:spacing w:after="0" w:line="239" w:lineRule="exact"/>
        <w:rPr>
          <w:sz w:val="20"/>
          <w:szCs w:val="20"/>
          <w:color w:val="auto"/>
        </w:rPr>
      </w:pPr>
    </w:p>
    <w:p>
      <w:pPr>
        <w:ind w:left="1260" w:right="1519" w:hanging="742"/>
        <w:spacing w:after="0" w:line="184" w:lineRule="auto"/>
        <w:tabs>
          <w:tab w:leader="none" w:pos="1260" w:val="left"/>
        </w:tabs>
        <w:numPr>
          <w:ilvl w:val="0"/>
          <w:numId w:val="4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Additional amount to be paid to the Company by the Investor (Additional Shares in row 9 x Minimum Acceptable Price x 97%)</w:t>
      </w:r>
    </w:p>
    <w:p>
      <w:pPr>
        <w:spacing w:after="0" w:line="211" w:lineRule="exact"/>
        <w:rPr>
          <w:rFonts w:ascii="Times New Roman" w:cs="Times New Roman" w:eastAsia="Times New Roman" w:hAnsi="Times New Roman"/>
          <w:sz w:val="34"/>
          <w:szCs w:val="34"/>
          <w:color w:val="auto"/>
          <w:vertAlign w:val="subscript"/>
        </w:rPr>
      </w:pPr>
    </w:p>
    <w:p>
      <w:pPr>
        <w:ind w:left="1260" w:hanging="739"/>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to be paid to the Company (Purchase Price in row 8 + additional amount in row 10)</w:t>
      </w:r>
    </w:p>
    <w:p>
      <w:pPr>
        <w:spacing w:after="0" w:line="238" w:lineRule="exact"/>
        <w:rPr>
          <w:rFonts w:ascii="Times New Roman" w:cs="Times New Roman" w:eastAsia="Times New Roman" w:hAnsi="Times New Roman"/>
          <w:sz w:val="18"/>
          <w:szCs w:val="18"/>
          <w:color w:val="auto"/>
        </w:rPr>
      </w:pPr>
    </w:p>
    <w:p>
      <w:pPr>
        <w:ind w:left="1260" w:right="1879" w:hanging="742"/>
        <w:spacing w:after="0" w:line="184" w:lineRule="auto"/>
        <w:tabs>
          <w:tab w:leader="none" w:pos="1260" w:val="left"/>
        </w:tabs>
        <w:numPr>
          <w:ilvl w:val="0"/>
          <w:numId w:val="4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Total Advance Shares to be issued to the Investor (Advance Shares due to the Investor in row 7 + Additional Shares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772160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Please issue the number of Advance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AND/OR EMAIL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approved by LEARN SPAC HOLDCO,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LEGAL OPINION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PREFERRED STOCK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60" w:type="dxa"/>
            <w:vAlign w:val="bottom"/>
            <w:gridSpan w:val="3"/>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836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w:t>
            </w:r>
          </w:p>
        </w:tc>
        <w:tc>
          <w:tcPr>
            <w:tcW w:w="1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836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DEFINITIONS</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General Interpretive Principles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II</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SALE AND PURCHASE OF SERIES C PREFERRED STOCK</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Sale and Purchase of the Series C Preferred Stock</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III</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Each Purchaser</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ARTICLE IV</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REGISTRATION RIGHTS.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Registration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4.02.  Obligations of the Company</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 Information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4.04.  Expenses of Registration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ADDITIONAL AGREEMENTS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Taking of Necessary Action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Actions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4501 Tax</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0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88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88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  Survival of Representations and Warranties and Registration Rights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  Entire Agreement; Third Party Beneficiaries; Amendment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Successors and Assigns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  Governing Law; Jurisdiction; Waiver of Jury Trial</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  Section 4501 Tax</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1192"/>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1192"/>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Conversion Limitations.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 PURCHASERS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4"/>
                <w:szCs w:val="24"/>
                <w:color w:val="auto"/>
              </w:rPr>
            </w:pPr>
          </w:p>
        </w:tc>
        <w:tc>
          <w:tcPr>
            <w:tcW w:w="7880" w:type="dxa"/>
            <w:vAlign w:val="bottom"/>
          </w:tcPr>
          <w:p>
            <w:pPr>
              <w:jc w:val="center"/>
              <w:ind w:left="1192"/>
              <w:spacing w:after="0"/>
              <w:rPr>
                <w:sz w:val="20"/>
                <w:szCs w:val="20"/>
                <w:color w:val="auto"/>
              </w:rPr>
            </w:pPr>
            <w:r>
              <w:rPr>
                <w:rFonts w:ascii="Times New Roman" w:cs="Times New Roman" w:eastAsia="Times New Roman" w:hAnsi="Times New Roman"/>
                <w:sz w:val="14"/>
                <w:szCs w:val="14"/>
                <w:color w:val="auto"/>
              </w:rPr>
              <w:t>2</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78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u w:val="single" w:color="auto"/>
          <w:color w:val="auto"/>
        </w:rPr>
        <w:t>PREFERRED STOCK PURCHASE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PREFERRED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among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5,000,000 shares of the Company’s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at a purchase price of $10.00 per share (the “</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xml:space="preserve">”), having the terms and conditions specified in the form of Certificate of Designation of Series C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the Listing Exchange under the name and ticker “INV”.</w:t>
      </w: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the Nasdaq Stock Market (Nasdaq).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 AND PURCHASE OF SERIES C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C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C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8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C Preferred Stock pursuant to this Agreement will take place simultaneously with the execution of this Agreement on the Effective Date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64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C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C Preferred Stock to each applicable Purchaser on the transfer agent’s books and records, against payment in full by or on behalf of such Purchaser of the applicable Purchase Price, (B) deliver to each Purchaser this Agreement and the Certificate, each of which shall be duly authorized and executed by the Company and</w:t>
      </w:r>
    </w:p>
    <w:p>
      <w:pPr>
        <w:spacing w:after="0" w:line="2"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deliver to each Purchaser a certificate of the Secretary or an Assistant Secretary of the Company, dated as of the Effective Date, certifying (1) that the Company is in good standing in the state of Delaware, (2) that the Company’s Amended and Restated Certificate of Incorporation, By-Laws and Certificate of Designation of Series B Preferred Stock, in each case as filed with the SEC as attachments to the Company’s Form 10-Q filed on November 14, 2024, and the Certificate are in full force and effect and have not been amended, supplemented, revoked or repealed and (3) that, in accordance with the organizational documents of the Company, the Company has obtained all proper corporate authorization necessary to the execution, delivery and consummation of this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left="1300" w:firstLine="652"/>
        <w:spacing w:after="0" w:line="266" w:lineRule="auto"/>
        <w:tabs>
          <w:tab w:leader="none" w:pos="26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the Company represents and warrants to each Purchaser as follows:</w:t>
      </w:r>
    </w:p>
    <w:p>
      <w:pPr>
        <w:spacing w:after="0" w:line="162" w:lineRule="exact"/>
        <w:rPr>
          <w:sz w:val="20"/>
          <w:szCs w:val="20"/>
          <w:color w:val="auto"/>
        </w:rPr>
      </w:pPr>
    </w:p>
    <w:p>
      <w:pPr>
        <w:jc w:val="both"/>
        <w:ind w:firstLine="656"/>
        <w:spacing w:after="0" w:line="261" w:lineRule="auto"/>
        <w:tabs>
          <w:tab w:leader="none" w:pos="127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(i) 250,000,000 shares of Common Stock of which 47,101,300 shares were issued and outstanding as of March 10, 2025, and (ii)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 3,000,000 shares of which are designated as “Series B Preferred Stock” and 1,097,000 shares of which are issued and outstanding as of March 10, 2025 and (B) 5,000,000 shares of are designated as “Series C Preferred Stock” and none of which are issued and outstanding. Other than as disclosed here and in the Company Reports, there are no material (1) outstanding warrants, options, agreements, convertible securities, performance units or other commitments or instruments pursuant to which the Company is or may become obligated to issue or sell any securities, including Common Stock, (2) outstanding obligations of the Company to repurchase, redeem or otherwise acquire outstanding Common Stock or any securities convertible into or exchangeable for the foregoing, (3) bonds, debentures, notes or other indebtedness of the Company having the right to vote (or convertible into, or exchangeable for, securities having the right to vote) on any matters on which the holders of Common Stock may vote, are issued or outstanding, (4) preemptive or similar rights to purchase or otherwise acquire the Common Stock, or</w:t>
      </w:r>
    </w:p>
    <w:p>
      <w:pPr>
        <w:spacing w:after="0" w:line="5" w:lineRule="exact"/>
        <w:rPr>
          <w:rFonts w:ascii="Times New Roman" w:cs="Times New Roman" w:eastAsia="Times New Roman" w:hAnsi="Times New Roman"/>
          <w:sz w:val="18"/>
          <w:szCs w:val="18"/>
          <w:color w:val="auto"/>
        </w:rPr>
      </w:pPr>
    </w:p>
    <w:p>
      <w:pPr>
        <w:ind w:right="20" w:firstLine="8"/>
        <w:spacing w:after="0" w:line="260" w:lineRule="auto"/>
        <w:tabs>
          <w:tab w:leader="none" w:pos="2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first refusal, right of first offer, proxy, voting trust, voting agreement or similar arrangement with respect to the sale or voting of the Common Stock.</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firstLine="656"/>
        <w:spacing w:after="0" w:line="253" w:lineRule="auto"/>
        <w:tabs>
          <w:tab w:leader="none" w:pos="14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C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and the Board of Directors has (i) duly reserved the requisite number of shares of Series C Preferred Stock to be issued in accordance with the terms and conditions of the Certificate and (ii) duly authorized and confirmed the final form of the Certificate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C Preferred Stock in a manner that would require the registration under the Securities Act of the Series C Preferred Stock or (ii) engaged in any form of general solicitation or general advertising (as those terms are used in Regulation D of the Securities Act or within the meaning of Rule 502(c) of the Securities Act) in connection with the offering of the Series C Preferred Stock or in any manner involving a public offering within the meaning of Section 4(a)(2) of the Securities Act.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2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C Preferred Stock will be validly issued, fully paid and nonassessable and free of pre-emptive or similar rights. The Common Stock issuable upon conversion of the Series C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C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656"/>
        <w:spacing w:after="0" w:line="252" w:lineRule="auto"/>
        <w:tabs>
          <w:tab w:leader="none" w:pos="1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xml:space="preserve">. The execution, delivery and performance of this Agreement and the Certificate in accordance with their terms,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77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described in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656"/>
        <w:spacing w:after="0" w:line="261" w:lineRule="auto"/>
        <w:tabs>
          <w:tab w:leader="none" w:pos="13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in the ordinary course of business (except as described in Company Reports)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individually or in the aggregate, would reasonably be expected to have a Material Adverse Effect. Neither the Company nor any of its Subsidiaries is subject to any order, judgment or decree of a Governmental Entity that, individually or in the aggregate, has had or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656"/>
        <w:spacing w:after="0" w:line="261" w:lineRule="auto"/>
        <w:tabs>
          <w:tab w:leader="none" w:pos="12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As of the date hereof, the Common Stock is registered pursuant to Section 12(b) of the Exchange Act and listed on the Listing Exchange, and the Company has taken no action designed to, or which, to the knowledge of the Company, is reasonably likely to have the effect of, terminating the registration of the Common Stock under the Exchange Act or the Listing Exchange, nor has the Company received as of the date of this Agreement any notification that the SEC or the Listing Exchange is contemplating terminating such registration or listing.</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each Purchaser severally (and not jointly) represents and warrants to the Company as follows:</w:t>
      </w:r>
    </w:p>
    <w:p>
      <w:pPr>
        <w:spacing w:after="0" w:line="162" w:lineRule="exact"/>
        <w:rPr>
          <w:sz w:val="20"/>
          <w:szCs w:val="20"/>
          <w:color w:val="auto"/>
        </w:rPr>
      </w:pPr>
    </w:p>
    <w:p>
      <w:pPr>
        <w:jc w:val="both"/>
        <w:ind w:firstLine="1304"/>
        <w:spacing w:after="0" w:line="255" w:lineRule="auto"/>
        <w:tabs>
          <w:tab w:leader="none" w:pos="18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Such Purchaser has been duly organized and is validly existing and in good standing (or its equivalent) under the laws of its jurisdiction of organization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C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C Preferred Stock. The Purchaser has not been formed for the specific purpose of acquiring the Series C Preferred Stock.</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C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1304"/>
        <w:spacing w:after="0" w:line="254" w:lineRule="auto"/>
        <w:tabs>
          <w:tab w:leader="none" w:pos="18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xml:space="preserve">. The Purchaser understands that the Series C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C Preferred Stock are “restricted securities” under applicable U.S. federal and state securities laws and that, pursuant to these laws, the Purchaser must hold the shares of Series C Preferred Stock indefinitely (or until converted in accordance with the terms of the Certificate) unless they are registered with the SEC and qualified by state authorities. The Purchaser acknowledges that the Company has no obligation to register or qualify the Series C Preferred Stock for resale, subject to the requirements of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9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C Preferred Stock, and that the Company has made no assurances that a public market will ever exist for the Series C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C Preferred Stock may be notated with a legend substantially similar to the following or otherwise required by the securities laws of any state, to the extent such laws are applicable to the shares of Series C Preferred Stock represented by the certificate, instrument, or book entry so legended:</w:t>
      </w:r>
    </w:p>
    <w:p>
      <w:pPr>
        <w:spacing w:after="0" w:line="176"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18"/>
          <w:szCs w:val="18"/>
          <w:color w:val="auto"/>
        </w:rPr>
        <w:t>“THE SHARES OF SERIES C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7" w:lineRule="exact"/>
        <w:rPr>
          <w:sz w:val="20"/>
          <w:szCs w:val="20"/>
          <w:color w:val="auto"/>
        </w:rPr>
      </w:pPr>
    </w:p>
    <w:p>
      <w:pPr>
        <w:jc w:val="both"/>
        <w:ind w:firstLine="1304"/>
        <w:spacing w:after="0" w:line="266" w:lineRule="auto"/>
        <w:tabs>
          <w:tab w:leader="none" w:pos="19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 and has delivered to the Company a completed copy of the accredited investor questionnaire provided by the Company to the Purchaser in connection with such Purchaser’s execution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C Preferred Stock or any use of this Agreement, including (i) the legal requirements within its jurisdiction for the purchase of the Series C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C Preferred Stock. The Purchaser’s subscription and payment for and continued beneficial ownership of the Series C Preferred Stock will not violate any applicable securities or other laws of the Purchaser’s jurisdiction.</w:t>
      </w:r>
    </w:p>
    <w:p>
      <w:pPr>
        <w:spacing w:after="0" w:line="188"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stockholders or partners, is a Sanctioned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1304"/>
        <w:spacing w:after="0" w:line="261" w:lineRule="auto"/>
        <w:tabs>
          <w:tab w:leader="none" w:pos="18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C Preferred Stock.</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Effective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of Series C Preferred Stock then outstanding, including the shares of Series C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19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firstLine="1304"/>
        <w:spacing w:after="0" w:line="282" w:lineRule="auto"/>
        <w:tabs>
          <w:tab w:leader="none" w:pos="18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Converted Shares covered by the Registration Statement under such other securities or blue-sky laws of such jurisdictions as shall be reasonably requested by the selling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including all registration, filing, listing,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liability of such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firstLine="1304"/>
        <w:spacing w:after="0" w:line="253" w:lineRule="auto"/>
        <w:tabs>
          <w:tab w:leader="none" w:pos="18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not permitted by applicable law, in such proportion as is appropriate to reflect the relative benefits received by the Company, on the one hand, and such prospective sellers, on the other hand, from their sale of Converted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C Preferred Stock subject to the terms and conditions hereof and compliance with applicable law. In case at any time before or after the Effective Date any further action is necessary or desirable to carry out the purposes of the sale and purchase of the Series C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Corporate 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C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C Preferred Stock pursuant to the terms of the Certificate.</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C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survival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both"/>
        <w:ind w:firstLine="1304"/>
        <w:spacing w:after="0" w:line="266" w:lineRule="auto"/>
        <w:tabs>
          <w:tab w:leader="none" w:pos="17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C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8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Conversion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8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including in the Certificate, the Company shall not issue to the Purchaser any shares of Common Stock to the extent such shares after giving effect to a conversion would: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1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8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Effective Date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1304"/>
        <w:spacing w:after="0" w:line="258" w:lineRule="auto"/>
        <w:tabs>
          <w:tab w:leader="none" w:pos="18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C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C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47" w:lineRule="exact"/>
        <w:rPr>
          <w:sz w:val="20"/>
          <w:szCs w:val="20"/>
          <w:color w:val="auto"/>
        </w:rPr>
      </w:pPr>
    </w:p>
    <w:tbl>
      <w:tblPr>
        <w:tblLayout w:type="fixed"/>
        <w:tblInd w:w="5640" w:type="dxa"/>
        <w:tblCellMar>
          <w:top w:w="0" w:type="dxa"/>
          <w:left w:w="0" w:type="dxa"/>
          <w:bottom w:w="0" w:type="dxa"/>
          <w:right w:w="0" w:type="dxa"/>
        </w:tblCellMar>
      </w:tblPr>
      <w:tr>
        <w:trPr>
          <w:trHeight w:val="21"/>
        </w:trPr>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198"/>
        </w:trPr>
        <w:tc>
          <w:tcPr>
            <w:tcW w:w="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Gregory W. Haskell</w:t>
            </w:r>
          </w:p>
        </w:tc>
      </w:tr>
      <w:tr>
        <w:trPr>
          <w:trHeight w:val="234"/>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6900 Tavistock Lakes Boulevard, Suite 400</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Orlando, FL 32827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Preferred Stock Purchase Agreement (Series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44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[INSERT PURCHASER NAME]</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626110</wp:posOffset>
            </wp:positionV>
            <wp:extent cx="29743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325755</wp:posOffset>
            </wp:positionV>
            <wp:extent cx="29743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Preferred Stock Purchase Agreement (Series 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361315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PREFERRED STOCK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8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824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w:t>
            </w:r>
          </w:p>
        </w:tc>
        <w:tc>
          <w:tcPr>
            <w:tcW w:w="1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824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DEFINITIONS</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General Interpretive Principles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ARTICLE II</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SALE AND PURCHASE OF SERIES C PREFERRED STOCK</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Sale and Purchase of the Series C Preferred Stock</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III</w:t>
            </w: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REPRESENTATIONS AND WARRANTIES</w:t>
            </w: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Each Purchaser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ARTICLE IV</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REGISTRATION RIGHTS.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Registration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4.02.  Obligations of the Company</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Furnish Information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4.04.  Expenses of Registration</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ARTICLE V</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ADDITIONAL AGREEMENTS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Taking of Necessary Action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Actions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Treatment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4501 Tax</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04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74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8"/>
              </w:rPr>
              <w:t>ARTICLE VI</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74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9"/>
              </w:rPr>
              <w:t>MISCELLANEOUS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  Survival of Representations and Warranties and Registration Rights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  Entire Agreement; Third Party Beneficiaries; Amendment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Successors and Assigns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  Governing Law; Jurisdiction; Waiver of Jury Trial</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Non-Recourse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  Section 4501 Tax</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740" w:type="dxa"/>
            <w:vAlign w:val="bottom"/>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8"/>
              </w:rPr>
              <w:t>ARTICLE VII</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740" w:type="dxa"/>
            <w:vAlign w:val="bottom"/>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Conversion Limitations.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 – PURCHASERS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4"/>
                <w:szCs w:val="24"/>
                <w:color w:val="auto"/>
              </w:rPr>
            </w:pPr>
          </w:p>
        </w:tc>
        <w:tc>
          <w:tcPr>
            <w:tcW w:w="7740" w:type="dxa"/>
            <w:vAlign w:val="bottom"/>
          </w:tcPr>
          <w:p>
            <w:pPr>
              <w:ind w:left="4540"/>
              <w:spacing w:after="0"/>
              <w:rPr>
                <w:sz w:val="20"/>
                <w:szCs w:val="20"/>
                <w:color w:val="auto"/>
              </w:rPr>
            </w:pPr>
            <w:r>
              <w:rPr>
                <w:rFonts w:ascii="Times New Roman" w:cs="Times New Roman" w:eastAsia="Times New Roman" w:hAnsi="Times New Roman"/>
                <w:sz w:val="14"/>
                <w:szCs w:val="14"/>
                <w:color w:val="auto"/>
              </w:rPr>
              <w:t>2</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u w:val="single" w:color="auto"/>
          <w:color w:val="auto"/>
        </w:rPr>
        <w:t>PREFERRED STOCK PURCHASE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PREFERRED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among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5,000,000 shares of the Company’s Series C Preferred Stock (the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at a purchase price of $10.00 per share (the “</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xml:space="preserve">”), having the terms and conditions specified in the form of Certificate of Designation of Series C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the Listing Exchange under the name and ticker “INV”.</w:t>
      </w: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the Nasdaq Stock Market (Nasdaq).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hereof.</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 Purchase Price</w:t>
      </w:r>
      <w:r>
        <w:rPr>
          <w:rFonts w:ascii="Times New Roman" w:cs="Times New Roman" w:eastAsia="Times New Roman" w:hAnsi="Times New Roman"/>
          <w:sz w:val="18"/>
          <w:szCs w:val="18"/>
          <w:color w:val="auto"/>
        </w:rPr>
        <w:t>” shall have the meaning set forth in the recitals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3.02(m)(iii)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SALE AND PURCHASE OF SERIES C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C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C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8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C Preferred Stock pursuant to this Agreement will take place simultaneously with the execution of this Agreement on the Effective Date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1780" w:hanging="476"/>
        <w:spacing w:after="0"/>
        <w:tabs>
          <w:tab w:leader="none" w:pos="1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64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C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C Preferred Stock to each applicable Purchaser on the transfer agent’s books and records, against payment in full by or on behalf of such Purchaser of the applicable Purchase Price, (B) deliver to each Purchaser this Agreement and the Certificate, each of which shall be duly authorized and executed by the Company and</w:t>
      </w:r>
    </w:p>
    <w:p>
      <w:pPr>
        <w:spacing w:after="0" w:line="2"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deliver to each Purchaser a certificate of the Secretary or an Assistant Secretary of the Company, dated as of the Effective Date, certifying (1) that the Company is in good standing in the state of Delaware, (2) that the Company’s Amended and Restated Certificate of Incorporation, By-Laws and Certificate of Designation of Series B Preferred Stock, in each case as filed with the SEC as attachments to the Company’s Form 10-Q filed on November 14, 2024, and the Certificate are in full force and effect and have not been amended, supplemented, revoked or repealed and (3) that, in accordance with the organizational documents of the Company, the Company has obtained all proper corporate authorization necessary to the execution, delivery and consummation of this Agreement.</w:t>
      </w:r>
    </w:p>
    <w:p>
      <w:pPr>
        <w:spacing w:after="0" w:line="18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6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the Company represents and warrants to each Purchaser as follows:</w:t>
      </w:r>
    </w:p>
    <w:p>
      <w:pPr>
        <w:spacing w:after="0" w:line="162" w:lineRule="exact"/>
        <w:rPr>
          <w:sz w:val="20"/>
          <w:szCs w:val="20"/>
          <w:color w:val="auto"/>
        </w:rPr>
      </w:pPr>
    </w:p>
    <w:p>
      <w:pPr>
        <w:jc w:val="both"/>
        <w:ind w:firstLine="656"/>
        <w:spacing w:after="0" w:line="261" w:lineRule="auto"/>
        <w:tabs>
          <w:tab w:leader="none" w:pos="127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(i) 250,000,000 shares of Common Stock of which 47,101,300 shares were issued and outstanding as of March 10, 2025, and (ii)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 3,000,000 shares of which are designated as “Series B Preferred Stock” and 1,097,000 shares of which are issued and outstanding as of March 10, 2025 and (B) 5,000,000 shares of are designated as “Series C Preferred Stock” and none of which are issued and outstanding. Other than as disclosed here and in the Company Reports, there are no material</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9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options, agreements, convertible securities, performance units or other commitments or instruments pursuant to which the Company is or may become obligated to issue or sell any securities, including Common Stock, (2) outstanding obligations of the Company to repurchase, redeem or otherwise acquire outstanding Common Stock or any securities convertible into or exchangeable for the foregoing, (3) bonds, debentures, notes or other indebtedness of the Company having the right to vote (or convertible into, or exchangeable for, securities having the right to vote) on any matters on which the holders of Common Stock may vote, are issued or outstanding, (4) preemptive or similar rights to purchase or otherwise acquire the Common Stock, or (5) any right of first refusal, right of first offer, proxy, voting trust, voting agreement or similar arrangement with respect to the sale or voting of the Common Stock.</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both"/>
        <w:ind w:firstLine="656"/>
        <w:spacing w:after="0" w:line="253" w:lineRule="auto"/>
        <w:tabs>
          <w:tab w:leader="none" w:pos="14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C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and the Board of Directors has (i) duly reserved the requisite number of shares of Series C Preferred Stock to be issued in accordance with the terms and conditions of the Certificate and (ii) duly authorized and confirmed the final form of the Certificate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(A) 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C Preferred Stock in a manner that would require the registration under the Securities Act of the Series C Preferred Stock, (ii) engaged in any form of general solicitation or general advertising (as those terms are used in Regulation D of the Securities Act or within the meaning of Rule 502(c) of the Securities Act) in connection with the offering of the Series C Preferred Stock or in any manner involving a public offering within the meaning of Section 4(a)(2) of the Securities Act, or (iii) engaged in any form of “directed selling efforts” (as such term is defined in Regulation S of the Securities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C Preferred Stock will be validly issued, fully paid and nonassessable and free of pre-emptive or similar rights. The Common Stock issuable upon conversion of the Series C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C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656"/>
        <w:spacing w:after="0" w:line="252" w:lineRule="auto"/>
        <w:tabs>
          <w:tab w:leader="none" w:pos="12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xml:space="preserve">. The execution, delivery and performance of this Agreement and the Certificate in accordance with their terms,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304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8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ind w:left="1300" w:firstLine="652"/>
        <w:spacing w:after="0" w:line="282" w:lineRule="auto"/>
        <w:tabs>
          <w:tab w:leader="none" w:pos="277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described in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in the ordinary course of business (except as described in Company Reports)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individually or in the aggregate, would reasonably be expected to have a Material Adverse Effect. Neither the Company nor any of its Subsidiaries is subject to any order, judgment or decree of a Governmental Entity that, individually or in the aggregate, has had or would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both"/>
        <w:ind w:firstLine="656"/>
        <w:spacing w:after="0" w:line="261" w:lineRule="auto"/>
        <w:tabs>
          <w:tab w:leader="none" w:pos="126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As of the date hereof, the Common Stock is registered pursuant to Section 12(b) of the Exchange Act and listed on the Listing Exchange, and the Company has taken no action designed to, or which, to the knowledge of the Company, is reasonably likely to have the effect of, terminating the registration of the Common Stock under the Exchange Act or the Listing Exchange, nor has the Company received as of the date of this Agreement any notification that the SEC or the Listing Exchange is contemplating terminating such registration or listing.</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The Company and its agents shall refuse to register any transfer of the Series C Preferred Stock or any Converted Shares not made in accordance with the provisions of Regulation S, pursuant to registration under the Securities Act or pursuant to an available exemption from registration.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(or, if any such representations and warranties expressly relate to an earlier date, then as of such earlier date), each Purchaser severally (and not jointly) represents and warrants to the Company as follows:</w:t>
      </w:r>
    </w:p>
    <w:p>
      <w:pPr>
        <w:spacing w:after="0" w:line="162" w:lineRule="exact"/>
        <w:rPr>
          <w:sz w:val="20"/>
          <w:szCs w:val="20"/>
          <w:color w:val="auto"/>
        </w:rPr>
      </w:pPr>
    </w:p>
    <w:p>
      <w:pPr>
        <w:jc w:val="both"/>
        <w:ind w:firstLine="1304"/>
        <w:spacing w:after="0" w:line="255" w:lineRule="auto"/>
        <w:tabs>
          <w:tab w:leader="none" w:pos="18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If applicable, such Purchaser has been duly organized or incorporated and is validly existing and in good standing (or its equivalent) under the laws of its jurisdiction of organization or incorporation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C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C Preferred Stock. The Purchaser has not been formed for the specific purpose of acquiring the Series C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firstLine="1304"/>
        <w:spacing w:after="0" w:line="261" w:lineRule="auto"/>
        <w:tabs>
          <w:tab w:leader="none" w:pos="1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C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xml:space="preserve">. The Purchaser understands that the Series C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C Preferred Stock are “restricted securities” under applicable U.S. federal and state securities laws and that, pursuant to these laws, the Purchaser must hold the shares of Series C Preferred Stock indefinitely (or until converted in accordance with the terms of the Certificate) unless they are registered with the SEC and qualified by state authorities. The Purchaser acknowledges that the Company has no obligation to register or qualify the Series C Preferred Stock for resale, subject to the requirements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8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C Preferred Stock, and that the Company has made no assurances that a public market will ever exist for the Series C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C Preferred Stock may be notated with a legend substantially similar to the following or otherwise required by the securities laws of any state, to the extent such laws are applicable to the shares of Series C Preferred Stock represented by the certificate, instrument, or book entry so legended:</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SHARES OF SERIES C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sz w:val="20"/>
          <w:szCs w:val="20"/>
          <w:color w:val="auto"/>
        </w:rPr>
      </w:pPr>
    </w:p>
    <w:p>
      <w:pPr>
        <w:ind w:left="1780" w:hanging="476"/>
        <w:spacing w:after="0"/>
        <w:tabs>
          <w:tab w:leader="none" w:pos="1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C Preferred Stock or any use of this Agreement, including (i) the legal requirements within its jurisdiction for the purchase of the Series C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C Preferred Stock. The Purchaser’s subscription and payment for and continued beneficial ownership of the Series C Preferred Stock will not violate any applicable securities or other laws of the Purchaser’s jurisdiction.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left="1820" w:hanging="516"/>
        <w:spacing w:after="0"/>
        <w:tabs>
          <w:tab w:leader="none" w:pos="1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shareholders, stockholders or partners,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Sanctioned Party.</w:t>
      </w:r>
    </w:p>
    <w:p>
      <w:pPr>
        <w:spacing w:after="0" w:line="207" w:lineRule="exact"/>
        <w:rPr>
          <w:sz w:val="20"/>
          <w:szCs w:val="20"/>
          <w:color w:val="auto"/>
        </w:rPr>
      </w:pPr>
    </w:p>
    <w:p>
      <w:pPr>
        <w:jc w:val="both"/>
        <w:ind w:firstLine="1304"/>
        <w:spacing w:after="0" w:line="261" w:lineRule="auto"/>
        <w:tabs>
          <w:tab w:leader="none" w:pos="18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shareholders,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C Preferred Stock.</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7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company,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 Warranties and Covenants by Non-U.S. Persons</w:t>
      </w:r>
      <w:r>
        <w:rPr>
          <w:rFonts w:ascii="Times New Roman" w:cs="Times New Roman" w:eastAsia="Times New Roman" w:hAnsi="Times New Roman"/>
          <w:sz w:val="18"/>
          <w:szCs w:val="18"/>
          <w:color w:val="auto"/>
        </w:rPr>
        <w:t>. Each Purchaser who is a Non-U.S. person (as defined below) hereby represents and warrants to the Company as follows:</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66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made by the Company with the Purchaser, who is a Non-U.S. person, in reliance upon such Non-U.S. person’s representations, warranties and covenants made in this </w:t>
      </w:r>
      <w:r>
        <w:rPr>
          <w:rFonts w:ascii="Times New Roman" w:cs="Times New Roman" w:eastAsia="Times New Roman" w:hAnsi="Times New Roman"/>
          <w:sz w:val="18"/>
          <w:szCs w:val="18"/>
          <w:u w:val="single" w:color="auto"/>
          <w:color w:val="auto"/>
        </w:rPr>
        <w:t>Section 3.02(m)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has been advised and acknowledges that:</w:t>
      </w:r>
    </w:p>
    <w:p>
      <w:pPr>
        <w:spacing w:after="0" w:line="22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467"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C Preferred Stock has not been, and when issued, neither the Series C Preferred Stock nor the Converted Shares (as defined below) will be registered under the Securities Act, the securities laws of any state of the United States or the securities laws of any other country;</w:t>
      </w:r>
    </w:p>
    <w:p>
      <w:pPr>
        <w:spacing w:after="0" w:line="175" w:lineRule="exact"/>
        <w:rPr>
          <w:rFonts w:ascii="Times New Roman" w:cs="Times New Roman" w:eastAsia="Times New Roman" w:hAnsi="Times New Roman"/>
          <w:sz w:val="18"/>
          <w:szCs w:val="18"/>
          <w:color w:val="auto"/>
        </w:rPr>
      </w:pPr>
    </w:p>
    <w:p>
      <w:pPr>
        <w:ind w:left="1960" w:firstLine="640"/>
        <w:spacing w:after="0" w:line="282" w:lineRule="auto"/>
        <w:tabs>
          <w:tab w:leader="none" w:pos="334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issuing and selling the Series C Preferred Stock to such Non-U.S. person pursuant hereto, the Company is relying upon the “safe harbor” provided by Regulation S and/or on Section 4(a)(2) under the Securities Act;</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33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condition to the availability of the Regulation S “safe harbor” that the Series C Preferred Stock and the Converted Shares not be offered or sold in the United States or to a U.S. person until the expiration of a six-month “distribution compliance period” following the Closing;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both"/>
        <w:ind w:left="840" w:firstLine="640"/>
        <w:spacing w:after="0" w:line="255" w:lineRule="auto"/>
        <w:tabs>
          <w:tab w:leader="none" w:pos="222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prior to the expiration of the six-month “distribution compliance period” after the Closing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the Series C Preferred Stock and the Converted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w:t>
      </w:r>
    </w:p>
    <w:p>
      <w:pPr>
        <w:spacing w:after="0" w:line="188" w:lineRule="exact"/>
        <w:rPr>
          <w:rFonts w:ascii="Times New Roman" w:cs="Times New Roman" w:eastAsia="Times New Roman" w:hAnsi="Times New Roman"/>
          <w:sz w:val="18"/>
          <w:szCs w:val="18"/>
          <w:color w:val="auto"/>
        </w:rPr>
      </w:pPr>
    </w:p>
    <w:p>
      <w:pPr>
        <w:ind w:left="180" w:firstLine="652"/>
        <w:spacing w:after="0" w:line="282" w:lineRule="auto"/>
        <w:tabs>
          <w:tab w:leader="none" w:pos="15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its territories and possessions, any State of the United States, and the District of Columbia, and the term “</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(as defined in Regulation S) means:</w:t>
      </w:r>
    </w:p>
    <w:p>
      <w:pPr>
        <w:spacing w:after="0" w:line="161" w:lineRule="exact"/>
        <w:rPr>
          <w:rFonts w:ascii="Times New Roman" w:cs="Times New Roman" w:eastAsia="Times New Roman" w:hAnsi="Times New Roman"/>
          <w:sz w:val="18"/>
          <w:szCs w:val="18"/>
          <w:color w:val="auto"/>
        </w:rPr>
      </w:pPr>
    </w:p>
    <w:p>
      <w:pPr>
        <w:ind w:left="2180" w:hanging="70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 resident in the United States;</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corporation organized or incorporated under the laws of the United States;</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of which any executor or administrator is a U.S. person;</w:t>
      </w:r>
    </w:p>
    <w:p>
      <w:pPr>
        <w:spacing w:after="0" w:line="225" w:lineRule="exact"/>
        <w:rPr>
          <w:rFonts w:ascii="Times New Roman" w:cs="Times New Roman" w:eastAsia="Times New Roman" w:hAnsi="Times New Roman"/>
          <w:sz w:val="18"/>
          <w:szCs w:val="18"/>
          <w:color w:val="auto"/>
        </w:rPr>
      </w:pPr>
    </w:p>
    <w:p>
      <w:pPr>
        <w:ind w:left="2180" w:hanging="700"/>
        <w:spacing w:after="0"/>
        <w:tabs>
          <w:tab w:leader="none" w:pos="2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of which any trustee is a U.S. person;</w:t>
      </w:r>
    </w:p>
    <w:p>
      <w:pPr>
        <w:spacing w:after="0" w:line="225" w:lineRule="exact"/>
        <w:rPr>
          <w:rFonts w:ascii="Times New Roman" w:cs="Times New Roman" w:eastAsia="Times New Roman" w:hAnsi="Times New Roman"/>
          <w:sz w:val="18"/>
          <w:szCs w:val="18"/>
          <w:color w:val="auto"/>
        </w:rPr>
      </w:pPr>
    </w:p>
    <w:p>
      <w:pPr>
        <w:ind w:left="2160" w:hanging="680"/>
        <w:spacing w:after="0"/>
        <w:tabs>
          <w:tab w:leader="none" w:pos="2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or branch of a foreign entity located in the United States;</w:t>
      </w:r>
    </w:p>
    <w:p>
      <w:pPr>
        <w:spacing w:after="0" w:line="225"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237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nondiscretionary account or similar account (other than an estate or trust) held by a dealer or other fiduciary for the benefit or account of a U.S. person;</w:t>
      </w:r>
    </w:p>
    <w:p>
      <w:pPr>
        <w:spacing w:after="0" w:line="161" w:lineRule="exact"/>
        <w:rPr>
          <w:rFonts w:ascii="Times New Roman" w:cs="Times New Roman" w:eastAsia="Times New Roman" w:hAnsi="Times New Roman"/>
          <w:sz w:val="18"/>
          <w:szCs w:val="18"/>
          <w:color w:val="auto"/>
        </w:rPr>
      </w:pPr>
    </w:p>
    <w:p>
      <w:pPr>
        <w:ind w:left="840" w:firstLine="640"/>
        <w:spacing w:after="0" w:line="282" w:lineRule="auto"/>
        <w:tabs>
          <w:tab w:leader="none" w:pos="22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discretionary account or similar account (other than an estate or trust) held by a dealer or other fiduciary organized, incorporated and (if an individual) resident in the United States; and</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24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partnership organized or incorporated under the laws of any foreign jurisdiction and 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9" w:name="page100"/>
    <w:bookmarkEnd w:id="99"/>
    <w:p>
      <w:pPr>
        <w:ind w:left="180" w:firstLine="652"/>
        <w:spacing w:after="0" w:line="282" w:lineRule="auto"/>
        <w:tabs>
          <w:tab w:leader="none" w:pos="15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any person who is not a U.S. person or is deemed not to be a U.S. person under Rule 902(k)(2) of the Securities Act.</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62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agrees that with respect to the Series C Preferred Stock and any Converted Shares, until the expiration of the Restricted Period:</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21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its agents or its representatives have not and will not solicit offers to buy, offer for sale or sell any of the Series C Preferred Stock or the Converted Shares, or any beneficial interest therein, in the United States or to or for the account of a U.S. person;</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30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Series C Preferred Stock and the Converted Shares may be offered and sold by the holder thereof only if such offer and sale is made in compliance with the terms of this Agreement and either: (1) if the offer or sale is within the United States or to or for the account of a U.S. person (as such terms are defined in Regulation S), the securities are offered and sold pursuant to an effective registration statement or pursuant to Rule 144 under the Securities Act or pursuant to an exemption from the registration requirements of the Securities Act; or (2) the offer and sale is outside the United States and to other than a U.S. person; and</w:t>
      </w:r>
    </w:p>
    <w:p>
      <w:pPr>
        <w:spacing w:after="0" w:line="187" w:lineRule="exact"/>
        <w:rPr>
          <w:rFonts w:ascii="Times New Roman" w:cs="Times New Roman" w:eastAsia="Times New Roman" w:hAnsi="Times New Roman"/>
          <w:sz w:val="18"/>
          <w:szCs w:val="18"/>
          <w:color w:val="auto"/>
        </w:rPr>
      </w:pPr>
    </w:p>
    <w:p>
      <w:pPr>
        <w:ind w:left="840" w:firstLine="640"/>
        <w:spacing w:after="0" w:line="282" w:lineRule="auto"/>
        <w:tabs>
          <w:tab w:leader="none" w:pos="221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shall not engage in hedging transactions with regard to the Series C Preferred Stock or the Converted Shares unless in compliance with the Securities Act.</w:t>
      </w:r>
    </w:p>
    <w:p>
      <w:pPr>
        <w:spacing w:after="0" w:line="16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foregoing restrictions are binding upon subsequent transferees of the Series C Preferred Stock and any Converted Shares, except for transferees pursuant to an effective registration statement. Such Non-U.S. person agrees that after the Restricted Period, the Series C Preferred Stock and the Converted Shares may be offered or sold within the United States or to or for the account of a U.S. person only pursuant to applicable securities laws.</w:t>
      </w:r>
    </w:p>
    <w:p>
      <w:pPr>
        <w:spacing w:after="0" w:line="180" w:lineRule="exact"/>
        <w:rPr>
          <w:sz w:val="20"/>
          <w:szCs w:val="20"/>
          <w:color w:val="auto"/>
        </w:rPr>
      </w:pPr>
    </w:p>
    <w:p>
      <w:pPr>
        <w:jc w:val="both"/>
        <w:ind w:left="180" w:firstLine="652"/>
        <w:spacing w:after="0" w:line="266" w:lineRule="auto"/>
        <w:tabs>
          <w:tab w:leader="none" w:pos="15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has not engaged, nor is it aware that any party has engaged, and such Non-U.S. person will not engage or cause any third party to engage, in any directed selling efforts (as such term is defined in Regulation S) in the United States with respect to the Series C Preferred Stock or the Converted Shares.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6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 is domiciled and has its principal place of business outside the United States; (B) certifies it is not a U.S. person and is not acquiring the Series C Preferred Stock for the account or benefit of any U.S. person; and (C) at the time of the Closing, the Non-U.S. person or persons acting on Non-U.S. person’s behalf in connection therewith will be located outside the United States.</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0" w:name="page101"/>
    <w:bookmarkEnd w:id="100"/>
    <w:p>
      <w:pPr>
        <w:jc w:val="both"/>
        <w:ind w:left="180" w:firstLine="652"/>
        <w:spacing w:after="0" w:line="266" w:lineRule="auto"/>
        <w:tabs>
          <w:tab w:leader="none" w:pos="16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offering to such Non-U.S. person and communication of such Non-U.S. person’s order to purchase the Series C Preferred Stock and at the time of such Non-U.S. Person’s execution of this Agreement, the Non-U.S. person or persons acting on the Non-U.S. person’s behalf in connection therewith were located outside the United States.</w:t>
      </w:r>
    </w:p>
    <w:p>
      <w:pPr>
        <w:spacing w:after="0" w:line="175" w:lineRule="exact"/>
        <w:rPr>
          <w:rFonts w:ascii="Times New Roman" w:cs="Times New Roman" w:eastAsia="Times New Roman" w:hAnsi="Times New Roman"/>
          <w:sz w:val="18"/>
          <w:szCs w:val="18"/>
          <w:color w:val="auto"/>
        </w:rPr>
      </w:pPr>
    </w:p>
    <w:p>
      <w:pPr>
        <w:ind w:left="1660" w:hanging="828"/>
        <w:spacing w:after="0"/>
        <w:tabs>
          <w:tab w:leader="none" w:pos="1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is not a “distributor” (as defined in Regulation S) or a “dealer” (as defined in the Securities</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7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person acknowledges that the Company shall make a notation in its stock books regarding the restrictions on transfer set forth in this Section 3.02(m) and shall transfer such shares on the books of the Company only to the extent consistent therewith.</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such Non-U.S. person acknowledges that the Company and its agents shall refuse to register any transfer of the Series C Preferred Stock or any Converted Shares not made in accordance with the provisions of Regulation S, pursuant to registration under the Securities Act or pursuant to an available exemption from registration.</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8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Investor understands and agrees that the applicable book entry notation for such Non-U.S. person (or the applicable book entry) representing the Series C Preferred Stock or any Converted Shares, or any other securities issued in respect of the Series C Preferred Stock and the Converted Shares upon any stock split, stock dividend, recapitalization, merger, consolidation or similar event, shall bear the following legend, as applicable (in addition to any legend required by this Agreement or under applicable state securities laws):</w:t>
      </w:r>
    </w:p>
    <w:p>
      <w:pPr>
        <w:spacing w:after="0" w:line="183"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AND MAY NOT BE SOLD, TRANSFERRED, ASSIGNED, PLEDGED OR HYPOTHECATED EXCEPT IN ACCORDANCE WITH THE PROVISIONS OF REGULATION S PROMULGATED UNDER THE SECURITIES ACT, PURSUANT TO REGISTRATION UNDER THE SECURITIES ACT OR PURSUANT TO AN AVAILABLE EXEMPTION FROM REGISTRATION. HEDGING TRANSACTIONS INVOLVING THE SHARES REPRESENTED HEREBY MAY NOT BE CONDUCTED UNLESS IN COMPLIANCE WITH THE SECURITIES ACT. THIS LEGEND MUST BE REMOVED AS A CONDITION PRECEDENT TO THE SALE, PLEDGE, HYPOTHECATION OR ANY OTHER TRANSFER OF ANY INTEREST IN ANY OF THE SHARES SUBJECT TO THIS LEGEND.</w:t>
      </w:r>
    </w:p>
    <w:p>
      <w:pPr>
        <w:spacing w:after="0" w:line="3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Effective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of Series C Preferred Stock then outstanding, including the shares of Series C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186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Converted Shares covered by the Registration Statement under such other securities or blue-sky laws of such jurisdictions as shall be reasonably requested by the selling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left="1780" w:hanging="476"/>
        <w:spacing w:after="0"/>
        <w:tabs>
          <w:tab w:leader="none" w:pos="1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firstLine="1304"/>
        <w:spacing w:after="0" w:line="282" w:lineRule="auto"/>
        <w:tabs>
          <w:tab w:leader="none" w:pos="17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including all registration, filing, listing,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provided, however, that the liability of such indemnifying party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provided, further, however,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both"/>
        <w:ind w:firstLine="1304"/>
        <w:spacing w:after="0" w:line="252" w:lineRule="auto"/>
        <w:tabs>
          <w:tab w:leader="none" w:pos="17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19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clause (i) is not permitted by applicable law, in such proportion as is appropriate to reflect the relative benefits received by the Company, on the one hand, and such prospective sellers, on the other hand, from their sale of Converted Shares; provided that, for purposes of this clause (ii),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C Preferred Stock subject to the terms and conditions hereof and compliance with applicable law. In case at any time before or after the Effective Date any further action is necessary or desirable to carry out the purposes of the sale and purchase of the Series C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Corporate 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C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C Preferred Stock pursuant to the terms of the Certificate.</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C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C Preferred Stock or any transaction relating thereto, shall be the sole responsibility and liability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the Closing; provided survival of clause (a)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3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C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7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both"/>
        <w:ind w:firstLine="1304"/>
        <w:spacing w:after="0" w:line="258" w:lineRule="auto"/>
        <w:tabs>
          <w:tab w:leader="none" w:pos="210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6.11. Section 4501 Tax. For the absence of doubt, any Tax imposed pursuant to Section 4501 of the Code, which Tax relates to the Series C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Conversion Limitations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185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including in the Certificate, the Company shall not issue to the Purchaser any shares of Common Stock to the extent such shares after giving effect to a conversion would: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both"/>
        <w:ind w:left="1300" w:firstLine="652"/>
        <w:spacing w:after="0" w:line="254" w:lineRule="auto"/>
        <w:tabs>
          <w:tab w:leader="none" w:pos="271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8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Effective Date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C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C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Gregory W. Haskell</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Address:6900 Tavistock Lakes Boulevard, Suite 400</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Orlando, FL 32827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 U.S. Purchase Agreement (Series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44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[INSERT PURCHASER NAME]</w:t>
      </w: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626110</wp:posOffset>
            </wp:positionV>
            <wp:extent cx="297434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325755</wp:posOffset>
            </wp:positionV>
            <wp:extent cx="297434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Ex- U.S. Purchase Agreement (Series 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361315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lvl w:ilvl="1">
      <w:lvlJc w:val="left"/>
      <w:lvlText w:val="(%2)"/>
      <w:numFmt w:val="lowerLetter"/>
      <w:start w:val="1"/>
    </w:lvl>
  </w:abstractNum>
  <w:abstractNum w:abstractNumId="3">
    <w:nsid w:val="32FFF90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
    <w:nsid w:val="684A481A"/>
    <w:multiLevelType w:val="hybridMultilevel"/>
    <w:lvl w:ilvl="0">
      <w:lvlJc w:val="left"/>
      <w:lvlText w:val="%1"/>
      <w:numFmt w:val="lowerLetter"/>
      <w:start w:val="1"/>
    </w:lvl>
    <w:lvl w:ilvl="1">
      <w:lvlJc w:val="left"/>
      <w:lvlText w:val="(%2)"/>
      <w:numFmt w:val="lowerLetter"/>
      <w:start w:val="35"/>
    </w:lvl>
  </w:abstractNum>
  <w:abstractNum w:abstractNumId="5">
    <w:nsid w:val="579478FE"/>
    <w:multiLevelType w:val="hybridMultilevel"/>
    <w:lvl w:ilvl="0">
      <w:lvlJc w:val="left"/>
      <w:lvlText w:val="(%1)"/>
      <w:numFmt w:val="lowerLetter"/>
      <w:start w:val="2"/>
    </w:lvl>
    <w:lvl w:ilvl="1">
      <w:lvlJc w:val="left"/>
      <w:lvlText w:val="(%2)"/>
      <w:numFmt w:val="lowerLetter"/>
      <w:start w:val="9"/>
    </w:lvl>
  </w:abstractNum>
  <w:abstractNum w:abstractNumId="6">
    <w:nsid w:val="749ABB43"/>
    <w:multiLevelType w:val="hybridMultilevel"/>
    <w:lvl w:ilvl="0">
      <w:lvlJc w:val="left"/>
      <w:lvlText w:val="(%1)"/>
      <w:numFmt w:val="lowerRoman"/>
      <w:start w:val="2"/>
    </w:lvl>
  </w:abstractNum>
  <w:abstractNum w:abstractNumId="7">
    <w:nsid w:val="3DC240FB"/>
    <w:multiLevelType w:val="hybridMultilevel"/>
    <w:lvl w:ilvl="0">
      <w:lvlJc w:val="left"/>
      <w:lvlText w:val="%1"/>
      <w:numFmt w:val="decimal"/>
      <w:start w:val="1"/>
    </w:lvl>
    <w:lvl w:ilvl="1">
      <w:lvlJc w:val="left"/>
      <w:lvlText w:val="(%2)"/>
      <w:numFmt w:val="lowerLetter"/>
      <w:start w:val="3"/>
    </w:lvl>
  </w:abstractNum>
  <w:abstractNum w:abstractNumId="8">
    <w:nsid w:val="1BA026FA"/>
    <w:multiLevelType w:val="hybridMultilevel"/>
    <w:lvl w:ilvl="0">
      <w:lvlJc w:val="left"/>
      <w:lvlText w:val="%1."/>
      <w:numFmt w:val="decimal"/>
      <w:start w:val="7"/>
    </w:lvl>
    <w:lvl w:ilvl="1">
      <w:lvlJc w:val="left"/>
      <w:lvlText w:val="(%2)"/>
      <w:numFmt w:val="lowerLetter"/>
      <w:start w:val="1"/>
    </w:lvl>
  </w:abstractNum>
  <w:abstractNum w:abstractNumId="9">
    <w:nsid w:val="79A1DEAA"/>
    <w:multiLevelType w:val="hybridMultilevel"/>
    <w:lvl w:ilvl="0">
      <w:lvlJc w:val="left"/>
      <w:lvlText w:val="%1"/>
      <w:numFmt w:val="decimal"/>
      <w:start w:val="1"/>
    </w:lvl>
    <w:lvl w:ilvl="1">
      <w:lvlJc w:val="left"/>
      <w:lvlText w:val="(%2)"/>
      <w:numFmt w:val="lowerLetter"/>
      <w:start w:val="2"/>
    </w:lvl>
  </w:abstractNum>
  <w:abstractNum w:abstractNumId="10">
    <w:nsid w:val="75C6C33A"/>
    <w:multiLevelType w:val="hybridMultilevel"/>
    <w:lvl w:ilvl="0">
      <w:lvlJc w:val="left"/>
      <w:lvlText w:val="%1."/>
      <w:numFmt w:val="decimal"/>
      <w:start w:val="8"/>
    </w:lvl>
    <w:lvl w:ilvl="1">
      <w:lvlJc w:val="left"/>
      <w:lvlText w:val="(%2)"/>
      <w:numFmt w:val="lowerLetter"/>
      <w:start w:val="1"/>
    </w:lvl>
  </w:abstractNum>
  <w:abstractNum w:abstractNumId="11">
    <w:nsid w:val="12E685FB"/>
    <w:multiLevelType w:val="hybridMultilevel"/>
    <w:lvl w:ilvl="0">
      <w:lvlJc w:val="left"/>
      <w:lvlText w:val="%1."/>
      <w:numFmt w:val="decimal"/>
      <w:start w:val="10"/>
    </w:lvl>
    <w:lvl w:ilvl="1">
      <w:lvlJc w:val="left"/>
      <w:lvlText w:val="(%2)"/>
      <w:numFmt w:val="lowerLetter"/>
      <w:start w:val="1"/>
    </w:lvl>
  </w:abstractNum>
  <w:abstractNum w:abstractNumId="12">
    <w:nsid w:val="70C6A529"/>
    <w:multiLevelType w:val="hybridMultilevel"/>
    <w:lvl w:ilvl="0">
      <w:lvlJc w:val="left"/>
      <w:lvlText w:val="(%1)"/>
      <w:numFmt w:val="lowerLetter"/>
      <w:start w:val="9"/>
    </w:lvl>
  </w:abstractNum>
  <w:abstractNum w:abstractNumId="13">
    <w:nsid w:val="520EEDD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
    <w:nsid w:val="374A3FE6"/>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15">
    <w:nsid w:val="4F4EF005"/>
    <w:multiLevelType w:val="hybridMultilevel"/>
    <w:lvl w:ilvl="0">
      <w:lvlJc w:val="left"/>
      <w:lvlText w:val="(%1)"/>
      <w:numFmt w:val="lowerLetter"/>
      <w:start w:val="2"/>
    </w:lvl>
    <w:lvl w:ilvl="1">
      <w:lvlJc w:val="left"/>
      <w:lvlText w:val="(%2)"/>
      <w:numFmt w:val="lowerLetter"/>
      <w:start w:val="9"/>
    </w:lvl>
    <w:lvl w:ilvl="2">
      <w:lvlJc w:val="left"/>
      <w:lvlText w:val="-"/>
      <w:numFmt w:val="bullet"/>
      <w:start w:val="1"/>
    </w:lvl>
  </w:abstractNum>
  <w:abstractNum w:abstractNumId="16">
    <w:nsid w:val="23F9C13C"/>
    <w:multiLevelType w:val="hybridMultilevel"/>
    <w:lvl w:ilvl="0">
      <w:lvlJc w:val="left"/>
      <w:lvlText w:val="(%1)"/>
      <w:numFmt w:val="lowerRoman"/>
      <w:start w:val="2"/>
    </w:lvl>
    <w:lvl w:ilvl="1">
      <w:lvlJc w:val="left"/>
      <w:lvlText w:val="-"/>
      <w:numFmt w:val="bullet"/>
      <w:start w:val="1"/>
    </w:lvl>
  </w:abstractNum>
  <w:abstractNum w:abstractNumId="17">
    <w:nsid w:val="649BB77C"/>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8">
    <w:nsid w:val="275AC794"/>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9">
    <w:nsid w:val="39386575"/>
    <w:multiLevelType w:val="hybridMultilevel"/>
    <w:lvl w:ilvl="0">
      <w:lvlJc w:val="left"/>
      <w:lvlText w:val="(%1)"/>
      <w:numFmt w:val="lowerLetter"/>
      <w:start w:val="7"/>
    </w:lvl>
  </w:abstractNum>
  <w:abstractNum w:abstractNumId="20">
    <w:nsid w:val="1CF10FD8"/>
    <w:multiLevelType w:val="hybridMultilevel"/>
    <w:lvl w:ilvl="0">
      <w:lvlJc w:val="left"/>
      <w:lvlText w:val="(%1)"/>
      <w:numFmt w:val="lowerLetter"/>
      <w:start w:val="1"/>
    </w:lvl>
    <w:lvl w:ilvl="1">
      <w:lvlJc w:val="left"/>
      <w:lvlText w:val="-"/>
      <w:numFmt w:val="bullet"/>
      <w:start w:val="1"/>
    </w:lvl>
  </w:abstractNum>
  <w:abstractNum w:abstractNumId="21">
    <w:nsid w:val="180115BE"/>
    <w:multiLevelType w:val="hybridMultilevel"/>
    <w:lvl w:ilvl="0">
      <w:lvlJc w:val="left"/>
      <w:lvlText w:val="(%1)"/>
      <w:numFmt w:val="lowerLetter"/>
      <w:start w:val="3"/>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lowerRoman"/>
      <w:start w:val="3"/>
    </w:lvl>
    <w:lvl w:ilvl="1">
      <w:lvlJc w:val="left"/>
      <w:lvlText w:val="-"/>
      <w:numFmt w:val="bullet"/>
      <w:start w:val="1"/>
    </w:lvl>
  </w:abstractNum>
  <w:abstractNum w:abstractNumId="24">
    <w:nsid w:val="354FE9F9"/>
    <w:multiLevelType w:val="hybridMultilevel"/>
    <w:lvl w:ilvl="0">
      <w:lvlJc w:val="left"/>
      <w:lvlText w:val="(%1)"/>
      <w:numFmt w:val="lowerLetter"/>
      <w:start w:val="1"/>
    </w:lvl>
    <w:lvl w:ilvl="1">
      <w:lvlJc w:val="left"/>
      <w:lvlText w:val="-"/>
      <w:numFmt w:val="bullet"/>
      <w:start w:val="1"/>
    </w:lvl>
  </w:abstractNum>
  <w:abstractNum w:abstractNumId="25">
    <w:nsid w:val="15B5AF5C"/>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26">
    <w:nsid w:val="741226BB"/>
    <w:multiLevelType w:val="hybridMultilevel"/>
    <w:lvl w:ilvl="0">
      <w:lvlJc w:val="left"/>
      <w:lvlText w:val="(%1)"/>
      <w:numFmt w:val="lowerLetter"/>
      <w:start w:val="5"/>
    </w:lvl>
  </w:abstractNum>
  <w:abstractNum w:abstractNumId="27">
    <w:nsid w:val="D34B6A8"/>
    <w:multiLevelType w:val="hybridMultilevel"/>
    <w:lvl w:ilvl="0">
      <w:lvlJc w:val="left"/>
      <w:lvlText w:val="(%1)"/>
      <w:numFmt w:val="lowerLetter"/>
      <w:start w:val="1"/>
    </w:lvl>
    <w:lvl w:ilvl="1">
      <w:lvlJc w:val="left"/>
      <w:lvlText w:val="-"/>
      <w:numFmt w:val="bullet"/>
      <w:start w:val="1"/>
    </w:lvl>
  </w:abstractNum>
  <w:abstractNum w:abstractNumId="28">
    <w:nsid w:val="10233C99"/>
    <w:multiLevelType w:val="hybridMultilevel"/>
    <w:lvl w:ilvl="0">
      <w:lvlJc w:val="left"/>
      <w:lvlText w:val="(%1)"/>
      <w:numFmt w:val="decimal"/>
      <w:start w:val="2"/>
    </w:lvl>
  </w:abstractNum>
  <w:abstractNum w:abstractNumId="29">
    <w:nsid w:val="3F6AB60F"/>
    <w:multiLevelType w:val="hybridMultilevel"/>
    <w:lvl w:ilvl="0">
      <w:lvlJc w:val="left"/>
      <w:lvlText w:val="(%1)"/>
      <w:numFmt w:val="lowerLetter"/>
      <w:start w:val="1"/>
    </w:lvl>
    <w:lvl w:ilvl="1">
      <w:lvlJc w:val="left"/>
      <w:lvlText w:val="-"/>
      <w:numFmt w:val="bullet"/>
      <w:start w:val="1"/>
    </w:lvl>
  </w:abstractNum>
  <w:abstractNum w:abstractNumId="30">
    <w:nsid w:val="61574095"/>
    <w:multiLevelType w:val="hybridMultilevel"/>
    <w:lvl w:ilvl="0">
      <w:lvlJc w:val="left"/>
      <w:lvlText w:val="(%1)"/>
      <w:numFmt w:val="lowerLetter"/>
      <w:start w:val="2"/>
    </w:lvl>
    <w:lvl w:ilvl="1">
      <w:lvlJc w:val="left"/>
      <w:lvlText w:val="-"/>
      <w:numFmt w:val="bullet"/>
      <w:start w:val="1"/>
    </w:lvl>
  </w:abstractNum>
  <w:abstractNum w:abstractNumId="31">
    <w:nsid w:val="7E0C57B1"/>
    <w:multiLevelType w:val="hybridMultilevel"/>
    <w:lvl w:ilvl="0">
      <w:lvlJc w:val="left"/>
      <w:lvlText w:val="(%1)"/>
      <w:numFmt w:val="lowerLetter"/>
      <w:start w:val="10"/>
    </w:lvl>
  </w:abstractNum>
  <w:abstractNum w:abstractNumId="32">
    <w:nsid w:val="77AE35EB"/>
    <w:multiLevelType w:val="hybridMultilevel"/>
    <w:lvl w:ilvl="0">
      <w:lvlJc w:val="left"/>
      <w:lvlText w:val="(%1)"/>
      <w:numFmt w:val="upperLetter"/>
      <w:start w:val="2"/>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1."/>
      <w:numFmt w:val="decimal"/>
      <w:start w:val="6"/>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1."/>
      <w:numFmt w:val="decimal"/>
      <w:start w:val="2"/>
    </w:lvl>
  </w:abstractNum>
  <w:abstractNum w:abstractNumId="38">
    <w:nsid w:val="1DBABF00"/>
    <w:multiLevelType w:val="hybridMultilevel"/>
    <w:lvl w:ilvl="0">
      <w:lvlJc w:val="left"/>
      <w:lvlText w:val="%1."/>
      <w:numFmt w:val="decimal"/>
      <w:start w:val="9"/>
    </w:lvl>
  </w:abstractNum>
  <w:abstractNum w:abstractNumId="39">
    <w:nsid w:val="4AD084E9"/>
    <w:multiLevelType w:val="hybridMultilevel"/>
    <w:lvl w:ilvl="0">
      <w:lvlJc w:val="left"/>
      <w:lvlText w:val="%1."/>
      <w:numFmt w:val="decimal"/>
      <w:start w:val="10"/>
    </w:lvl>
  </w:abstractNum>
  <w:abstractNum w:abstractNumId="40">
    <w:nsid w:val="1F48EAA1"/>
    <w:multiLevelType w:val="hybridMultilevel"/>
    <w:lvl w:ilvl="0">
      <w:lvlJc w:val="left"/>
      <w:lvlText w:val="(%1)"/>
      <w:numFmt w:val="lowerLetter"/>
      <w:start w:val="1"/>
    </w:lvl>
    <w:lvl w:ilvl="1">
      <w:lvlJc w:val="left"/>
      <w:lvlText w:val="(%2)"/>
      <w:numFmt w:val="lowerLetter"/>
      <w:start w:val="9"/>
    </w:lvl>
  </w:abstractNum>
  <w:abstractNum w:abstractNumId="41">
    <w:nsid w:val="1381823A"/>
    <w:multiLevelType w:val="hybridMultilevel"/>
    <w:lvl w:ilvl="0">
      <w:lvlJc w:val="left"/>
      <w:lvlText w:val="(%1)"/>
      <w:numFmt w:val="lowerRoman"/>
      <w:start w:val="2"/>
    </w:lvl>
  </w:abstractNum>
  <w:abstractNum w:abstractNumId="42">
    <w:nsid w:val="5DB70AE5"/>
    <w:multiLevelType w:val="hybridMultilevel"/>
    <w:lvl w:ilvl="0">
      <w:lvlJc w:val="left"/>
      <w:lvlText w:val="%1"/>
      <w:numFmt w:val="decimal"/>
      <w:start w:val="1"/>
    </w:lvl>
    <w:lvl w:ilvl="1">
      <w:lvlJc w:val="left"/>
      <w:lvlText w:val="(%2)"/>
      <w:numFmt w:val="lowerLetter"/>
      <w:start w:val="1"/>
    </w:lvl>
  </w:abstractNum>
  <w:abstractNum w:abstractNumId="43">
    <w:nsid w:val="100F8FCA"/>
    <w:multiLevelType w:val="hybridMultilevel"/>
    <w:lvl w:ilvl="0">
      <w:lvlJc w:val="left"/>
      <w:lvlText w:val="(%1)"/>
      <w:numFmt w:val="decimal"/>
      <w:start w:val="5"/>
    </w:lvl>
    <w:lvl w:ilvl="1">
      <w:lvlJc w:val="left"/>
      <w:lvlText w:val="%2"/>
      <w:numFmt w:val="lowerLetter"/>
      <w:start w:val="1"/>
    </w:lvl>
  </w:abstractNum>
  <w:abstractNum w:abstractNumId="44">
    <w:nsid w:val="6590700B"/>
    <w:multiLevelType w:val="hybridMultilevel"/>
    <w:lvl w:ilvl="0">
      <w:lvlJc w:val="left"/>
      <w:lvlText w:val="(%1)"/>
      <w:numFmt w:val="lowerLetter"/>
      <w:start w:val="3"/>
    </w:lvl>
  </w:abstractNum>
  <w:abstractNum w:abstractNumId="45">
    <w:nsid w:val="15014ACB"/>
    <w:multiLevelType w:val="hybridMultilevel"/>
    <w:lvl w:ilvl="0">
      <w:lvlJc w:val="left"/>
      <w:lvlText w:val="(%1)"/>
      <w:numFmt w:val="lowerLetter"/>
      <w:start w:val="6"/>
    </w:lvl>
    <w:lvl w:ilvl="1">
      <w:lvlJc w:val="left"/>
      <w:lvlText w:val="(%2)"/>
      <w:numFmt w:val="lowerRoman"/>
      <w:start w:val="1"/>
    </w:lvl>
  </w:abstractNum>
  <w:abstractNum w:abstractNumId="46">
    <w:nsid w:val="5F5E7FD0"/>
    <w:multiLevelType w:val="hybridMultilevel"/>
    <w:lvl w:ilvl="0">
      <w:lvlJc w:val="left"/>
      <w:lvlText w:val="(%1)"/>
      <w:numFmt w:val="lowerLetter"/>
      <w:start w:val="9"/>
    </w:lvl>
  </w:abstractNum>
  <w:abstractNum w:abstractNumId="47">
    <w:nsid w:val="98A3148"/>
    <w:multiLevelType w:val="hybridMultilevel"/>
    <w:lvl w:ilvl="0">
      <w:lvlJc w:val="left"/>
      <w:lvlText w:val="(%1)"/>
      <w:numFmt w:val="lowerLetter"/>
      <w:start w:val="14"/>
    </w:lvl>
  </w:abstractNum>
  <w:abstractNum w:abstractNumId="48">
    <w:nsid w:val="799D0247"/>
    <w:multiLevelType w:val="hybridMultilevel"/>
    <w:lvl w:ilvl="0">
      <w:lvlJc w:val="left"/>
      <w:lvlText w:val="(%1)"/>
      <w:numFmt w:val="lowerLetter"/>
      <w:start w:val="1"/>
    </w:lvl>
  </w:abstractNum>
  <w:abstractNum w:abstractNumId="49">
    <w:nsid w:val="6B94764"/>
    <w:multiLevelType w:val="hybridMultilevel"/>
    <w:lvl w:ilvl="0">
      <w:lvlJc w:val="left"/>
      <w:lvlText w:val="(%1)"/>
      <w:numFmt w:val="lowerLetter"/>
      <w:start w:val="4"/>
    </w:lvl>
  </w:abstractNum>
  <w:abstractNum w:abstractNumId="50">
    <w:nsid w:val="42C296BD"/>
    <w:multiLevelType w:val="hybridMultilevel"/>
    <w:lvl w:ilvl="0">
      <w:lvlJc w:val="left"/>
      <w:lvlText w:val="(%1)"/>
      <w:numFmt w:val="lowerLetter"/>
      <w:start w:val="7"/>
    </w:lvl>
  </w:abstractNum>
  <w:abstractNum w:abstractNumId="51">
    <w:nsid w:val="168E121F"/>
    <w:multiLevelType w:val="hybridMultilevel"/>
    <w:lvl w:ilvl="0">
      <w:lvlJc w:val="left"/>
      <w:lvlText w:val="(%1)"/>
      <w:numFmt w:val="lowerLetter"/>
      <w:start w:val="10"/>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3"/>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lowerLetter"/>
      <w:start w:val="3"/>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2"/>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lvl w:ilvl="1">
      <w:lvlJc w:val="left"/>
      <w:lvlText w:val="(%2)"/>
      <w:numFmt w:val="lowerRoman"/>
      <w:start w:val="1"/>
    </w:lvl>
  </w:abstractNum>
  <w:abstractNum w:abstractNumId="61">
    <w:nsid w:val="42963E5A"/>
    <w:multiLevelType w:val="hybridMultilevel"/>
    <w:lvl w:ilvl="0">
      <w:lvlJc w:val="left"/>
      <w:lvlText w:val="(%1)"/>
      <w:numFmt w:val="lowerLetter"/>
      <w:start w:val="3"/>
    </w:lvl>
  </w:abstractNum>
  <w:abstractNum w:abstractNumId="62">
    <w:nsid w:val="A0382C5"/>
    <w:multiLevelType w:val="hybridMultilevel"/>
    <w:lvl w:ilvl="0">
      <w:lvlJc w:val="left"/>
      <w:lvlText w:val="(%1)"/>
      <w:numFmt w:val="lowerLetter"/>
      <w:start w:val="1"/>
    </w:lvl>
  </w:abstractNum>
  <w:abstractNum w:abstractNumId="63">
    <w:nsid w:val="8F2B15E"/>
    <w:multiLevelType w:val="hybridMultilevel"/>
    <w:lvl w:ilvl="0">
      <w:lvlJc w:val="left"/>
      <w:lvlText w:val="(%1)"/>
      <w:numFmt w:val="lowerLetter"/>
      <w:start w:val="2"/>
    </w:lvl>
    <w:lvl w:ilvl="1">
      <w:lvlJc w:val="left"/>
      <w:lvlText w:val="(%2)"/>
      <w:numFmt w:val="lowerRoman"/>
      <w:start w:val="1"/>
    </w:lvl>
  </w:abstractNum>
  <w:abstractNum w:abstractNumId="64">
    <w:nsid w:val="1A32234B"/>
    <w:multiLevelType w:val="hybridMultilevel"/>
    <w:lvl w:ilvl="0">
      <w:lvlJc w:val="left"/>
      <w:lvlText w:val="%1"/>
      <w:numFmt w:val="decimal"/>
      <w:start w:val="1"/>
    </w:lvl>
    <w:lvl w:ilvl="1">
      <w:lvlJc w:val="left"/>
      <w:lvlText w:val="(%2)"/>
      <w:numFmt w:val="lowerLetter"/>
      <w:start w:val="1"/>
    </w:lvl>
  </w:abstractNum>
  <w:abstractNum w:abstractNumId="65">
    <w:nsid w:val="3B0FD379"/>
    <w:multiLevelType w:val="hybridMultilevel"/>
    <w:lvl w:ilvl="0">
      <w:lvlJc w:val="left"/>
      <w:lvlText w:val="(%1)"/>
      <w:numFmt w:val="decimal"/>
      <w:start w:val="1"/>
    </w:lvl>
    <w:lvl w:ilvl="1">
      <w:lvlJc w:val="left"/>
      <w:lvlText w:val="%2"/>
      <w:numFmt w:val="lowerLetter"/>
      <w:start w:val="1"/>
    </w:lvl>
  </w:abstractNum>
  <w:abstractNum w:abstractNumId="66">
    <w:nsid w:val="68EB2F63"/>
    <w:multiLevelType w:val="hybridMultilevel"/>
    <w:lvl w:ilvl="0">
      <w:lvlJc w:val="left"/>
      <w:lvlText w:val="(%1)"/>
      <w:numFmt w:val="lowerLetter"/>
      <w:start w:val="3"/>
    </w:lvl>
  </w:abstractNum>
  <w:abstractNum w:abstractNumId="67">
    <w:nsid w:val="4962813B"/>
    <w:multiLevelType w:val="hybridMultilevel"/>
    <w:lvl w:ilvl="0">
      <w:lvlJc w:val="left"/>
      <w:lvlText w:val="(%1)"/>
      <w:numFmt w:val="lowerLetter"/>
      <w:start w:val="6"/>
    </w:lvl>
    <w:lvl w:ilvl="1">
      <w:lvlJc w:val="left"/>
      <w:lvlText w:val="(%2)"/>
      <w:numFmt w:val="lowerRoman"/>
      <w:start w:val="1"/>
    </w:lvl>
  </w:abstractNum>
  <w:abstractNum w:abstractNumId="68">
    <w:nsid w:val="60B6DF70"/>
    <w:multiLevelType w:val="hybridMultilevel"/>
    <w:lvl w:ilvl="0">
      <w:lvlJc w:val="left"/>
      <w:lvlText w:val="%1"/>
      <w:numFmt w:val="lowerLetter"/>
      <w:start w:val="1"/>
    </w:lvl>
    <w:lvl w:ilvl="1">
      <w:lvlJc w:val="left"/>
      <w:lvlText w:val="(%2)"/>
      <w:numFmt w:val="lowerLetter"/>
      <w:start w:val="61"/>
    </w:lvl>
  </w:abstractNum>
  <w:abstractNum w:abstractNumId="69">
    <w:nsid w:val="6A5EE64"/>
    <w:multiLevelType w:val="hybridMultilevel"/>
    <w:lvl w:ilvl="0">
      <w:lvlJc w:val="left"/>
      <w:lvlText w:val="(%1)"/>
      <w:numFmt w:val="lowerLetter"/>
      <w:start w:val="8"/>
    </w:lvl>
    <w:lvl w:ilvl="1">
      <w:lvlJc w:val="left"/>
      <w:lvlText w:val="%2"/>
      <w:numFmt w:val="lowerLetter"/>
      <w:start w:val="1"/>
    </w:lvl>
  </w:abstractNum>
  <w:abstractNum w:abstractNumId="70">
    <w:nsid w:val="14330624"/>
    <w:multiLevelType w:val="hybridMultilevel"/>
    <w:lvl w:ilvl="0">
      <w:lvlJc w:val="left"/>
      <w:lvlText w:val="(%1)"/>
      <w:numFmt w:val="lowerLetter"/>
      <w:start w:val="14"/>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3"/>
    </w:lvl>
  </w:abstractNum>
  <w:abstractNum w:abstractNumId="73">
    <w:nsid w:val="71EA1109"/>
    <w:multiLevelType w:val="hybridMultilevel"/>
    <w:lvl w:ilvl="0">
      <w:lvlJc w:val="left"/>
      <w:lvlText w:val="(%1)"/>
      <w:numFmt w:val="lowerLetter"/>
      <w:start w:val="7"/>
    </w:lvl>
  </w:abstractNum>
  <w:abstractNum w:abstractNumId="74">
    <w:nsid w:val="100F59DC"/>
    <w:multiLevelType w:val="hybridMultilevel"/>
    <w:lvl w:ilvl="0">
      <w:lvlJc w:val="left"/>
      <w:lvlText w:val="(%1)"/>
      <w:numFmt w:val="lowerRoman"/>
      <w:start w:val="1"/>
    </w:lvl>
  </w:abstractNum>
  <w:abstractNum w:abstractNumId="75">
    <w:nsid w:val="7FB7E0AA"/>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76">
    <w:nsid w:val="6EB5BD4"/>
    <w:multiLevelType w:val="hybridMultilevel"/>
    <w:lvl w:ilvl="0">
      <w:lvlJc w:val="left"/>
      <w:lvlText w:val="%1"/>
      <w:numFmt w:val="lowerRoman"/>
      <w:start w:val="1"/>
    </w:lvl>
    <w:lvl w:ilvl="1">
      <w:lvlJc w:val="left"/>
      <w:lvlText w:val="(%2)"/>
      <w:numFmt w:val="upperLetter"/>
      <w:start w:val="4"/>
    </w:lvl>
  </w:abstractNum>
  <w:abstractNum w:abstractNumId="77">
    <w:nsid w:val="6F6DD9AC"/>
    <w:multiLevelType w:val="hybridMultilevel"/>
    <w:lvl w:ilvl="0">
      <w:lvlJc w:val="left"/>
      <w:lvlText w:val="(%1)"/>
      <w:numFmt w:val="lowerRoman"/>
      <w:start w:val="3"/>
    </w:lvl>
    <w:lvl w:ilvl="1">
      <w:lvlJc w:val="left"/>
      <w:lvlText w:val="(%2)"/>
      <w:numFmt w:val="upperLetter"/>
      <w:start w:val="1"/>
    </w:lvl>
  </w:abstractNum>
  <w:abstractNum w:abstractNumId="78">
    <w:nsid w:val="94211F2"/>
    <w:multiLevelType w:val="hybridMultilevel"/>
    <w:lvl w:ilvl="0">
      <w:lvlJc w:val="left"/>
      <w:lvlText w:val="(%1)"/>
      <w:numFmt w:val="lowerRoman"/>
      <w:start w:val="4"/>
    </w:lvl>
    <w:lvl w:ilvl="1">
      <w:lvlJc w:val="left"/>
      <w:lvlText w:val="(%2)"/>
      <w:numFmt w:val="upperLetter"/>
      <w:start w:val="1"/>
    </w:lvl>
  </w:abstractNum>
  <w:abstractNum w:abstractNumId="79">
    <w:nsid w:val="885E1B"/>
    <w:multiLevelType w:val="hybridMultilevel"/>
    <w:lvl w:ilvl="0">
      <w:lvlJc w:val="left"/>
      <w:lvlText w:val="(%1)"/>
      <w:numFmt w:val="lowerRoman"/>
      <w:start w:val="6"/>
    </w:lvl>
  </w:abstractNum>
  <w:abstractNum w:abstractNumId="80">
    <w:nsid w:val="76272110"/>
    <w:multiLevelType w:val="hybridMultilevel"/>
    <w:lvl w:ilvl="0">
      <w:lvlJc w:val="left"/>
      <w:lvlText w:val="(%1)"/>
      <w:numFmt w:val="lowerRoman"/>
      <w:start w:val="8"/>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7"/>
    </w:lvl>
  </w:abstractNum>
  <w:abstractNum w:abstractNumId="83">
    <w:nsid w:val="14E17E33"/>
    <w:multiLevelType w:val="hybridMultilevel"/>
    <w:lvl w:ilvl="0">
      <w:lvlJc w:val="left"/>
      <w:lvlText w:val="(%1)"/>
      <w:numFmt w:val="lowerLetter"/>
      <w:start w:val="8"/>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lowerLetter"/>
      <w:start w:val="2"/>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1"/>
    </w:lvl>
  </w:abstractNum>
  <w:abstractNum w:abstractNumId="89">
    <w:nsid w:val="4A2AC315"/>
    <w:multiLevelType w:val="hybridMultilevel"/>
    <w:lvl w:ilvl="0">
      <w:lvlJc w:val="left"/>
      <w:lvlText w:val="(%1)"/>
      <w:numFmt w:val="lowerLetter"/>
      <w:start w:val="2"/>
    </w:lvl>
  </w:abstractNum>
  <w:abstractNum w:abstractNumId="90">
    <w:nsid w:val="39EE015C"/>
    <w:multiLevelType w:val="hybridMultilevel"/>
    <w:lvl w:ilvl="0">
      <w:lvlJc w:val="left"/>
      <w:lvlText w:val="(%1)"/>
      <w:numFmt w:val="lowerLetter"/>
      <w:start w:val="1"/>
    </w:lvl>
  </w:abstractNum>
  <w:abstractNum w:abstractNumId="91">
    <w:nsid w:val="57FC4FBB"/>
    <w:multiLevelType w:val="hybridMultilevel"/>
    <w:lvl w:ilvl="0">
      <w:lvlJc w:val="left"/>
      <w:lvlText w:val="%1"/>
      <w:numFmt w:val="lowerLetter"/>
      <w:start w:val="1"/>
    </w:lvl>
    <w:lvl w:ilvl="1">
      <w:lvlJc w:val="left"/>
      <w:lvlText w:val="(%2)"/>
      <w:numFmt w:val="lowerRoman"/>
      <w:start w:val="1"/>
    </w:lvl>
  </w:abstractNum>
  <w:abstractNum w:abstractNumId="92">
    <w:nsid w:val="CC1016F"/>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2025-03-25T05:43:46Z</dcterms:created>
  <dcterms:modified xsi:type="dcterms:W3CDTF">2025-03-25T05:43:46Z</dcterms:modified>
</cp:coreProperties>
</file>