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18, 2026</w:t>
      </w:r>
    </w:p>
    <w:p>
      <w:pPr>
        <w:spacing w:after="0" w:line="23" w:lineRule="exact"/>
        <w:rPr>
          <w:sz w:val="24"/>
          <w:szCs w:val="24"/>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Registration Nos. 333-282971</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333-286558</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333-291034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61429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29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614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2990" cy="8255"/>
                    </a:xfrm>
                    <a:prstGeom prst="rect">
                      <a:avLst/>
                    </a:prstGeom>
                    <a:noFill/>
                  </pic:spPr>
                </pic:pic>
              </a:graphicData>
            </a:graphic>
          </wp:anchor>
        </w:drawing>
      </w:r>
    </w:p>
    <w:p>
      <w:pPr>
        <w:spacing w:after="0" w:line="29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62230</wp:posOffset>
            </wp:positionV>
            <wp:extent cx="109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UNDER</w:t>
      </w:r>
    </w:p>
    <w:p>
      <w:pPr>
        <w:jc w:val="center"/>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62230</wp:posOffset>
            </wp:positionV>
            <wp:extent cx="109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63500</wp:posOffset>
            </wp:positionV>
            <wp:extent cx="109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17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3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93-4440048</w:t>
            </w:r>
          </w:p>
        </w:tc>
      </w:tr>
      <w:tr>
        <w:trPr>
          <w:trHeight w:val="223"/>
        </w:trPr>
        <w:tc>
          <w:tcPr>
            <w:tcW w:w="2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3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3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74295</wp:posOffset>
            </wp:positionV>
            <wp:extent cx="109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Gregory W. Haskell</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74295</wp:posOffset>
            </wp:positionV>
            <wp:extent cx="109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ind w:left="4740"/>
        <w:spacing w:after="0" w:line="224" w:lineRule="auto"/>
        <w:rPr>
          <w:sz w:val="20"/>
          <w:szCs w:val="20"/>
          <w:color w:val="auto"/>
        </w:rPr>
      </w:pPr>
      <w:r>
        <w:rPr>
          <w:rFonts w:ascii="Times New Roman" w:cs="Times New Roman" w:eastAsia="Times New Roman" w:hAnsi="Times New Roman"/>
          <w:sz w:val="18"/>
          <w:szCs w:val="18"/>
          <w:color w:val="auto"/>
        </w:rPr>
        <w:t> </w:t>
      </w:r>
    </w:p>
    <w:p>
      <w:pPr>
        <w:ind w:left="4400"/>
        <w:spacing w:after="0"/>
        <w:rPr>
          <w:sz w:val="20"/>
          <w:szCs w:val="20"/>
          <w:color w:val="auto"/>
        </w:rPr>
      </w:pPr>
      <w:r>
        <w:rPr>
          <w:rFonts w:ascii="Times New Roman" w:cs="Times New Roman" w:eastAsia="Times New Roman" w:hAnsi="Times New Roman"/>
          <w:sz w:val="18"/>
          <w:szCs w:val="18"/>
          <w:b w:val="1"/>
          <w:bCs w:val="1"/>
          <w:color w:val="auto"/>
        </w:rPr>
        <w:t>Joel T. May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L. Short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Peachtree Street, N.E., Suite 400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30361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(404) 521-3939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66040</wp:posOffset>
            </wp:positionV>
            <wp:extent cx="109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134"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the effective date of this registration statement</w:t>
      </w:r>
      <w:r>
        <w:rPr>
          <w:rFonts w:ascii="Times New Roman" w:cs="Times New Roman" w:eastAsia="Times New Roman" w:hAnsi="Times New Roman"/>
          <w:sz w:val="18"/>
          <w:szCs w:val="18"/>
          <w:color w:val="auto"/>
        </w:rPr>
        <w:t>.</w:t>
      </w:r>
    </w:p>
    <w:p>
      <w:pPr>
        <w:spacing w:after="0" w:line="10" w:lineRule="exact"/>
        <w:rPr>
          <w:sz w:val="24"/>
          <w:szCs w:val="24"/>
          <w:color w:val="auto"/>
        </w:rPr>
      </w:pPr>
    </w:p>
    <w:p>
      <w:pPr>
        <w:ind w:right="60"/>
        <w:spacing w:after="0" w:line="236"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3"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 w:lineRule="exact"/>
        <w:rPr>
          <w:sz w:val="24"/>
          <w:szCs w:val="24"/>
          <w:color w:val="auto"/>
        </w:rPr>
      </w:pPr>
    </w:p>
    <w:p>
      <w:pPr>
        <w:ind w:right="280"/>
        <w:spacing w:after="0" w:line="23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 w:lineRule="exact"/>
        <w:rPr>
          <w:sz w:val="24"/>
          <w:szCs w:val="24"/>
          <w:color w:val="auto"/>
        </w:rPr>
      </w:pPr>
    </w:p>
    <w:p>
      <w:pPr>
        <w:ind w:right="480"/>
        <w:spacing w:after="0" w:line="23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3" w:lineRule="exact"/>
        <w:rPr>
          <w:sz w:val="24"/>
          <w:szCs w:val="24"/>
          <w:color w:val="auto"/>
        </w:rPr>
      </w:pPr>
    </w:p>
    <w:p>
      <w:pPr>
        <w:ind w:right="60"/>
        <w:spacing w:after="0" w:line="23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2"/>
        </w:trPr>
        <w:tc>
          <w:tcPr>
            <w:tcW w:w="2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2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680"/>
        <w:spacing w:after="0" w:line="23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14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42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188595</wp:posOffset>
            </wp:positionV>
            <wp:extent cx="61429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2990" cy="1714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316230</wp:posOffset>
            </wp:positionV>
            <wp:extent cx="696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680"/>
          </w:cols>
          <w:pgMar w:left="1100" w:top="222" w:right="1119" w:bottom="226" w:gutter="0" w:footer="0" w:header="0"/>
        </w:sectPr>
      </w:pPr>
    </w:p>
    <w:bookmarkStart w:id="1" w:name="page2"/>
    <w:bookmarkEnd w:id="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 AND STATEMENT PURSUANT TO RULE 429</w:t>
      </w:r>
    </w:p>
    <w:p>
      <w:pPr>
        <w:spacing w:after="0" w:line="119" w:lineRule="exact"/>
        <w:rPr>
          <w:sz w:val="20"/>
          <w:szCs w:val="20"/>
          <w:color w:val="auto"/>
        </w:rPr>
      </w:pPr>
    </w:p>
    <w:p>
      <w:pPr>
        <w:ind w:left="320" w:right="319" w:firstLine="358"/>
        <w:spacing w:after="0" w:line="250" w:lineRule="auto"/>
        <w:rPr>
          <w:sz w:val="20"/>
          <w:szCs w:val="20"/>
          <w:color w:val="auto"/>
        </w:rPr>
      </w:pPr>
      <w:r>
        <w:rPr>
          <w:rFonts w:ascii="Times New Roman" w:cs="Times New Roman" w:eastAsia="Times New Roman" w:hAnsi="Times New Roman"/>
          <w:sz w:val="18"/>
          <w:szCs w:val="18"/>
          <w:color w:val="auto"/>
        </w:rPr>
        <w:t>The Registrant is filing a single prospectus as part of this registration statement (“Registration Statement”) pursuant to Rule 429 under the Securities Act of 1933 (the “Securities Act”). The prospectus is a combined prospectus relating to: (A) an aggregate of 56,645,073 shares of the Registrant’s common stock, par value $0.0001 per share (“Common Stock”) that are currently registered and remain unsold under the Prior Registration Statements (as defined below), consisting of: (x) (i) up to 3,260,175 shares of Common Stock that were issued and may be issued upon conversion of Series B Preferred Stock (as defined herein); (ii) up to 16,244,741 shares of Common Stock that may be issued and sold to YA II PN, Ltd., a Cayman Islands exempted company (“Yorkville”), from time to time pursuant to the Standby Equity Purchase Agreement (the “SEPA”), dated October 24, 2023, entered into with Yorkville, subject to the ownership limitations described therein; (iii) 5,657,481 shares of Common Stock held by certain stockholders party to that certain Amended and Restated Registration Rights Agreement, dated October 2, 2024 (the “A&amp;R Registration Rights Agreement”); (iv) 1,000,000 shares of Common Stock that may be issued upon exercise of the 2024 WTI Warrants (as defined herein); (v) up to 8,480,518 shares of Common Stock that were issued and may be issued upon conversion of Series C Preferred Stock (as defined herein); (vi) 300,000 shares of Common Stock that may be issued upon exercise of the 2025 WTI Warrants (as defined herein); (vii) up to 3,250,470 shares of Common Stock issued and issuable pursuant to the terms of those certain subscription agreements (the “Subscription Agreements”), dated as of October 3, 2025, entered into with certain institutions and accredited investors (the “Subscribers”), consisting of (a) 1,625,235 shares of Common Stock issued to the Subscribers and (b) 1,625,235 shares that may be issued upon exercise of the Series A Warrants (as defined herein) held by the Subscribers, in each case registered for resale by the selling securityholders identified in the prospectus herein; and (viii) 65,000 shares of Common Stock that were issued upon conversion of convertible debentures (the “Convertible Debentures”) issued to Yorkville pursuant to the Securities Purchase Agreement (as defined below); and (y) up to 18,386,688 shares of Common Stock issuable by the Registrant upon the exercise of the Innventure Warrants (as defined herein); and (B) the registration of (i) 2,333,334 additional shares of Common Stock that may be issued upon the exercise of the 2024 WTI Warrants and (ii) 700,000 additional shares of Common Stock that may be issued upon the exercise of the 2025 WTI Warrants for resale by the selling securityholders identified in the prospectus herein.</w:t>
      </w:r>
    </w:p>
    <w:p>
      <w:pPr>
        <w:spacing w:after="0" w:line="91" w:lineRule="exact"/>
        <w:rPr>
          <w:sz w:val="20"/>
          <w:szCs w:val="20"/>
          <w:color w:val="auto"/>
        </w:rPr>
      </w:pPr>
    </w:p>
    <w:p>
      <w:pPr>
        <w:ind w:left="320" w:right="439" w:firstLine="358"/>
        <w:spacing w:after="0" w:line="250" w:lineRule="auto"/>
        <w:rPr>
          <w:sz w:val="20"/>
          <w:szCs w:val="20"/>
          <w:color w:val="auto"/>
        </w:rPr>
      </w:pPr>
      <w:r>
        <w:rPr>
          <w:rFonts w:ascii="Times New Roman" w:cs="Times New Roman" w:eastAsia="Times New Roman" w:hAnsi="Times New Roman"/>
          <w:sz w:val="18"/>
          <w:szCs w:val="18"/>
          <w:color w:val="auto"/>
        </w:rPr>
        <w:t>This Registration Statement is also being filed to convert the Prior Registration Statements into a registration statement on Form S-3. Pursuant to Rule 429 under the Securities Act, this Registration Statement, upon effectiveness, will serve as a post-effective amendment (“Post-Effective Amendment”) to (i) the registration statement on Form S-1 (File No. 333-282971), which was originally filed by the Registrant with the Securities and Exchange Commission (the “SEC”) on November 4, 2024, declared effective on November 13, 2024, subsequently amended on a post-effective basis on April 15, 2025 and declared effective on April 23, 2025 (“Registration Statement I”); (ii) the registration statement on Form S-1 (File No. 333-286558), which was originally filed by the Registrant with the SEC on April 15, 2025 and declared effective on April 23, 2025 (“Registration Statement II”); and (iii) the registration statement on Form S-1 (File No. 333-291034), which was originally filed by the Registrant with the SEC on October 23, 2025 and became effective on November 12, 2025 (“Registration Statement III” and, together with Registration Statement I and Registration Statement II, the “Prior Registration Statements”) with respect to the offerings of certain unsold securities thereunder, which are not currently being terminated by the Company. Such Post-Effective Amendment shall hereafter become effective concurrently with the effectiveness of this Registration Statement in accordance with Section 8(c) of the Securities Act. The Registrant previously paid a registration fee of $23,233.52 in connection with the filing of Registration Statement I, a fee of $8,275.16 in connection with the filing of Registration Statement II, a fee of $11,177.02 in connection with the filing of Registration Statement III, and a fee of $31,649.72 in connection with the filing of the registration statement on Form S-4 (File No. 333-276714), originally declared effective by the SEC on September 10, 2024, each relating to the currently registered and unsold securities that are included in this Registration Statement in accordance with Rule 429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174625</wp:posOffset>
            </wp:positionV>
            <wp:extent cx="1092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353" w:lineRule="exact"/>
        <w:rPr>
          <w:sz w:val="20"/>
          <w:szCs w:val="20"/>
          <w:color w:val="auto"/>
        </w:rPr>
      </w:pPr>
    </w:p>
    <w:p>
      <w:pPr>
        <w:ind w:left="320" w:right="419" w:firstLine="358"/>
        <w:spacing w:after="0" w:line="258"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109855</wp:posOffset>
            </wp:positionV>
            <wp:extent cx="696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spacing w:after="0" w:line="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 w:right="80"/>
        <w:spacing w:after="0" w:line="248"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2" w:lineRule="exact"/>
        <w:rPr>
          <w:sz w:val="20"/>
          <w:szCs w:val="20"/>
          <w:color w:val="auto"/>
        </w:rPr>
      </w:pPr>
    </w:p>
    <w:p>
      <w:pPr>
        <w:ind w:left="2466"/>
        <w:spacing w:after="0"/>
        <w:rPr>
          <w:sz w:val="20"/>
          <w:szCs w:val="20"/>
          <w:color w:val="auto"/>
        </w:rPr>
      </w:pPr>
      <w:r>
        <w:rPr>
          <w:rFonts w:ascii="Times New Roman" w:cs="Times New Roman" w:eastAsia="Times New Roman" w:hAnsi="Times New Roman"/>
          <w:sz w:val="18"/>
          <w:szCs w:val="18"/>
          <w:b w:val="1"/>
          <w:bCs w:val="1"/>
          <w:color w:val="FC0014"/>
        </w:rPr>
        <w:t>SUBJECT TO COMPLETION, DATED MARCH 18, 2026</w:t>
      </w:r>
    </w:p>
    <w:p>
      <w:pPr>
        <w:spacing w:after="0" w:line="1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FC0014"/>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78740</wp:posOffset>
            </wp:positionV>
            <wp:extent cx="1979295" cy="52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79295" cy="52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59,678,407 Shares of Common Stock</w:t>
      </w:r>
    </w:p>
    <w:p>
      <w:pPr>
        <w:spacing w:after="0" w:line="99" w:lineRule="exact"/>
        <w:rPr>
          <w:sz w:val="20"/>
          <w:szCs w:val="20"/>
          <w:color w:val="auto"/>
        </w:rPr>
      </w:pPr>
    </w:p>
    <w:p>
      <w:pPr>
        <w:ind w:left="6" w:right="20" w:firstLine="358"/>
        <w:spacing w:after="0" w:line="250" w:lineRule="auto"/>
        <w:rPr>
          <w:sz w:val="20"/>
          <w:szCs w:val="20"/>
          <w:color w:val="auto"/>
        </w:rPr>
      </w:pPr>
      <w:r>
        <w:rPr>
          <w:rFonts w:ascii="Times New Roman" w:cs="Times New Roman" w:eastAsia="Times New Roman" w:hAnsi="Times New Roman"/>
          <w:sz w:val="17"/>
          <w:szCs w:val="17"/>
          <w:color w:val="auto"/>
        </w:rPr>
        <w:t>This prospectus relates to the issuance by Innventure, Inc., a Delaware corporation, of up to an aggregate of 18,386,688 shares of Common Stock issuable upon the exercise of warrants to purchase shares of Common Stock, at an exercise price of $11.50 per share, which were converted from Learn CW Warrants (as defined in this prospectus) in connection with the Business Combination (as defined herein) (the “Innventure Warrants”). We will receive the proceeds from any exercise of any Innventure Warrants for cash, which amount of aggregate proceeds, assuming the cash exercise of all Innventure Warrants, would be $214.4 million. To the extent the Innventure Warrants are exercised on a cashless basis, we will not receive any proceeds in connection with such exercise. We believe the likelihood that warrant holders will exercise their Innventure Warrants, and therefore the amount of cash proceeds that we would receive, is dependent upon the market price of our Common Stock. If the Innventure Warrants are “out of the money,” meaning the exercise price is higher than the market price of our Common Stock, the holders thereof are not likely to exercise such Innventure Warrants.</w:t>
      </w:r>
    </w:p>
    <w:p>
      <w:pPr>
        <w:spacing w:after="0" w:line="94" w:lineRule="exact"/>
        <w:rPr>
          <w:sz w:val="20"/>
          <w:szCs w:val="20"/>
          <w:color w:val="auto"/>
        </w:rPr>
      </w:pPr>
    </w:p>
    <w:p>
      <w:pPr>
        <w:ind w:left="6" w:firstLine="358"/>
        <w:spacing w:after="0" w:line="265"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(each a “Selling Stockholder” and, collectively, the “Selling Stockholders”), or their permitted transferees, of up to 41,291,719 shares of Common Stock. The shares of Common Stock to which this prospectus relates consist of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 (iv) 3,333,334 shares of Common Stock that may be issued upon exercise of warrants (the “2024 WTI Warrants”) to purchase Common Stock held by WTI Fund X, LLC and WTI Fund XI, LLC (together, the “WTI Holders”); (v) up to 8,480,518 shares of Common Stock that were issued and may be issued upon conversion of Series C Preferred Stock; (vi) up to 1,000,000 shares of Common Stock that may be issued upon exercise of warrants (the “2025 WTI Warrants”) to purchase Common Stock held by the WTI Holders; (vii) up to 3,250,470 shares of Common Stock issued and issuable pursuant to the terms of the Subscription Agreements entered into with the Subscribers, consisting of</w:t>
      </w:r>
    </w:p>
    <w:p>
      <w:pPr>
        <w:spacing w:after="0" w:line="2" w:lineRule="exact"/>
        <w:rPr>
          <w:sz w:val="20"/>
          <w:szCs w:val="20"/>
          <w:color w:val="auto"/>
        </w:rPr>
      </w:pPr>
    </w:p>
    <w:p>
      <w:pPr>
        <w:ind w:left="6" w:right="60" w:hanging="6"/>
        <w:spacing w:after="0" w:line="269" w:lineRule="auto"/>
        <w:tabs>
          <w:tab w:leader="none" w:pos="24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1,625,235 shares of Common Stock issued to the Subscribers and (b) 1,625,235 shares that may be issued upon exercise of warrants (the “Series A Warrants”) to purchase Common Stock held by the Subscribers; and (viii) 65,000 shares of Common Stock that were issued upon conversion of the Convertible Debentures issued to Yorkville pursuant to the securities purchase agreement, dated September 15, 2025 (the “Securities Purchase Agreement”), entered into with Yorkville. For more information on the Selling Stockholders, see the section entitled “Selling Stockholders.”</w:t>
      </w:r>
    </w:p>
    <w:p>
      <w:pPr>
        <w:spacing w:after="0" w:line="75" w:lineRule="exact"/>
        <w:rPr>
          <w:sz w:val="20"/>
          <w:szCs w:val="20"/>
          <w:color w:val="auto"/>
        </w:rPr>
      </w:pPr>
    </w:p>
    <w:p>
      <w:pPr>
        <w:ind w:left="6" w:right="60" w:firstLine="358"/>
        <w:spacing w:after="0" w:line="267" w:lineRule="auto"/>
        <w:rPr>
          <w:sz w:val="20"/>
          <w:szCs w:val="20"/>
          <w:color w:val="auto"/>
        </w:rPr>
      </w:pPr>
      <w:r>
        <w:rPr>
          <w:rFonts w:ascii="Times New Roman" w:cs="Times New Roman" w:eastAsia="Times New Roman" w:hAnsi="Times New Roman"/>
          <w:sz w:val="17"/>
          <w:szCs w:val="17"/>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the remaining approximately $66.6 million in aggregate gross proceeds from sales of shares of Common Stock to Yorkville pursuant to the SEPA, from time to time after the date of the Registration Statement that includes this prospectus and subject to the satisfaction of certain conditions in the SEPA, (ii) up to approximately $13.0 million of proceeds assuming the exercise of all Series A Warrants for cash, and (iii) de minimis gross proceeds upon exercise of the 2024 WTI Warrants and the 2025 WTI Warrants for cash. To the extent the Series A Warrants are exercised on a cashless basis, we will not receive any proceeds in connection with such exercise. We believe the likelihood that warrant holders will exercise their Series A Warrants, and therefore the amount of cash proceeds that we would receive, is dependent upon the market price of our Common Stock. If the Series A Warrants are “out of the money,” meaning the exercise price is higher than the market price of our Common Stock, the holders thereof are not likely to exercise such Series A Warrants.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290" w:lineRule="exact"/>
        <w:rPr>
          <w:sz w:val="20"/>
          <w:szCs w:val="20"/>
          <w:color w:val="auto"/>
        </w:rPr>
      </w:pPr>
    </w:p>
    <w:p>
      <w:pPr>
        <w:ind w:left="6" w:right="20" w:firstLine="358"/>
        <w:spacing w:after="0" w:line="276" w:lineRule="auto"/>
        <w:rPr>
          <w:sz w:val="20"/>
          <w:szCs w:val="20"/>
          <w:color w:val="auto"/>
        </w:rPr>
      </w:pPr>
      <w:r>
        <w:rPr>
          <w:rFonts w:ascii="Times New Roman" w:cs="Times New Roman" w:eastAsia="Times New Roman" w:hAnsi="Times New Roman"/>
          <w:sz w:val="17"/>
          <w:szCs w:val="17"/>
          <w:color w:val="auto"/>
        </w:rPr>
        <w:t>Our registration of the securities covered by this prospectus does not mean that either we or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ind w:left="6" w:right="660" w:firstLine="358"/>
        <w:spacing w:after="0" w:line="302" w:lineRule="auto"/>
        <w:rPr>
          <w:sz w:val="20"/>
          <w:szCs w:val="20"/>
          <w:color w:val="auto"/>
        </w:rPr>
      </w:pPr>
      <w:r>
        <w:rPr>
          <w:rFonts w:ascii="Times New Roman" w:cs="Times New Roman" w:eastAsia="Times New Roman" w:hAnsi="Times New Roman"/>
          <w:sz w:val="17"/>
          <w:szCs w:val="17"/>
          <w:color w:val="auto"/>
        </w:rPr>
        <w:t>You should carefully read this prospectus and any accompanying prospectus supplement, together with the documents we incorporate by reference, before you invest in our Common Stock.</w:t>
      </w:r>
    </w:p>
    <w:p>
      <w:pPr>
        <w:spacing w:after="0" w:line="45" w:lineRule="exact"/>
        <w:rPr>
          <w:sz w:val="20"/>
          <w:szCs w:val="20"/>
          <w:color w:val="auto"/>
        </w:rPr>
      </w:pPr>
    </w:p>
    <w:p>
      <w:pPr>
        <w:ind w:left="6" w:right="240" w:firstLine="358"/>
        <w:spacing w:after="0" w:line="302" w:lineRule="auto"/>
        <w:rPr>
          <w:sz w:val="20"/>
          <w:szCs w:val="20"/>
          <w:color w:val="auto"/>
        </w:rPr>
      </w:pPr>
      <w:r>
        <w:rPr>
          <w:rFonts w:ascii="Times New Roman" w:cs="Times New Roman" w:eastAsia="Times New Roman" w:hAnsi="Times New Roman"/>
          <w:sz w:val="17"/>
          <w:szCs w:val="17"/>
          <w:color w:val="auto"/>
        </w:rPr>
        <w:t>Our Common Stock is listed on the Nasdaq Global Market (“NASDAQ”) under the symbol “INV.” On March 17, 2026, the last reported sales price of our Common Stock was $3.87 per share.</w:t>
      </w:r>
    </w:p>
    <w:p>
      <w:pPr>
        <w:spacing w:after="0" w:line="43" w:lineRule="exact"/>
        <w:rPr>
          <w:sz w:val="20"/>
          <w:szCs w:val="20"/>
          <w:color w:val="auto"/>
        </w:rPr>
      </w:pPr>
    </w:p>
    <w:p>
      <w:pPr>
        <w:ind w:left="6" w:right="460" w:firstLine="358"/>
        <w:spacing w:after="0" w:line="304" w:lineRule="auto"/>
        <w:rPr>
          <w:sz w:val="20"/>
          <w:szCs w:val="20"/>
          <w:color w:val="auto"/>
        </w:rPr>
      </w:pPr>
      <w:r>
        <w:rPr>
          <w:rFonts w:ascii="Times New Roman" w:cs="Times New Roman" w:eastAsia="Times New Roman" w:hAnsi="Times New Roman"/>
          <w:sz w:val="17"/>
          <w:szCs w:val="17"/>
          <w:b w:val="1"/>
          <w:bCs w:val="1"/>
          <w:color w:val="auto"/>
        </w:rPr>
        <w:t>We are an “emerging growth company” as defined under the U.S. federal securities laws and, as such, have elected to comply with certain reduced public company reporting requirements.</w:t>
      </w:r>
    </w:p>
    <w:p>
      <w:pPr>
        <w:spacing w:after="0" w:line="42" w:lineRule="exact"/>
        <w:rPr>
          <w:sz w:val="20"/>
          <w:szCs w:val="20"/>
          <w:color w:val="auto"/>
        </w:rPr>
      </w:pPr>
    </w:p>
    <w:p>
      <w:pPr>
        <w:ind w:left="6" w:right="200" w:firstLine="358"/>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Stock is highly speculative and involves a high degree of risk. See “Risk Factors” beginning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and any risk factors described in any applicable prospectus supplement and in the documents we incorporate by reference.</w:t>
      </w:r>
    </w:p>
    <w:p>
      <w:pPr>
        <w:spacing w:after="0" w:line="58" w:lineRule="exact"/>
        <w:rPr>
          <w:sz w:val="20"/>
          <w:szCs w:val="20"/>
          <w:color w:val="auto"/>
        </w:rPr>
      </w:pPr>
    </w:p>
    <w:p>
      <w:pPr>
        <w:ind w:left="6" w:right="240" w:firstLine="358"/>
        <w:spacing w:after="0" w:line="304"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passed upon the accuracy or adequacy of this prospectus. Any representation to the contrary is a criminal offense.</w:t>
      </w:r>
    </w:p>
    <w:p>
      <w:pPr>
        <w:sectPr>
          <w:pgSz w:w="11900" w:h="16876" w:orient="portrait"/>
          <w:cols w:equalWidth="0" w:num="1">
            <w:col w:w="9466"/>
          </w:cols>
          <w:pgMar w:left="1214" w:top="263" w:right="1219" w:bottom="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135255</wp:posOffset>
            </wp:positionV>
            <wp:extent cx="696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tbl>
      <w:tblPr>
        <w:tblLayout w:type="fixed"/>
        <w:tblInd w:w="320" w:type="dxa"/>
        <w:tblCellMar>
          <w:top w:w="0" w:type="dxa"/>
          <w:left w:w="0" w:type="dxa"/>
          <w:bottom w:w="0" w:type="dxa"/>
          <w:right w:w="0" w:type="dxa"/>
        </w:tblCellMar>
      </w:tblPr>
      <w:tr>
        <w:trPr>
          <w:trHeight w:val="161"/>
        </w:trPr>
        <w:tc>
          <w:tcPr>
            <w:tcW w:w="77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3"/>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82"/>
        </w:trPr>
        <w:tc>
          <w:tcPr>
            <w:tcW w:w="77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EE"/>
              </w:rPr>
              <w:t>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7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w:t>
            </w:r>
          </w:p>
        </w:tc>
        <w:tc>
          <w:tcPr>
            <w:tcW w:w="4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7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6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188"/>
        </w:trPr>
        <w:tc>
          <w:tcPr>
            <w:tcW w:w="206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5680" w:type="dxa"/>
            <w:vAlign w:val="bottom"/>
            <w:tcBorders>
              <w:top w:val="single" w:sz="8" w:color="CCEEFF"/>
            </w:tcBorders>
            <w:gridSpan w:val="7"/>
          </w:tcPr>
          <w:p>
            <w:pPr>
              <w:spacing w:after="0"/>
              <w:rPr>
                <w:sz w:val="16"/>
                <w:szCs w:val="16"/>
                <w:color w:val="auto"/>
              </w:rPr>
            </w:pPr>
          </w:p>
        </w:tc>
        <w:tc>
          <w:tcPr>
            <w:tcW w:w="52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7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90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63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1440" w:type="dxa"/>
            <w:vAlign w:val="bottom"/>
          </w:tcPr>
          <w:p>
            <w:pPr>
              <w:spacing w:after="0"/>
              <w:rPr>
                <w:sz w:val="16"/>
                <w:szCs w:val="16"/>
                <w:color w:val="auto"/>
              </w:rPr>
            </w:pPr>
          </w:p>
        </w:tc>
        <w:tc>
          <w:tcPr>
            <w:tcW w:w="620" w:type="dxa"/>
            <w:vAlign w:val="bottom"/>
            <w:gridSpan w:val="3"/>
          </w:tcPr>
          <w:p>
            <w:pPr>
              <w:ind w:left="44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7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40" w:type="dxa"/>
            <w:vAlign w:val="bottom"/>
            <w:gridSpan w:val="4"/>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24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526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0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PLAN OF DISTRIBUTION</w:t>
            </w:r>
          </w:p>
        </w:tc>
        <w:tc>
          <w:tcPr>
            <w:tcW w:w="5700" w:type="dxa"/>
            <w:vAlign w:val="bottom"/>
            <w:gridSpan w:val="8"/>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00" w:type="dxa"/>
            <w:vAlign w:val="bottom"/>
            <w:gridSpan w:val="8"/>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EXPERTS</w:t>
            </w:r>
          </w:p>
        </w:tc>
        <w:tc>
          <w:tcPr>
            <w:tcW w:w="6980" w:type="dxa"/>
            <w:vAlign w:val="bottom"/>
            <w:gridSpan w:val="14"/>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7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0" w:type="dxa"/>
            <w:vAlign w:val="bottom"/>
            <w:gridSpan w:val="4"/>
          </w:tcPr>
          <w:p>
            <w:pPr>
              <w:ind w:left="440"/>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90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7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gridSpan w:val="4"/>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19" w:lineRule="exact"/>
        <w:rPr>
          <w:sz w:val="20"/>
          <w:szCs w:val="20"/>
          <w:color w:val="auto"/>
        </w:rPr>
      </w:pPr>
    </w:p>
    <w:p>
      <w:pPr>
        <w:ind w:left="320" w:right="419" w:firstLine="35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Under this shelf registration process, we and the Selling Stockholders may, from time to time, issue, offer and sell, as applicable, any combination of the securities described in this prospectus in one or more offerings. We may use the shelf registration statement to issue 18,386,688 shares of Common Stock issuable upon the exercise of the Innventure Warrants. The Selling Stockholders may use the shelf registration statement to sell up to an aggregate of up to 41,291,719 shares of Common Stock from time to time through any means described in the section entitled “Plan of Distribution.” More specific terms of any securities that the Selling Stockholders offer and sell may be provided in a prospectus supplement that describes, among other things, the specific amounts and prices of the shares of Common Stock being offered and the terms of the offering.</w:t>
      </w:r>
    </w:p>
    <w:p>
      <w:pPr>
        <w:spacing w:after="0" w:line="79" w:lineRule="exact"/>
        <w:rPr>
          <w:sz w:val="20"/>
          <w:szCs w:val="20"/>
          <w:color w:val="auto"/>
        </w:rPr>
      </w:pPr>
    </w:p>
    <w:p>
      <w:pPr>
        <w:ind w:left="320" w:right="419" w:firstLine="358"/>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the sale by us or the Selling Stockholders of the securities offered by us or them described in this prospectus, except with respect to (i) up to approximately $211.4 million of proceeds assuming the exercise of all Innventure Warrants for cash; (ii) up to the remaining approximately $66.6 million in aggregate gross proceeds from sales of shares of Common Stock to Yorkville pursuant to the SEPA, from time to time after the date of the Registration Statement that includes this prospectus and subject to the satisfaction of certain conditions in the SEPA; (iii) up to $13.0 million of proceeds assuming the exercise of all Series A Warrants for cash; and (iv) de minimis gross proceeds upon the exercise of the 2024 WTI Warrants and the 2025 WTI Warrants for cash.</w:t>
      </w:r>
    </w:p>
    <w:p>
      <w:pPr>
        <w:spacing w:after="0" w:line="82" w:lineRule="exact"/>
        <w:rPr>
          <w:sz w:val="20"/>
          <w:szCs w:val="20"/>
          <w:color w:val="auto"/>
        </w:rPr>
      </w:pPr>
    </w:p>
    <w:p>
      <w:pPr>
        <w:ind w:left="320" w:right="479" w:firstLine="358"/>
        <w:spacing w:after="0" w:line="256"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79" w:lineRule="exact"/>
        <w:rPr>
          <w:sz w:val="20"/>
          <w:szCs w:val="20"/>
          <w:color w:val="auto"/>
        </w:rPr>
      </w:pPr>
    </w:p>
    <w:p>
      <w:pPr>
        <w:ind w:left="320" w:right="439" w:firstLine="358"/>
        <w:spacing w:after="0" w:line="25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applicable prospectus supplement or any related free writing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and any accompanying prospectus supplement is not an offer to sell securities, and it is not soliciting an offer to buy securities, in any jurisdiction where the offer or sale is not permitted. You should assume that the information appearing in this prospectus or any applicable prospectus supplement is accurate only as of the date on the front cover of such document, regardless of the time of delivery of this prospectus or time of any sale of a security.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20" w:right="359" w:firstLine="358"/>
        <w:spacing w:after="0" w:line="259"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74" w:lineRule="exact"/>
        <w:rPr>
          <w:sz w:val="20"/>
          <w:szCs w:val="20"/>
          <w:color w:val="auto"/>
        </w:rPr>
      </w:pPr>
    </w:p>
    <w:p>
      <w:pPr>
        <w:ind w:left="320" w:right="359" w:firstLine="358"/>
        <w:spacing w:after="0" w:line="253"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LCW Merger Sub merged with and into Learn CW (the “LCW Merger”), with Learn CW as the surviving company of the LCW Merger,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20" w:right="339"/>
        <w:spacing w:after="0" w:line="256" w:lineRule="auto"/>
        <w:rPr>
          <w:sz w:val="20"/>
          <w:szCs w:val="20"/>
          <w:color w:val="auto"/>
        </w:rPr>
      </w:pPr>
      <w:r>
        <w:rPr>
          <w:rFonts w:ascii="Times New Roman" w:cs="Times New Roman" w:eastAsia="Times New Roman" w:hAnsi="Times New Roman"/>
          <w:sz w:val="18"/>
          <w:szCs w:val="18"/>
          <w:color w:val="auto"/>
        </w:rPr>
        <w:t>Innventure Merger Sub merged with and into Innventure LLC (the “Innventure Merger” and, together with the LCW Merger, the “Mergers”), with Innventure LLC as the surviving entity of the Innventure Merger. Following the Mergers, each of Learn CW and Innventure LLC became subsidiaries of Holdco, and Holdco became a publicly traded company. At the Closing, Holdco changed its name to “Innventure, Inc.” Innventure, Inc.’s Common Stock is listed on NASDAQ under the symbol “INV”.</w:t>
      </w:r>
    </w:p>
    <w:p>
      <w:pPr>
        <w:spacing w:after="0" w:line="79" w:lineRule="exact"/>
        <w:rPr>
          <w:sz w:val="20"/>
          <w:szCs w:val="20"/>
          <w:color w:val="auto"/>
        </w:rPr>
      </w:pPr>
    </w:p>
    <w:p>
      <w:pPr>
        <w:ind w:left="320" w:right="699" w:firstLine="358"/>
        <w:spacing w:after="0" w:line="264"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69" w:lineRule="exact"/>
        <w:rPr>
          <w:sz w:val="20"/>
          <w:szCs w:val="20"/>
          <w:color w:val="auto"/>
        </w:rPr>
      </w:pPr>
    </w:p>
    <w:p>
      <w:pPr>
        <w:ind w:left="320" w:right="539" w:firstLine="358"/>
        <w:spacing w:after="0" w:line="310" w:lineRule="auto"/>
        <w:rPr>
          <w:sz w:val="20"/>
          <w:szCs w:val="20"/>
          <w:color w:val="auto"/>
        </w:rPr>
      </w:pPr>
      <w:r>
        <w:rPr>
          <w:rFonts w:ascii="Times New Roman" w:cs="Times New Roman" w:eastAsia="Times New Roman" w:hAnsi="Times New Roman"/>
          <w:sz w:val="17"/>
          <w:szCs w:val="17"/>
          <w:color w:val="auto"/>
        </w:rPr>
        <w:t>This prospectus includes trademarks, service marks and trade names owned by us or other companies. All trademarks, service marks and trade names included in this prospectus are the property of their respective owners.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8152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6735" cy="81527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7" w:lineRule="exact"/>
        <w:rPr>
          <w:sz w:val="20"/>
          <w:szCs w:val="20"/>
          <w:color w:val="auto"/>
        </w:rPr>
      </w:pPr>
    </w:p>
    <w:p>
      <w:pPr>
        <w:ind w:left="320" w:right="319" w:firstLine="35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“Risk Factors” beginning on page </w:t>
      </w:r>
      <w:r>
        <w:rPr>
          <w:rFonts w:ascii="Times New Roman" w:cs="Times New Roman" w:eastAsia="Times New Roman" w:hAnsi="Times New Roman"/>
          <w:sz w:val="17"/>
          <w:szCs w:val="17"/>
          <w:i w:val="1"/>
          <w:iCs w:val="1"/>
          <w:u w:val="single" w:color="auto"/>
          <w:color w:val="0000EE"/>
        </w:rPr>
        <w:t>8</w:t>
      </w:r>
      <w:r>
        <w:rPr>
          <w:rFonts w:ascii="Times New Roman" w:cs="Times New Roman" w:eastAsia="Times New Roman" w:hAnsi="Times New Roman"/>
          <w:sz w:val="17"/>
          <w:szCs w:val="17"/>
          <w:i w:val="1"/>
          <w:iCs w:val="1"/>
          <w:color w:val="auto"/>
        </w:rPr>
        <w:t xml:space="preserve"> and the financial statements and related notes included in this prospectus.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19" w:lineRule="exact"/>
        <w:rPr>
          <w:sz w:val="20"/>
          <w:szCs w:val="20"/>
          <w:color w:val="auto"/>
        </w:rPr>
      </w:pPr>
    </w:p>
    <w:p>
      <w:pPr>
        <w:ind w:left="320" w:right="419" w:firstLine="358"/>
        <w:spacing w:after="0" w:line="251"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w:t>
      </w:r>
    </w:p>
    <w:p>
      <w:pPr>
        <w:spacing w:after="0" w:line="88" w:lineRule="exact"/>
        <w:rPr>
          <w:sz w:val="20"/>
          <w:szCs w:val="20"/>
          <w:color w:val="auto"/>
        </w:rPr>
      </w:pPr>
    </w:p>
    <w:p>
      <w:pPr>
        <w:ind w:left="320" w:right="319" w:firstLine="358"/>
        <w:spacing w:after="0" w:line="252" w:lineRule="auto"/>
        <w:rPr>
          <w:sz w:val="20"/>
          <w:szCs w:val="20"/>
          <w:color w:val="auto"/>
        </w:rPr>
      </w:pPr>
      <w:r>
        <w:rPr>
          <w:rFonts w:ascii="Times New Roman" w:cs="Times New Roman" w:eastAsia="Times New Roman" w:hAnsi="Times New Roman"/>
          <w:sz w:val="18"/>
          <w:szCs w:val="18"/>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9" w:lineRule="exact"/>
        <w:rPr>
          <w:sz w:val="20"/>
          <w:szCs w:val="20"/>
          <w:color w:val="auto"/>
        </w:rPr>
      </w:pPr>
    </w:p>
    <w:p>
      <w:pPr>
        <w:ind w:left="320" w:right="399" w:firstLine="358"/>
        <w:spacing w:after="0" w:line="254" w:lineRule="auto"/>
        <w:rPr>
          <w:sz w:val="20"/>
          <w:szCs w:val="20"/>
          <w:color w:val="auto"/>
        </w:rPr>
      </w:pPr>
      <w:r>
        <w:rPr>
          <w:rFonts w:ascii="Times New Roman" w:cs="Times New Roman" w:eastAsia="Times New Roman" w:hAnsi="Times New Roman"/>
          <w:sz w:val="18"/>
          <w:szCs w:val="18"/>
          <w:color w:val="auto"/>
        </w:rPr>
        <w:t>On the Closing Date, Learn CW and Innventure LLC consummated the Business Combination pursuant to the terms of the Business Combination Agreement previously entered into on October 24, 2023 (the “Business Combination Agreement”). Following the Closing, both Learn CW and Innventure LLC became subsidiaries of Holdco, and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Concurrently with the parties entering into the Business Combination Agreement, the Company entered into the</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SEPA with Yorkville. Pursuant to the SEPA and subject to certain conditions and limitations, the Company has the</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option, but not the obligation, to sell to Yorkville, and Yorkville must subscribe for, an aggregate amount of up to</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$75.0 million of Common Stock, at the Company’s request any time during the commitment period commencing on</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Closing Date and continuing for a term of three years.</w:t>
      </w:r>
    </w:p>
    <w:p>
      <w:pPr>
        <w:spacing w:after="0" w:line="97" w:lineRule="exact"/>
        <w:rPr>
          <w:sz w:val="20"/>
          <w:szCs w:val="20"/>
          <w:color w:val="auto"/>
        </w:rPr>
      </w:pPr>
    </w:p>
    <w:p>
      <w:pPr>
        <w:ind w:left="320" w:right="379" w:firstLine="358"/>
        <w:spacing w:after="0" w:line="280"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55" w:lineRule="exact"/>
        <w:rPr>
          <w:sz w:val="20"/>
          <w:szCs w:val="20"/>
          <w:color w:val="auto"/>
        </w:rPr>
      </w:pPr>
    </w:p>
    <w:p>
      <w:pPr>
        <w:ind w:left="320" w:right="379" w:firstLine="358"/>
        <w:spacing w:after="0" w:line="310" w:lineRule="auto"/>
        <w:rPr>
          <w:sz w:val="20"/>
          <w:szCs w:val="20"/>
          <w:color w:val="auto"/>
        </w:rPr>
      </w:pPr>
      <w:r>
        <w:rPr>
          <w:rFonts w:ascii="Times New Roman" w:cs="Times New Roman" w:eastAsia="Times New Roman" w:hAnsi="Times New Roman"/>
          <w:sz w:val="17"/>
          <w:szCs w:val="17"/>
          <w:color w:val="auto"/>
        </w:rPr>
        <w:t>Each advance the Company issues in writing to Yorkville under the SEPA (each, an “Advance,” and notice of such request, an “Advance Notice”) may be in an amount of Common Stock up to the greater of (i) $10.0 million or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8092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6735" cy="80924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 w:right="379" w:firstLine="10"/>
        <w:spacing w:after="0" w:line="271" w:lineRule="auto"/>
        <w:tabs>
          <w:tab w:leader="none" w:pos="58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w:t>
      </w:r>
    </w:p>
    <w:p>
      <w:pPr>
        <w:spacing w:after="0" w:line="67" w:lineRule="exact"/>
        <w:rPr>
          <w:sz w:val="20"/>
          <w:szCs w:val="20"/>
          <w:color w:val="auto"/>
        </w:rPr>
      </w:pPr>
    </w:p>
    <w:p>
      <w:pPr>
        <w:ind w:left="320" w:right="1059" w:firstLine="358"/>
        <w:spacing w:after="0" w:line="280"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53" w:lineRule="exact"/>
        <w:rPr>
          <w:sz w:val="20"/>
          <w:szCs w:val="20"/>
          <w:color w:val="auto"/>
        </w:rPr>
      </w:pPr>
    </w:p>
    <w:p>
      <w:pPr>
        <w:jc w:val="both"/>
        <w:ind w:left="1040" w:right="499" w:hanging="352"/>
        <w:spacing w:after="0" w:line="265"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Limitation</w:t>
      </w:r>
      <w:r>
        <w:rPr>
          <w:rFonts w:ascii="Times New Roman" w:cs="Times New Roman" w:eastAsia="Times New Roman" w:hAnsi="Times New Roman"/>
          <w:sz w:val="18"/>
          <w:szCs w:val="18"/>
          <w:color w:val="auto"/>
        </w:rPr>
        <w:t>: Yorkville shall not purchase or acquire any shares of Common Stock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SEPA that would result in it and its affiliates (on an aggregated basis) beneficially owning more than 9.99% of the then outstanding voting power or number of shares of Common Stock;</w:t>
      </w:r>
    </w:p>
    <w:p>
      <w:pPr>
        <w:spacing w:after="0" w:line="66" w:lineRule="exact"/>
        <w:rPr>
          <w:rFonts w:ascii="Times New Roman" w:cs="Times New Roman" w:eastAsia="Times New Roman" w:hAnsi="Times New Roman"/>
          <w:sz w:val="18"/>
          <w:szCs w:val="18"/>
          <w:color w:val="auto"/>
        </w:rPr>
      </w:pPr>
    </w:p>
    <w:p>
      <w:pPr>
        <w:jc w:val="both"/>
        <w:ind w:left="1040" w:right="639" w:hanging="352"/>
        <w:spacing w:after="0" w:line="265"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Limitation</w:t>
      </w:r>
      <w:r>
        <w:rPr>
          <w:rFonts w:ascii="Times New Roman" w:cs="Times New Roman" w:eastAsia="Times New Roman" w:hAnsi="Times New Roman"/>
          <w:sz w:val="18"/>
          <w:szCs w:val="18"/>
          <w:color w:val="auto"/>
        </w:rPr>
        <w:t>: In no event shall an Advance exceed the amount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under an effective registration statement that provides for the resale from time to time of the shares of Common Stock sold pursuant the SEPA;</w:t>
      </w:r>
    </w:p>
    <w:p>
      <w:pPr>
        <w:spacing w:after="0" w:line="66" w:lineRule="exact"/>
        <w:rPr>
          <w:rFonts w:ascii="Times New Roman" w:cs="Times New Roman" w:eastAsia="Times New Roman" w:hAnsi="Times New Roman"/>
          <w:sz w:val="18"/>
          <w:szCs w:val="18"/>
          <w:color w:val="auto"/>
        </w:rPr>
      </w:pPr>
    </w:p>
    <w:p>
      <w:pPr>
        <w:ind w:left="1040" w:right="379" w:hanging="352"/>
        <w:spacing w:after="0" w:line="255"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Limitation</w:t>
      </w:r>
      <w:r>
        <w:rPr>
          <w:rFonts w:ascii="Times New Roman" w:cs="Times New Roman" w:eastAsia="Times New Roman" w:hAnsi="Times New Roman"/>
          <w:sz w:val="18"/>
          <w:szCs w:val="18"/>
          <w:color w:val="auto"/>
        </w:rPr>
        <w:t>: In certain instances, if the total number of Common Stock traded on NASDAQ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period 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77" w:lineRule="exact"/>
        <w:rPr>
          <w:rFonts w:ascii="Times New Roman" w:cs="Times New Roman" w:eastAsia="Times New Roman" w:hAnsi="Times New Roman"/>
          <w:sz w:val="18"/>
          <w:szCs w:val="18"/>
          <w:color w:val="auto"/>
        </w:rPr>
      </w:pPr>
    </w:p>
    <w:p>
      <w:pPr>
        <w:ind w:left="1040" w:right="399" w:hanging="352"/>
        <w:spacing w:after="0" w:line="25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Acceptable Price</w:t>
      </w:r>
      <w:r>
        <w:rPr>
          <w:rFonts w:ascii="Times New Roman" w:cs="Times New Roman" w:eastAsia="Times New Roman" w:hAnsi="Times New Roman"/>
          <w:sz w:val="18"/>
          <w:szCs w:val="18"/>
          <w:color w:val="auto"/>
        </w:rPr>
        <w:t>: If the Company notifies Yorkville of a minimum acceptable price (“MAP”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SEPA), then, if during the applicable period the VWAP of the Common Stock is below the specified MAP or there is no VWAP, the amount of Common Stock set forth in the Advance will be reduced by one third (1/3rd); provided, however, that this lower amount may be increased if certain conditions are met.</w:t>
      </w:r>
    </w:p>
    <w:p>
      <w:pPr>
        <w:spacing w:after="0" w:line="76" w:lineRule="exact"/>
        <w:rPr>
          <w:sz w:val="20"/>
          <w:szCs w:val="20"/>
          <w:color w:val="auto"/>
        </w:rPr>
      </w:pPr>
    </w:p>
    <w:p>
      <w:pPr>
        <w:ind w:left="320" w:right="399" w:firstLine="358"/>
        <w:spacing w:after="0" w:line="255"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 made payment of Advances equal to $75.0 million. As of March 13, 2026, the Company has issued Yorkville 1,273,566 shares of Common Stock for a total amount of $8,402,213.50 pursuant to the terms of the SEPA.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19" w:lineRule="exact"/>
        <w:rPr>
          <w:sz w:val="20"/>
          <w:szCs w:val="20"/>
          <w:color w:val="auto"/>
        </w:rPr>
      </w:pPr>
    </w:p>
    <w:p>
      <w:pPr>
        <w:ind w:left="320" w:right="379" w:firstLine="358"/>
        <w:spacing w:after="0" w:line="254"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79" w:lineRule="exact"/>
        <w:rPr>
          <w:sz w:val="20"/>
          <w:szCs w:val="20"/>
          <w:color w:val="auto"/>
        </w:rPr>
      </w:pPr>
    </w:p>
    <w:p>
      <w:pPr>
        <w:ind w:left="320" w:right="339" w:firstLine="358"/>
        <w:spacing w:after="0" w:line="253" w:lineRule="auto"/>
        <w:rPr>
          <w:sz w:val="20"/>
          <w:szCs w:val="20"/>
          <w:color w:val="auto"/>
        </w:rPr>
      </w:pPr>
      <w:r>
        <w:rPr>
          <w:rFonts w:ascii="Times New Roman" w:cs="Times New Roman" w:eastAsia="Times New Roman" w:hAnsi="Times New Roman"/>
          <w:sz w:val="18"/>
          <w:szCs w:val="18"/>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parties, including certain indemnification obligations of the Series B Investors. The representations, warranties, and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8067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6735" cy="80670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 w:right="359"/>
        <w:spacing w:after="0" w:line="255" w:lineRule="auto"/>
        <w:rPr>
          <w:sz w:val="20"/>
          <w:szCs w:val="20"/>
          <w:color w:val="auto"/>
        </w:rPr>
      </w:pPr>
      <w:r>
        <w:rPr>
          <w:rFonts w:ascii="Times New Roman" w:cs="Times New Roman" w:eastAsia="Times New Roman" w:hAnsi="Times New Roman"/>
          <w:sz w:val="18"/>
          <w:szCs w:val="18"/>
          <w:color w:val="auto"/>
        </w:rPr>
        <w:t>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SEC under the Securities Act, covering the resale of the shares of Common Stock issuable upon conversion of Series B Preferred Stock within 120 days from the original issuance date.</w:t>
      </w:r>
    </w:p>
    <w:p>
      <w:pPr>
        <w:spacing w:after="0" w:line="78" w:lineRule="exact"/>
        <w:rPr>
          <w:sz w:val="20"/>
          <w:szCs w:val="20"/>
          <w:color w:val="auto"/>
        </w:rPr>
      </w:pPr>
    </w:p>
    <w:p>
      <w:pPr>
        <w:ind w:left="320" w:right="319" w:firstLine="358"/>
        <w:spacing w:after="0" w:line="251" w:lineRule="auto"/>
        <w:rPr>
          <w:sz w:val="20"/>
          <w:szCs w:val="20"/>
          <w:color w:val="auto"/>
        </w:rPr>
      </w:pPr>
      <w:r>
        <w:rPr>
          <w:rFonts w:ascii="Times New Roman" w:cs="Times New Roman" w:eastAsia="Times New Roman" w:hAnsi="Times New Roman"/>
          <w:sz w:val="18"/>
          <w:szCs w:val="18"/>
          <w:color w:val="auto"/>
        </w:rPr>
        <w:t>Pursuant to the Certificate of Designation of Series B Preferred Stock, dated October 2, 2024, of the Company,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“Series B Maturity Date”) and (ii) an optional conversion, at the election of the holder, at any time prior to the Series B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1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March 13, 2026, 35,792 shares of Series B Preferred Stock were issued and outstanding.</w:t>
      </w:r>
    </w:p>
    <w:p>
      <w:pPr>
        <w:spacing w:after="0" w:line="3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Innventure Warrants</w:t>
      </w:r>
    </w:p>
    <w:p>
      <w:pPr>
        <w:spacing w:after="0" w:line="119" w:lineRule="exact"/>
        <w:rPr>
          <w:sz w:val="20"/>
          <w:szCs w:val="20"/>
          <w:color w:val="auto"/>
        </w:rPr>
      </w:pPr>
    </w:p>
    <w:p>
      <w:pPr>
        <w:ind w:left="320" w:right="399" w:firstLine="358"/>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that certain Warrant Agreement (the “Warrant Agreement”), dated as of October 12, 2021, by and between Learn CW and Equiniti Trust Company, LLC (f/k/a American Stock Transfer &amp; Trust Company, LLC), and each of the outstanding public warrants and outstanding private placement warrants (collectively, the “Learn CW Warrants”) to acquire one Class A ordinary share, par value $0.0001 per share, of Learn CW (a “Learn CW Ordinary Share”) were, pursuant to their terms, converted into warrants to acquire, subject to substantially the same terms and conditions as were applicable under the applicable Learn CW Warrant, the number of shares of Innventure’s Common Stock equal to the number of Learn CW Ordinary Shares for which such Learn CW Warrants shall have been exercisable.</w:t>
      </w:r>
    </w:p>
    <w:p>
      <w:pPr>
        <w:spacing w:after="0" w:line="82" w:lineRule="exact"/>
        <w:rPr>
          <w:sz w:val="20"/>
          <w:szCs w:val="20"/>
          <w:color w:val="auto"/>
        </w:rPr>
      </w:pPr>
    </w:p>
    <w:p>
      <w:pPr>
        <w:ind w:left="320" w:right="319" w:firstLine="358"/>
        <w:spacing w:after="0" w:line="254" w:lineRule="auto"/>
        <w:rPr>
          <w:sz w:val="20"/>
          <w:szCs w:val="20"/>
          <w:color w:val="auto"/>
        </w:rPr>
      </w:pPr>
      <w:r>
        <w:rPr>
          <w:rFonts w:ascii="Times New Roman" w:cs="Times New Roman" w:eastAsia="Times New Roman" w:hAnsi="Times New Roman"/>
          <w:sz w:val="18"/>
          <w:szCs w:val="18"/>
          <w:color w:val="auto"/>
        </w:rPr>
        <w:t>Each whole Innventure Warrant entitles the registered holder to purchase one share of Common Stock at a price of $11.50 per share, subject to adjustment as discussed below, except as discussed in the immediately following paragraph. Pursuant to the Warrant Agreement, an Innventure Warrant holder may exercise its Innventure Warrants only for a whole number of shares of Common Stock. This means only a whole Innventure Warrant may be exercised at a given time by an Innventure Warrant holder. The Innventure Warrants will expire five years after the completion of the Business Combination, at 5:00 p.m., New York City time, or earlier upon redemption or liquidation.</w:t>
      </w:r>
    </w:p>
    <w:p>
      <w:pPr>
        <w:spacing w:after="0" w:line="79" w:lineRule="exact"/>
        <w:rPr>
          <w:sz w:val="20"/>
          <w:szCs w:val="20"/>
          <w:color w:val="auto"/>
        </w:rPr>
      </w:pPr>
    </w:p>
    <w:p>
      <w:pPr>
        <w:ind w:left="320" w:right="319" w:firstLine="358"/>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an Innventure Warrant and will have no obligation to settle such Innventure Warrant exercise unless a registration statement under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an Innventure Warrant, the holder of such Innventure Warrant will not be entitled to exercise such Innventure Warrant and such Innventure Warrant may have no value and expire worthless. In no event will we be required to net cash settle any Innventure Warrant.</w:t>
      </w:r>
    </w:p>
    <w:p>
      <w:pPr>
        <w:spacing w:after="0" w:line="82" w:lineRule="exact"/>
        <w:rPr>
          <w:sz w:val="20"/>
          <w:szCs w:val="20"/>
          <w:color w:val="auto"/>
        </w:rPr>
      </w:pPr>
    </w:p>
    <w:p>
      <w:pPr>
        <w:ind w:left="320" w:right="479" w:firstLine="358"/>
        <w:spacing w:after="0" w:line="264" w:lineRule="auto"/>
        <w:rPr>
          <w:sz w:val="20"/>
          <w:szCs w:val="20"/>
          <w:color w:val="auto"/>
        </w:rPr>
      </w:pPr>
      <w:r>
        <w:rPr>
          <w:rFonts w:ascii="Times New Roman" w:cs="Times New Roman" w:eastAsia="Times New Roman" w:hAnsi="Times New Roman"/>
          <w:sz w:val="18"/>
          <w:szCs w:val="18"/>
          <w:color w:val="auto"/>
        </w:rPr>
        <w:t>No fractional shares will be issued upon exercise. If, upon exercise, a holder would be entitled to receive a fractional interest in a share, we will round down to the nearest whole number of the number of shares to be issued to the holder.</w:t>
      </w:r>
    </w:p>
    <w:p>
      <w:pPr>
        <w:spacing w:after="0" w:line="69" w:lineRule="exact"/>
        <w:rPr>
          <w:sz w:val="20"/>
          <w:szCs w:val="20"/>
          <w:color w:val="auto"/>
        </w:rPr>
      </w:pPr>
    </w:p>
    <w:p>
      <w:pPr>
        <w:ind w:left="320" w:right="499" w:firstLine="358"/>
        <w:spacing w:after="0" w:line="280" w:lineRule="auto"/>
        <w:rPr>
          <w:sz w:val="20"/>
          <w:szCs w:val="20"/>
          <w:color w:val="auto"/>
        </w:rPr>
      </w:pPr>
      <w:r>
        <w:rPr>
          <w:rFonts w:ascii="Times New Roman" w:cs="Times New Roman" w:eastAsia="Times New Roman" w:hAnsi="Times New Roman"/>
          <w:sz w:val="18"/>
          <w:szCs w:val="18"/>
          <w:color w:val="auto"/>
        </w:rPr>
        <w:t>The Innventure Warrant holders do not have the rights or privileges of holders of shares of Common Stock or any voting rights until they exercise their Innventure Warrants and receive shares of Common Stock. After the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7947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6735" cy="79476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 w:right="519"/>
        <w:spacing w:after="0" w:line="280" w:lineRule="auto"/>
        <w:rPr>
          <w:sz w:val="20"/>
          <w:szCs w:val="20"/>
          <w:color w:val="auto"/>
        </w:rPr>
      </w:pPr>
      <w:r>
        <w:rPr>
          <w:rFonts w:ascii="Times New Roman" w:cs="Times New Roman" w:eastAsia="Times New Roman" w:hAnsi="Times New Roman"/>
          <w:sz w:val="18"/>
          <w:szCs w:val="18"/>
          <w:color w:val="auto"/>
        </w:rPr>
        <w:t>issuance of shares of Common Stock upon exercise of the Innventure Warrants, each holder will be entitled to one vote for each share held of record on all matters to be voted on by Innventure stockholders.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19" w:lineRule="exact"/>
        <w:rPr>
          <w:sz w:val="20"/>
          <w:szCs w:val="20"/>
          <w:color w:val="auto"/>
        </w:rPr>
      </w:pPr>
    </w:p>
    <w:p>
      <w:pPr>
        <w:ind w:left="320" w:right="299" w:firstLine="358"/>
        <w:spacing w:after="0" w:line="255" w:lineRule="auto"/>
        <w:rPr>
          <w:sz w:val="20"/>
          <w:szCs w:val="20"/>
          <w:color w:val="auto"/>
        </w:rPr>
      </w:pPr>
      <w:r>
        <w:rPr>
          <w:rFonts w:ascii="Times New Roman" w:cs="Times New Roman" w:eastAsia="Times New Roman" w:hAnsi="Times New Roman"/>
          <w:sz w:val="18"/>
          <w:szCs w:val="18"/>
          <w:color w:val="auto"/>
        </w:rPr>
        <w:t>At the Closing, the Company, the Sponsor, and certain other holders of shares of Common Stock entered into the A&amp;R Registration Rights Agreement. The A&amp;R Registration Rights Agreement provides these holders (and their permitted transferees) with the right to require the Company, at the Company’s expense, to register the Common Stock that they hold, on customary terms, including customary demand and piggyback registration rights. The A&amp;R Registration Rights Agreement also provides that the Company pay certain expenses of the electing holders relating to such registration and indemnify them against liabilities that may arise under the Securities Act.</w:t>
      </w:r>
    </w:p>
    <w:p>
      <w:pPr>
        <w:spacing w:after="0" w:line="78" w:lineRule="exact"/>
        <w:rPr>
          <w:sz w:val="20"/>
          <w:szCs w:val="20"/>
          <w:color w:val="auto"/>
        </w:rPr>
      </w:pPr>
    </w:p>
    <w:p>
      <w:pPr>
        <w:ind w:left="320" w:right="939" w:firstLine="358"/>
        <w:spacing w:after="0" w:line="280" w:lineRule="auto"/>
        <w:rPr>
          <w:sz w:val="20"/>
          <w:szCs w:val="20"/>
          <w:color w:val="auto"/>
        </w:rPr>
      </w:pPr>
      <w:r>
        <w:rPr>
          <w:rFonts w:ascii="Times New Roman" w:cs="Times New Roman" w:eastAsia="Times New Roman" w:hAnsi="Times New Roman"/>
          <w:sz w:val="18"/>
          <w:szCs w:val="18"/>
          <w:color w:val="auto"/>
        </w:rPr>
        <w:t>On March 11, 2025, all shares of Common Stock held by the Sponsor were assigned to members of the Sponsor, which members became parties to the A&amp;R Registration Rights Agreement.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19" w:lineRule="exact"/>
        <w:rPr>
          <w:sz w:val="20"/>
          <w:szCs w:val="20"/>
          <w:color w:val="auto"/>
        </w:rPr>
      </w:pPr>
    </w:p>
    <w:p>
      <w:pPr>
        <w:ind w:left="320" w:right="319" w:firstLine="358"/>
        <w:spacing w:after="0" w:line="273" w:lineRule="auto"/>
        <w:rPr>
          <w:sz w:val="20"/>
          <w:szCs w:val="20"/>
          <w:color w:val="auto"/>
        </w:rPr>
      </w:pPr>
      <w:r>
        <w:rPr>
          <w:rFonts w:ascii="Times New Roman" w:cs="Times New Roman" w:eastAsia="Times New Roman" w:hAnsi="Times New Roman"/>
          <w:sz w:val="17"/>
          <w:szCs w:val="17"/>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63" w:lineRule="exact"/>
        <w:rPr>
          <w:sz w:val="20"/>
          <w:szCs w:val="20"/>
          <w:color w:val="auto"/>
        </w:rPr>
      </w:pPr>
    </w:p>
    <w:p>
      <w:pPr>
        <w:ind w:left="320" w:right="319" w:firstLine="358"/>
        <w:spacing w:after="0" w:line="252"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was made available after the WTI Closing Date and through November 15, 2024 (the “First Tranche”); (ii) up to $15 million was made available after November 1, 2024 and through November 30, 2024 (the “Second Tranche”); and (iii) up to $15 million was made available after December 31, 2024 and through January 31, 2025 (the “Third Tranche”) (provided that up to $7.5 million of the Third Tranche was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79" w:lineRule="exact"/>
        <w:rPr>
          <w:sz w:val="20"/>
          <w:szCs w:val="20"/>
          <w:color w:val="auto"/>
        </w:rPr>
      </w:pPr>
    </w:p>
    <w:p>
      <w:pPr>
        <w:ind w:left="320" w:right="319" w:firstLine="358"/>
        <w:spacing w:after="0" w:line="254" w:lineRule="auto"/>
        <w:rPr>
          <w:sz w:val="20"/>
          <w:szCs w:val="20"/>
          <w:color w:val="auto"/>
        </w:rPr>
      </w:pPr>
      <w:r>
        <w:rPr>
          <w:rFonts w:ascii="Times New Roman" w:cs="Times New Roman" w:eastAsia="Times New Roman" w:hAnsi="Times New Roman"/>
          <w:sz w:val="18"/>
          <w:szCs w:val="18"/>
          <w:color w:val="auto"/>
        </w:rPr>
        <w:t>The Company received all $20 million of the First Tranche on November 15, 2024. The First Tranche, principal and interest, shall be repaid over a period of 30 months in equal, monthly installments, commencing after an initial 12-month period of interest-only monthly payments, resulting in a total term of 42 months. Borrowings under the First Tranche accrue interest at a rate per annum equal to the greater of (i) the “prime rate” of interest, as published by The Wall Street Journal on the date that the WTI Lenders prepare the promissory notes for the borrowings under such tranche, plus 5.00% and (ii) 13.50%. As of the date of this prospectus, the funds under each of the Second Tranche and Third Tranche are no longer available to the Company.</w:t>
      </w:r>
    </w:p>
    <w:p>
      <w:pPr>
        <w:spacing w:after="0" w:line="79" w:lineRule="exact"/>
        <w:rPr>
          <w:sz w:val="20"/>
          <w:szCs w:val="20"/>
          <w:color w:val="auto"/>
        </w:rPr>
      </w:pPr>
    </w:p>
    <w:p>
      <w:pPr>
        <w:ind w:left="320" w:right="659" w:firstLine="358"/>
        <w:spacing w:after="0" w:line="280" w:lineRule="auto"/>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55" w:lineRule="exact"/>
        <w:rPr>
          <w:sz w:val="20"/>
          <w:szCs w:val="20"/>
          <w:color w:val="auto"/>
        </w:rPr>
      </w:pPr>
    </w:p>
    <w:p>
      <w:pPr>
        <w:ind w:left="320" w:right="379" w:firstLine="358"/>
        <w:spacing w:after="0" w:line="259"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74" w:lineRule="exact"/>
        <w:rPr>
          <w:sz w:val="20"/>
          <w:szCs w:val="20"/>
          <w:color w:val="auto"/>
        </w:rPr>
      </w:pPr>
    </w:p>
    <w:p>
      <w:pPr>
        <w:ind w:left="320" w:right="339" w:firstLine="358"/>
        <w:spacing w:after="0" w:line="255"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the 2024 WTI Warrants to purchase up to $10 million of shares of Common Stock to the WTI Holders (affiliates of the WTI Lenders). Each warrant is exercisable into one share of Common Stock (subject to certain limitations, adjustment and certain other rights to possible future financings in accordance with terms of the 2024 WTI Warrants) through March 31, 2035. The number of shares issuable upon exercise of each 2024 WTI Warrant equals the 2024 WTI Warrants Coverage Amount (as defined below) divided by the 2024 WTI Warrants Exercise Price (as defined below). The “2024 WTI</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7981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6735" cy="7981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 w:right="339"/>
        <w:spacing w:after="0" w:line="268" w:lineRule="auto"/>
        <w:rPr>
          <w:sz w:val="20"/>
          <w:szCs w:val="20"/>
          <w:color w:val="auto"/>
        </w:rPr>
      </w:pPr>
      <w:r>
        <w:rPr>
          <w:rFonts w:ascii="Times New Roman" w:cs="Times New Roman" w:eastAsia="Times New Roman" w:hAnsi="Times New Roman"/>
          <w:sz w:val="17"/>
          <w:szCs w:val="17"/>
          <w:color w:val="auto"/>
        </w:rPr>
        <w:t>Warrants Coverage Amount” is $10,000,000 ($7,500,000 for WTI Fund X, LLC and $2,500,000 for WTI Fund XI, LLC). The “2024 WTI Warrants Exercise Price” is initially $10.00 per share; however, if the VWAP of the Common Stock over the five trading days preceding April 3, 2026 is less than $10.00, the Exercise Price will be reduce to that lower VWAP. The WTI Warrants include customary registration rights and change-of-control adjustments and may be exchanged, at each of WTI Fund X, LLC’s and WTI Fund XI, LLC’s option, for a cash amount equal to</w:t>
      </w:r>
    </w:p>
    <w:p>
      <w:pPr>
        <w:spacing w:after="0" w:line="2" w:lineRule="exact"/>
        <w:rPr>
          <w:sz w:val="20"/>
          <w:szCs w:val="20"/>
          <w:color w:val="auto"/>
        </w:rPr>
      </w:pPr>
    </w:p>
    <w:p>
      <w:pPr>
        <w:ind w:left="320" w:right="399"/>
        <w:spacing w:after="0" w:line="251" w:lineRule="auto"/>
        <w:rPr>
          <w:sz w:val="20"/>
          <w:szCs w:val="20"/>
          <w:color w:val="auto"/>
        </w:rPr>
      </w:pPr>
      <w:r>
        <w:rPr>
          <w:rFonts w:ascii="Times New Roman" w:cs="Times New Roman" w:eastAsia="Times New Roman" w:hAnsi="Times New Roman"/>
          <w:sz w:val="18"/>
          <w:szCs w:val="18"/>
          <w:color w:val="auto"/>
        </w:rPr>
        <w:t>$15 million (in the aggregate), subject to adjustment to the extent a 2024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Additionally, on April 14, 2025 the Company issued the 2025 WTI Warrants to purchase up to $3 million of</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of Common Stock to the WTI Holders as consideration for the WTI Lenders and the WTI Holders entering</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into a consent with the Company and Innventure LLC, dated March 21, 2025, pursuant to which, among other</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things, the WTI Lenders and the WTI Holders consented to (i) the Company entering into that certain securities</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 agreement, dated March 25, 2025, entered into with Yorkville, and the transactions contemplated thereby</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(ii) the Company’s issuance of its Series C Preferred Stock (as defined below) and the payoffs of certain related</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party loans. Each warrant is exercisable through March 31, 2035. The number of shares issuable upon exercise of</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2025 WTI Warrant is calculated by dividing the 2025 WTI Warrants Coverage Amount (as defined below) by</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2025 WTI Warrants Exercise Price (as defined below). The “2025 WTI Warrants Coverage Amount” is</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$3,000,000 ($2,250,000 for WTI Fund X, LLC and $750,000 for WTI Fund XI, LLC). The “2025 WTI Warrants</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Exercise Price” is initially equal to the VWAP over the 30 trading days ending on the trading day immediately</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preceding April 14, 2025; however, as of October 14, 2026, if the VWAP over the five trading days preceding</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October 14, 2026 is lower, the 2025 WTI Warrants Exercise Price will be reduced to that lower VWAP. Please see</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section titled “Shares Eligible for Future Sale” elsewhere in this prospectus for more information.</w:t>
      </w: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19" w:lineRule="exact"/>
        <w:rPr>
          <w:sz w:val="20"/>
          <w:szCs w:val="20"/>
          <w:color w:val="auto"/>
        </w:rPr>
      </w:pPr>
    </w:p>
    <w:p>
      <w:pPr>
        <w:ind w:left="320" w:right="359" w:firstLine="358"/>
        <w:spacing w:after="0" w:line="253" w:lineRule="auto"/>
        <w:rPr>
          <w:sz w:val="20"/>
          <w:szCs w:val="20"/>
          <w:color w:val="auto"/>
        </w:rPr>
      </w:pPr>
      <w:r>
        <w:rPr>
          <w:rFonts w:ascii="Times New Roman" w:cs="Times New Roman" w:eastAsia="Times New Roman" w:hAnsi="Times New Roman"/>
          <w:sz w:val="18"/>
          <w:szCs w:val="18"/>
          <w:color w:val="auto"/>
        </w:rPr>
        <w:t>On March 24, 2025 (the “Series C Closing Date”), the Company entered into preferred stock purchase agreements (each, a “Series C Purchase Agreement” and, collectively, the “Series C Purchase Agreements”) with certain purchasers (the “Series C Purchasers”), pursuant to which the Company issued and sold to the Series C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82" w:lineRule="exact"/>
        <w:rPr>
          <w:sz w:val="20"/>
          <w:szCs w:val="20"/>
          <w:color w:val="auto"/>
        </w:rPr>
      </w:pPr>
    </w:p>
    <w:p>
      <w:pPr>
        <w:ind w:left="320" w:right="319" w:firstLine="358"/>
        <w:spacing w:after="0" w:line="253" w:lineRule="auto"/>
        <w:rPr>
          <w:sz w:val="20"/>
          <w:szCs w:val="20"/>
          <w:color w:val="auto"/>
        </w:rPr>
      </w:pPr>
      <w:r>
        <w:rPr>
          <w:rFonts w:ascii="Times New Roman" w:cs="Times New Roman" w:eastAsia="Times New Roman" w:hAnsi="Times New Roman"/>
          <w:sz w:val="18"/>
          <w:szCs w:val="18"/>
          <w:color w:val="auto"/>
        </w:rPr>
        <w:t>The Series C Purchase Agreements contain customary representations, warranties, and covenants by the parties, including certain indemnification obligations of the Series C Purchasers. The representations, warranties, and covenants contained in the Series C Purchase Agreements were made only for purposes of such agreements and as of specific dates, were solely for the benefit of the Series C Purchasers and are subject to limitations agreed upon by contracting parties. As part of the Series C Purchase Agreements, the Company is required to prepare and file a registration statement with the Commission under the Securities Act, covering the resale of the shares of Common Stock issuable upon conversion of Series C Preferred Stock within 120 days from the original issuance date, which obligation is to be satisfied hereby.</w:t>
      </w:r>
    </w:p>
    <w:p>
      <w:pPr>
        <w:spacing w:after="0" w:line="82" w:lineRule="exact"/>
        <w:rPr>
          <w:sz w:val="20"/>
          <w:szCs w:val="20"/>
          <w:color w:val="auto"/>
        </w:rPr>
      </w:pPr>
    </w:p>
    <w:p>
      <w:pPr>
        <w:ind w:left="320" w:right="419" w:firstLine="358"/>
        <w:spacing w:after="0" w:line="269" w:lineRule="auto"/>
        <w:rPr>
          <w:sz w:val="20"/>
          <w:szCs w:val="20"/>
          <w:color w:val="auto"/>
        </w:rPr>
      </w:pPr>
      <w:r>
        <w:rPr>
          <w:rFonts w:ascii="Times New Roman" w:cs="Times New Roman" w:eastAsia="Times New Roman" w:hAnsi="Times New Roman"/>
          <w:sz w:val="17"/>
          <w:szCs w:val="17"/>
          <w:color w:val="auto"/>
        </w:rPr>
        <w:t>On the Series C Closing Date, the Company also filed a Certificate of Designations with the Secretary of State of the State of Delaware setting forth the terms, rights, obligations and preferences of the Series C Preferred Stock, which became effective upon filing. Pursuant to the Series C Preferred Certificate of Designation, the shares of Series C Preferred Stock have a maturity date five years after the Series C Closing Date and carry an annual</w:t>
      </w:r>
    </w:p>
    <w:p>
      <w:pPr>
        <w:spacing w:after="0" w:line="2" w:lineRule="exact"/>
        <w:rPr>
          <w:sz w:val="20"/>
          <w:szCs w:val="20"/>
          <w:color w:val="auto"/>
        </w:rPr>
      </w:pPr>
    </w:p>
    <w:p>
      <w:pPr>
        <w:ind w:left="320" w:right="339"/>
        <w:spacing w:after="0" w:line="250" w:lineRule="auto"/>
        <w:rPr>
          <w:sz w:val="20"/>
          <w:szCs w:val="20"/>
          <w:color w:val="auto"/>
        </w:rPr>
      </w:pPr>
      <w:r>
        <w:rPr>
          <w:rFonts w:ascii="Times New Roman" w:cs="Times New Roman" w:eastAsia="Times New Roman" w:hAnsi="Times New Roman"/>
          <w:sz w:val="18"/>
          <w:szCs w:val="18"/>
          <w:color w:val="auto"/>
        </w:rPr>
        <w:t>8.0% cumulative dividend, which will be paid prior to and in preference over any Junior Stock or Parity Stock (each as defined below). On the last day of the last quarter in each fiscal year of the Company, such dividends will be made as a payment in kind. “Junior Stock” means (i) the Common Stock, (ii) any other preferred stock, other than the Series B Preferred Stock, and (ii) any other equity interest of the Company, in each case which by its terms ranks junior to the Series C Preferred Stock with respect to payment of dividends and/or distribution of assets. “Parity Stock” means the Company’s Series B Preferred Stock and any equity interest of the Company hereinafter created which by its terms ranks pari passu with the Series C Preferred Stock.</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8118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26735" cy="81184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 w:right="319" w:firstLine="358"/>
        <w:spacing w:after="0" w:line="252" w:lineRule="auto"/>
        <w:rPr>
          <w:sz w:val="20"/>
          <w:szCs w:val="20"/>
          <w:color w:val="auto"/>
        </w:rPr>
      </w:pPr>
      <w:r>
        <w:rPr>
          <w:rFonts w:ascii="Times New Roman" w:cs="Times New Roman" w:eastAsia="Times New Roman" w:hAnsi="Times New Roman"/>
          <w:sz w:val="18"/>
          <w:szCs w:val="18"/>
          <w:color w:val="auto"/>
        </w:rPr>
        <w:t>With respect to (i) payment of dividends, (ii) distribution of assets and (iii)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 Per each whole share of Series C Preferred Stock, the holders of Series C Preferred Stock will be entitled to cast the number of votes equal to (i) the original issue price, which is $10.00 (the “Series C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84" w:lineRule="exact"/>
        <w:rPr>
          <w:sz w:val="20"/>
          <w:szCs w:val="20"/>
          <w:color w:val="auto"/>
        </w:rPr>
      </w:pPr>
    </w:p>
    <w:p>
      <w:pPr>
        <w:ind w:left="320" w:right="359" w:firstLine="358"/>
        <w:spacing w:after="0" w:line="268" w:lineRule="auto"/>
        <w:rPr>
          <w:sz w:val="20"/>
          <w:szCs w:val="20"/>
          <w:color w:val="auto"/>
        </w:rPr>
      </w:pPr>
      <w:r>
        <w:rPr>
          <w:rFonts w:ascii="Times New Roman" w:cs="Times New Roman" w:eastAsia="Times New Roman" w:hAnsi="Times New Roman"/>
          <w:sz w:val="17"/>
          <w:szCs w:val="17"/>
          <w:color w:val="auto"/>
        </w:rPr>
        <w:t>Shares of Series C Preferred Stock are subject to (i) a mandatory conversion on the date that is five years after original issuance (the “Series C Maturity Date”) and (ii) an optional conversion, at the election of the holder, at any time prior to the Series C Maturity Date upon the effectiveness of a registration statement by the Company registering the underlying shares of Common Stock issuable upon conversion (including this registration statement). The number of shares of Common Stock that each holder of Series C Preferred Stock will receive upon conversion of all of such holder’s shares of Series C Preferred Stock will be the number of shares equal to the Series C Conversion Rate (as defined below) multiplied by the number of shares of Series C Preferred Stock held by such holder (subject to a threshold amount). No fractional shares shall be issued upon the exercise of any conversion right. Any fractional shares that a holder would otherwise be entitled to will be rounded up to the next whole share. The “Series C Conversion Rate” means a fraction whose numerator is the Series C Original Issue Price and whose denominator is the lesser of (i) the Reset Conversion Price or (ii) $12.50. The “Reset Conversion Price” means the greater of (a) $5.00 and (b) the 10-trading day volume-weighted average closing price of the Common Stock.</w:t>
      </w:r>
    </w:p>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March 13, 2026, 159,270 shares of Series C Preferred Stock were issued and outstanding.</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Debentures</w:t>
      </w:r>
    </w:p>
    <w:p>
      <w:pPr>
        <w:spacing w:after="0" w:line="119" w:lineRule="exact"/>
        <w:rPr>
          <w:sz w:val="20"/>
          <w:szCs w:val="20"/>
          <w:color w:val="auto"/>
        </w:rPr>
      </w:pPr>
    </w:p>
    <w:p>
      <w:pPr>
        <w:ind w:left="320" w:right="339" w:firstLine="358"/>
        <w:spacing w:after="0" w:line="269" w:lineRule="auto"/>
        <w:rPr>
          <w:sz w:val="20"/>
          <w:szCs w:val="20"/>
          <w:color w:val="auto"/>
        </w:rPr>
      </w:pPr>
      <w:r>
        <w:rPr>
          <w:rFonts w:ascii="Times New Roman" w:cs="Times New Roman" w:eastAsia="Times New Roman" w:hAnsi="Times New Roman"/>
          <w:sz w:val="17"/>
          <w:szCs w:val="17"/>
          <w:color w:val="auto"/>
        </w:rPr>
        <w:t>On September 15, 2025, the Company entered into the Securities Purchase Agreement with Yorkville, in connection with the issuance and sale by the Company of Convertible Debentures issuable in an aggregate principal amount of up to $15,000,000, which Convertible Debentures converted into shares of the Company’s Common Stock (as converted, the “Conversion Shares”). Pursuant to the Securities Purchase Agreement, Yorkville purchased, and the Company issued, $10,000,000 in aggregate principal amount of Convertible Debentures (the “Third Convertible Debenture”) on September 15, 2025, upon satisfaction of certain closing conditions in the Securities Purchase Agreement. Yorkville purchased and the Company issued an additional $5,000,000 in aggregate principal amount of Convertible Debentures (the “Fourth Convertible Debenture”) on November 12, 2025. The Convertible Debentures resulted in gross proceeds to the Company of approximately $11,500,000 (including the original issue discount of 10% and the repayment of $2,000,000 that was due on September 14, 2025).</w:t>
      </w:r>
    </w:p>
    <w:p>
      <w:pPr>
        <w:spacing w:after="0" w:line="66" w:lineRule="exact"/>
        <w:rPr>
          <w:sz w:val="20"/>
          <w:szCs w:val="20"/>
          <w:color w:val="auto"/>
        </w:rPr>
      </w:pPr>
    </w:p>
    <w:p>
      <w:pPr>
        <w:ind w:left="320" w:right="379" w:firstLine="358"/>
        <w:spacing w:after="0" w:line="256" w:lineRule="auto"/>
        <w:rPr>
          <w:sz w:val="20"/>
          <w:szCs w:val="20"/>
          <w:color w:val="auto"/>
        </w:rPr>
      </w:pPr>
      <w:r>
        <w:rPr>
          <w:rFonts w:ascii="Times New Roman" w:cs="Times New Roman" w:eastAsia="Times New Roman" w:hAnsi="Times New Roman"/>
          <w:sz w:val="18"/>
          <w:szCs w:val="18"/>
          <w:color w:val="auto"/>
        </w:rPr>
        <w:t>As of January 27, 2026, Yorkville fully converted all Conversion Shares under the Third Convertible Debenture, and on January 28, 2026, the Company redeemed the Fourth Convertible Debenture, which redemption terminated all obligations imposed upon the Company under the Securities Purchase Agreement. Furthermore, as of March 17, 2026, Yorkville continued to beneficially own 65,000 Conversion Shares, which Yorkville received in connection with its conversion of the Third Convertible Debenture.</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19" w:lineRule="exact"/>
        <w:rPr>
          <w:sz w:val="20"/>
          <w:szCs w:val="20"/>
          <w:color w:val="auto"/>
        </w:rPr>
      </w:pPr>
    </w:p>
    <w:p>
      <w:pPr>
        <w:ind w:left="320" w:right="319" w:firstLine="358"/>
        <w:spacing w:after="0" w:line="252" w:lineRule="auto"/>
        <w:rPr>
          <w:sz w:val="20"/>
          <w:szCs w:val="20"/>
          <w:color w:val="auto"/>
        </w:rPr>
      </w:pPr>
      <w:r>
        <w:rPr>
          <w:rFonts w:ascii="Times New Roman" w:cs="Times New Roman" w:eastAsia="Times New Roman" w:hAnsi="Times New Roman"/>
          <w:sz w:val="18"/>
          <w:szCs w:val="18"/>
          <w:color w:val="auto"/>
        </w:rPr>
        <w:t>On October 3, 2025, the Company entered into the Subscription Agreements with the Subscribers, pursuant to which the Company agreed to issue to the Subscribers, in a private placement, an aggregate of 1,625,235 shares of Common Stock and Series A Warrants to purchase an aggregate of 1,625,235 shares of Common Stock (the “Warrant Shares”) at an aggregate price of $6.00 for one share of Common Stock and one Series A Warrant (the “PIPE Investment”). The Series A Warrants have an exercise price of $8.00 per share, will be exercisable at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PIPE Investment are approximately $9.75 million before deducting fees and other estimated offering expenses.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1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90805</wp:posOffset>
            </wp:positionV>
            <wp:extent cx="5626735" cy="3715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6735" cy="37153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9" w:lineRule="exact"/>
        <w:rPr>
          <w:sz w:val="20"/>
          <w:szCs w:val="20"/>
          <w:color w:val="auto"/>
        </w:rPr>
      </w:pPr>
    </w:p>
    <w:p>
      <w:pPr>
        <w:ind w:left="320" w:right="379" w:firstLine="358"/>
        <w:spacing w:after="0" w:line="273" w:lineRule="auto"/>
        <w:rPr>
          <w:sz w:val="20"/>
          <w:szCs w:val="20"/>
          <w:color w:val="auto"/>
        </w:rPr>
      </w:pPr>
      <w:r>
        <w:rPr>
          <w:rFonts w:ascii="Times New Roman" w:cs="Times New Roman" w:eastAsia="Times New Roman" w:hAnsi="Times New Roman"/>
          <w:sz w:val="17"/>
          <w:szCs w:val="17"/>
          <w:color w:val="auto"/>
        </w:rPr>
        <w:t>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63" w:lineRule="exact"/>
        <w:rPr>
          <w:sz w:val="20"/>
          <w:szCs w:val="20"/>
          <w:color w:val="auto"/>
        </w:rPr>
      </w:pPr>
    </w:p>
    <w:p>
      <w:pPr>
        <w:ind w:left="320" w:right="399" w:firstLine="358"/>
        <w:spacing w:after="0" w:line="269"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 billion in non-convertible debt during the prior three-year period.</w:t>
      </w: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20" w:right="639" w:firstLine="358"/>
        <w:spacing w:after="0" w:line="26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 that represent challenges that we face in connection with the successful implementation of our strategy and growth of our business.</w:t>
      </w: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9" w:lineRule="exact"/>
        <w:rPr>
          <w:sz w:val="20"/>
          <w:szCs w:val="20"/>
          <w:color w:val="auto"/>
        </w:rPr>
      </w:pPr>
    </w:p>
    <w:p>
      <w:pPr>
        <w:ind w:left="320" w:right="859" w:firstLine="358"/>
        <w:spacing w:after="0" w:line="280"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20" w:right="359" w:firstLine="358"/>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any risk factors contained in any applicable prospectus supplement, as well as the risk factors set forth in our most recently filed Annual Report on Form 10-K and any material changes to those risk factors set forth in a Quarterly Report on Form 10-Q. You should also refer to the other information in this prospectus and any applicable prospectus supplement, including our financial statements and the related notes incorporated by reference into this prospectus. Additional risks and uncertainties that are not yet identified may also materially harm our business, operating results and financial condition. If any of these risks actually occurs, our business, results of operations and financial condition could suffer. In that case, the trading price of our securities could decline, and you could lose all or part of your investment.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9" w:lineRule="exact"/>
        <w:rPr>
          <w:sz w:val="20"/>
          <w:szCs w:val="20"/>
          <w:color w:val="auto"/>
        </w:rPr>
      </w:pPr>
    </w:p>
    <w:p>
      <w:pPr>
        <w:ind w:left="320" w:right="339" w:firstLine="358"/>
        <w:spacing w:after="0" w:line="267" w:lineRule="auto"/>
        <w:rPr>
          <w:sz w:val="20"/>
          <w:szCs w:val="20"/>
          <w:color w:val="auto"/>
        </w:rPr>
      </w:pPr>
      <w:r>
        <w:rPr>
          <w:rFonts w:ascii="Times New Roman" w:cs="Times New Roman" w:eastAsia="Times New Roman" w:hAnsi="Times New Roman"/>
          <w:sz w:val="17"/>
          <w:szCs w:val="17"/>
          <w:color w:val="auto"/>
        </w:rPr>
        <w:t>Some of the statements contained in this prospectus and any accompanying prospectus supplement or incorporated by reference into this prospectus and any accompanying prospectus supplement are forward-looking statements within the meaning of Section 27A of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75" w:lineRule="exact"/>
        <w:rPr>
          <w:sz w:val="20"/>
          <w:szCs w:val="20"/>
          <w:color w:val="auto"/>
        </w:rPr>
      </w:pPr>
    </w:p>
    <w:p>
      <w:pPr>
        <w:ind w:left="320" w:right="339" w:firstLine="358"/>
        <w:spacing w:after="0" w:line="271" w:lineRule="auto"/>
        <w:rPr>
          <w:sz w:val="20"/>
          <w:szCs w:val="20"/>
          <w:color w:val="auto"/>
        </w:rPr>
      </w:pPr>
      <w:r>
        <w:rPr>
          <w:rFonts w:ascii="Times New Roman" w:cs="Times New Roman" w:eastAsia="Times New Roman" w:hAnsi="Times New Roman"/>
          <w:sz w:val="17"/>
          <w:szCs w:val="17"/>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67" w:lineRule="exact"/>
        <w:rPr>
          <w:sz w:val="20"/>
          <w:szCs w:val="20"/>
          <w:color w:val="auto"/>
        </w:rPr>
      </w:pPr>
    </w:p>
    <w:p>
      <w:pPr>
        <w:ind w:left="1020" w:right="539" w:hanging="350"/>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w:t>
      </w:r>
    </w:p>
    <w:p>
      <w:pPr>
        <w:spacing w:after="0" w:line="78"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invest in growth initiatives;</w:t>
      </w:r>
    </w:p>
    <w:p>
      <w:pPr>
        <w:spacing w:after="0" w:line="115" w:lineRule="exact"/>
        <w:rPr>
          <w:rFonts w:ascii="Times New Roman" w:cs="Times New Roman" w:eastAsia="Times New Roman" w:hAnsi="Times New Roman"/>
          <w:sz w:val="18"/>
          <w:szCs w:val="18"/>
          <w:color w:val="auto"/>
        </w:rPr>
      </w:pPr>
    </w:p>
    <w:p>
      <w:pPr>
        <w:ind w:left="1020" w:right="879" w:hanging="350"/>
        <w:spacing w:after="0" w:line="28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15" w:lineRule="exact"/>
        <w:rPr>
          <w:rFonts w:ascii="Times New Roman" w:cs="Times New Roman" w:eastAsia="Times New Roman" w:hAnsi="Times New Roman"/>
          <w:sz w:val="18"/>
          <w:szCs w:val="18"/>
          <w:color w:val="auto"/>
        </w:rPr>
      </w:pPr>
    </w:p>
    <w:p>
      <w:pPr>
        <w:ind w:left="1020" w:right="959" w:hanging="350"/>
        <w:spacing w:after="0" w:line="28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access to funds under the SEPA entered into with Yorkville due to certain conditions, restrictions and limitations set forth therein;</w:t>
      </w:r>
    </w:p>
    <w:p>
      <w:pPr>
        <w:spacing w:after="0" w:line="54" w:lineRule="exact"/>
        <w:rPr>
          <w:rFonts w:ascii="Times New Roman" w:cs="Times New Roman" w:eastAsia="Times New Roman" w:hAnsi="Times New Roman"/>
          <w:sz w:val="18"/>
          <w:szCs w:val="18"/>
          <w:color w:val="auto"/>
        </w:rPr>
      </w:pPr>
    </w:p>
    <w:p>
      <w:pPr>
        <w:jc w:val="both"/>
        <w:ind w:left="1020" w:right="779" w:hanging="350"/>
        <w:spacing w:after="0" w:line="26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and the Innventure Companies’ financing instruments, which may impair Innventure’s and the Innventure Companies’ financial and operating flexibility;</w:t>
      </w:r>
    </w:p>
    <w:p>
      <w:pPr>
        <w:spacing w:after="0" w:line="69" w:lineRule="exact"/>
        <w:rPr>
          <w:rFonts w:ascii="Times New Roman" w:cs="Times New Roman" w:eastAsia="Times New Roman" w:hAnsi="Times New Roman"/>
          <w:sz w:val="18"/>
          <w:szCs w:val="18"/>
          <w:color w:val="auto"/>
        </w:rPr>
      </w:pPr>
    </w:p>
    <w:p>
      <w:pPr>
        <w:ind w:left="1020" w:right="419" w:hanging="350"/>
        <w:spacing w:after="0" w:line="28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54" w:lineRule="exact"/>
        <w:rPr>
          <w:rFonts w:ascii="Times New Roman" w:cs="Times New Roman" w:eastAsia="Times New Roman" w:hAnsi="Times New Roman"/>
          <w:sz w:val="18"/>
          <w:szCs w:val="18"/>
          <w:color w:val="auto"/>
        </w:rPr>
      </w:pPr>
    </w:p>
    <w:p>
      <w:pPr>
        <w:ind w:left="1020" w:right="839" w:hanging="350"/>
        <w:spacing w:after="0" w:line="28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and future growth and to continue as going concerns;</w:t>
      </w:r>
    </w:p>
    <w:p>
      <w:pPr>
        <w:spacing w:after="0" w:line="54" w:lineRule="exact"/>
        <w:rPr>
          <w:rFonts w:ascii="Times New Roman" w:cs="Times New Roman" w:eastAsia="Times New Roman" w:hAnsi="Times New Roman"/>
          <w:sz w:val="18"/>
          <w:szCs w:val="18"/>
          <w:color w:val="auto"/>
        </w:rPr>
      </w:pPr>
    </w:p>
    <w:p>
      <w:pPr>
        <w:ind w:left="1020" w:right="379" w:hanging="350"/>
        <w:spacing w:after="0" w:line="310"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technology solutions that Innventure and the Innventure Companies license or acquire from third parties or develop internally may not function as anticipated or provide the benefits anticipated;</w:t>
      </w:r>
    </w:p>
    <w:p>
      <w:pPr>
        <w:spacing w:after="0" w:line="32" w:lineRule="exact"/>
        <w:rPr>
          <w:rFonts w:ascii="Times New Roman" w:cs="Times New Roman" w:eastAsia="Times New Roman" w:hAnsi="Times New Roman"/>
          <w:sz w:val="17"/>
          <w:szCs w:val="17"/>
          <w:color w:val="auto"/>
        </w:rPr>
      </w:pPr>
    </w:p>
    <w:p>
      <w:pPr>
        <w:ind w:left="1020" w:right="659" w:hanging="350"/>
        <w:spacing w:after="0" w:line="28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54" w:lineRule="exact"/>
        <w:rPr>
          <w:rFonts w:ascii="Times New Roman" w:cs="Times New Roman" w:eastAsia="Times New Roman" w:hAnsi="Times New Roman"/>
          <w:sz w:val="18"/>
          <w:szCs w:val="18"/>
          <w:color w:val="auto"/>
        </w:rPr>
      </w:pPr>
    </w:p>
    <w:p>
      <w:pPr>
        <w:ind w:left="1020" w:right="1039" w:hanging="350"/>
        <w:spacing w:after="0" w:line="28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51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54" w:lineRule="exact"/>
        <w:rPr>
          <w:rFonts w:ascii="Times New Roman" w:cs="Times New Roman" w:eastAsia="Times New Roman" w:hAnsi="Times New Roman"/>
          <w:sz w:val="18"/>
          <w:szCs w:val="18"/>
          <w:color w:val="auto"/>
        </w:rPr>
      </w:pPr>
    </w:p>
    <w:p>
      <w:pPr>
        <w:ind w:left="1020" w:right="39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54" w:lineRule="exact"/>
        <w:rPr>
          <w:rFonts w:ascii="Times New Roman" w:cs="Times New Roman" w:eastAsia="Times New Roman" w:hAnsi="Times New Roman"/>
          <w:sz w:val="18"/>
          <w:szCs w:val="18"/>
          <w:color w:val="auto"/>
        </w:rPr>
      </w:pPr>
    </w:p>
    <w:p>
      <w:pPr>
        <w:jc w:val="both"/>
        <w:ind w:left="1020" w:right="479" w:hanging="350"/>
        <w:spacing w:after="0" w:line="26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69"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15" w:lineRule="exact"/>
        <w:rPr>
          <w:rFonts w:ascii="Times New Roman" w:cs="Times New Roman" w:eastAsia="Times New Roman" w:hAnsi="Times New Roman"/>
          <w:sz w:val="18"/>
          <w:szCs w:val="18"/>
          <w:color w:val="auto"/>
        </w:rPr>
      </w:pPr>
    </w:p>
    <w:p>
      <w:pPr>
        <w:ind w:left="1020" w:right="359" w:hanging="350"/>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w:t>
      </w:r>
    </w:p>
    <w:p>
      <w:pPr>
        <w:spacing w:after="0" w:line="73" w:lineRule="exact"/>
        <w:rPr>
          <w:rFonts w:ascii="Times New Roman" w:cs="Times New Roman" w:eastAsia="Times New Roman" w:hAnsi="Times New Roman"/>
          <w:sz w:val="18"/>
          <w:szCs w:val="18"/>
          <w:color w:val="auto"/>
        </w:rPr>
      </w:pPr>
    </w:p>
    <w:p>
      <w:pPr>
        <w:ind w:left="1020" w:right="93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and its other subsidiaries’ operations;</w:t>
      </w:r>
    </w:p>
    <w:p>
      <w:pPr>
        <w:spacing w:after="0" w:line="54" w:lineRule="exact"/>
        <w:rPr>
          <w:rFonts w:ascii="Times New Roman" w:cs="Times New Roman" w:eastAsia="Times New Roman" w:hAnsi="Times New Roman"/>
          <w:sz w:val="18"/>
          <w:szCs w:val="18"/>
          <w:color w:val="auto"/>
        </w:rPr>
      </w:pPr>
    </w:p>
    <w:p>
      <w:pPr>
        <w:ind w:left="1020" w:right="61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which would impose burdensome compliance requirements and restrictions on its activities;</w:t>
      </w:r>
    </w:p>
    <w:p>
      <w:pPr>
        <w:spacing w:after="0" w:line="54" w:lineRule="exact"/>
        <w:rPr>
          <w:rFonts w:ascii="Times New Roman" w:cs="Times New Roman" w:eastAsia="Times New Roman" w:hAnsi="Times New Roman"/>
          <w:sz w:val="18"/>
          <w:szCs w:val="18"/>
          <w:color w:val="auto"/>
        </w:rPr>
      </w:pPr>
    </w:p>
    <w:p>
      <w:pPr>
        <w:ind w:left="1020" w:right="459" w:hanging="350"/>
        <w:spacing w:after="0" w:line="26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69"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w:t>
      </w:r>
    </w:p>
    <w:p>
      <w:pPr>
        <w:spacing w:after="0" w:line="115" w:lineRule="exact"/>
        <w:rPr>
          <w:rFonts w:ascii="Times New Roman" w:cs="Times New Roman" w:eastAsia="Times New Roman" w:hAnsi="Times New Roman"/>
          <w:sz w:val="18"/>
          <w:szCs w:val="18"/>
          <w:color w:val="auto"/>
        </w:rPr>
      </w:pPr>
    </w:p>
    <w:p>
      <w:pPr>
        <w:ind w:left="1020" w:right="127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54" w:lineRule="exact"/>
        <w:rPr>
          <w:rFonts w:ascii="Times New Roman" w:cs="Times New Roman" w:eastAsia="Times New Roman" w:hAnsi="Times New Roman"/>
          <w:sz w:val="18"/>
          <w:szCs w:val="18"/>
          <w:color w:val="auto"/>
        </w:rPr>
      </w:pPr>
    </w:p>
    <w:p>
      <w:pPr>
        <w:ind w:left="1020" w:right="71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15" w:lineRule="exact"/>
        <w:rPr>
          <w:rFonts w:ascii="Times New Roman" w:cs="Times New Roman" w:eastAsia="Times New Roman" w:hAnsi="Times New Roman"/>
          <w:sz w:val="18"/>
          <w:szCs w:val="18"/>
          <w:color w:val="auto"/>
        </w:rPr>
      </w:pPr>
    </w:p>
    <w:p>
      <w:pPr>
        <w:ind w:left="1020" w:right="439" w:hanging="350"/>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15" w:lineRule="exact"/>
        <w:rPr>
          <w:sz w:val="20"/>
          <w:szCs w:val="20"/>
          <w:color w:val="auto"/>
        </w:rPr>
      </w:pPr>
    </w:p>
    <w:p>
      <w:pPr>
        <w:ind w:left="320" w:right="379" w:firstLine="358"/>
        <w:spacing w:after="0" w:line="254"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and any accompanying prospectus supplement or incorporated by reference into this prospectus and any accompanying prospectus supplement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9" w:lineRule="exact"/>
        <w:rPr>
          <w:sz w:val="20"/>
          <w:szCs w:val="20"/>
          <w:color w:val="auto"/>
        </w:rPr>
      </w:pPr>
    </w:p>
    <w:p>
      <w:pPr>
        <w:jc w:val="both"/>
        <w:ind w:left="320" w:right="359" w:firstLine="358"/>
        <w:spacing w:after="0" w:line="259"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74" w:lineRule="exact"/>
        <w:rPr>
          <w:sz w:val="20"/>
          <w:szCs w:val="20"/>
          <w:color w:val="auto"/>
        </w:rPr>
      </w:pPr>
    </w:p>
    <w:p>
      <w:pPr>
        <w:ind w:left="320" w:right="359" w:firstLine="358"/>
        <w:spacing w:after="0" w:line="253"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Common Stock by the Selling Stockholders. However, we may receive (i) up to $66.6 million in aggregate gross proceeds from sales of shares of Common Stock to Yorkville pursuant to the SEPA, from time to time in our discretion after the date of this Registration Statement and subject to the satisfaction of certain conditions in the SEPA, and (ii) de minimis gross proceeds upon exercise of the 2024 WTI Warrants and the 2025 WTI Warrants, to the extent such warrants are exercised for cash. We will bear all costs, expenses and fees in connection with the registration of Common Stock. The Selling Stockholders will bear all commissions, discounts and certain other limited expenses, if any, attributable to their respective sales of Common Stock.</w:t>
      </w:r>
    </w:p>
    <w:p>
      <w:pPr>
        <w:spacing w:after="0" w:line="82" w:lineRule="exact"/>
        <w:rPr>
          <w:sz w:val="20"/>
          <w:szCs w:val="20"/>
          <w:color w:val="auto"/>
        </w:rPr>
      </w:pPr>
    </w:p>
    <w:p>
      <w:pPr>
        <w:ind w:left="320" w:right="379" w:firstLine="358"/>
        <w:spacing w:after="0" w:line="252" w:lineRule="auto"/>
        <w:rPr>
          <w:sz w:val="20"/>
          <w:szCs w:val="20"/>
          <w:color w:val="auto"/>
        </w:rPr>
      </w:pPr>
      <w:r>
        <w:rPr>
          <w:rFonts w:ascii="Times New Roman" w:cs="Times New Roman" w:eastAsia="Times New Roman" w:hAnsi="Times New Roman"/>
          <w:sz w:val="18"/>
          <w:szCs w:val="18"/>
          <w:color w:val="auto"/>
        </w:rPr>
        <w:t>We could receive up to an aggregate of approximately $13.0 million in proceeds from the exercise of the Series A Warrants, assuming the exercise in full of all of the Series A Warrants for cash, but not from the resale of the shares of Common Stock issuable upon such exercise. There is no assurance that the holders of the Series A Warrants will elect to exercise any or all of such Series A Warrants. We believe the likelihood that Series A Warrant holders will exercise the Series A Warrants, and therefore the amount of cash proceeds that we would receive, is dependent upon the market price of Common Stock. If the Series A Warrants are “out of the money,” meaning that the exercise price is higher than the market price of Common Stock, then the holders of such “out of the money” Series A Warrants are not likely to exercise such Series A Warrants. All of the Series A Warrants outstanding as of March 17, 2026 are “out of the money.” There can be no assurance that such Series A Warrants will be in the money prior to their expiration dates, and therefore we may not receive any cash proceeds from the exercise of such Series A Warrants.</w:t>
      </w:r>
    </w:p>
    <w:p>
      <w:pPr>
        <w:spacing w:after="0" w:line="82" w:lineRule="exact"/>
        <w:rPr>
          <w:sz w:val="20"/>
          <w:szCs w:val="20"/>
          <w:color w:val="auto"/>
        </w:rPr>
      </w:pPr>
    </w:p>
    <w:p>
      <w:pPr>
        <w:ind w:left="320" w:right="359" w:firstLine="358"/>
        <w:spacing w:after="0" w:line="252" w:lineRule="auto"/>
        <w:rPr>
          <w:sz w:val="20"/>
          <w:szCs w:val="20"/>
          <w:color w:val="auto"/>
        </w:rPr>
      </w:pPr>
      <w:r>
        <w:rPr>
          <w:rFonts w:ascii="Times New Roman" w:cs="Times New Roman" w:eastAsia="Times New Roman" w:hAnsi="Times New Roman"/>
          <w:sz w:val="18"/>
          <w:szCs w:val="18"/>
          <w:color w:val="auto"/>
        </w:rPr>
        <w:t>We could receive up to an aggregate of approximately $211.4 million in proceeds from the exercise of the Innventure Warrants, assuming the exercise in full of all of the Innventure Warrants for cash, but not from the resale of the shares of Common Stock issuable upon such exercise. There is no assurance that the holders of the Innventure Warrants will elect to exercise any or all of such Innventure Warrants. We believe the likelihood that Innventure Warrant holders will exercise the Innventure Warrants, and therefore the amount of cash proceeds that we would receive, is dependent upon the market price of Common Stock. If the Innventure Warrants are “out of the money,” meaning the exercise price is higher than the market price of Common Stock, then holders of such “out of the money” Innventure Warrants are not likely to exercise such Innventure Warrants. All of the Innventure Warrants outstanding as of March 17, 2026 are “out of the money.” There can be no assurance that such Innventure Warrants will be in the money prior to their expiration dates, and therefore we may not receive any cash proceeds from the exercise of such Innventure Warrants.</w:t>
      </w:r>
    </w:p>
    <w:p>
      <w:pPr>
        <w:spacing w:after="0" w:line="82" w:lineRule="exact"/>
        <w:rPr>
          <w:sz w:val="20"/>
          <w:szCs w:val="20"/>
          <w:color w:val="auto"/>
        </w:rPr>
      </w:pPr>
    </w:p>
    <w:p>
      <w:pPr>
        <w:ind w:left="320" w:right="659" w:firstLine="358"/>
        <w:spacing w:after="0" w:line="280" w:lineRule="auto"/>
        <w:rPr>
          <w:sz w:val="20"/>
          <w:szCs w:val="20"/>
          <w:color w:val="auto"/>
        </w:rPr>
      </w:pPr>
      <w:r>
        <w:rPr>
          <w:rFonts w:ascii="Times New Roman" w:cs="Times New Roman" w:eastAsia="Times New Roman" w:hAnsi="Times New Roman"/>
          <w:sz w:val="18"/>
          <w:szCs w:val="18"/>
          <w:color w:val="auto"/>
        </w:rPr>
        <w:t>We will not receive any proceeds from the exercise of the 2024 WTI Warrants, the 2025 WTI Warrants, the Innventure Warrants, or the Series A Warrants on a cashless basis.</w:t>
      </w:r>
    </w:p>
    <w:p>
      <w:pPr>
        <w:spacing w:after="0" w:line="55" w:lineRule="exact"/>
        <w:rPr>
          <w:sz w:val="20"/>
          <w:szCs w:val="20"/>
          <w:color w:val="auto"/>
        </w:rPr>
      </w:pPr>
    </w:p>
    <w:p>
      <w:pPr>
        <w:ind w:left="320" w:right="359" w:firstLine="358"/>
        <w:spacing w:after="0" w:line="25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2024 WTI Warrants, the 2025 WTI Warrants, the Innventure Warrants, and the Series A Warrants for general corporate purposes, which may include strategic investments in complementary businesses or technologies and repayment of outstanding indebtedness.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17" w:lineRule="exact"/>
        <w:rPr>
          <w:sz w:val="20"/>
          <w:szCs w:val="20"/>
          <w:color w:val="auto"/>
        </w:rPr>
      </w:pPr>
    </w:p>
    <w:p>
      <w:pPr>
        <w:ind w:left="320" w:right="379" w:firstLine="358"/>
        <w:spacing w:after="0" w:line="254" w:lineRule="auto"/>
        <w:rPr>
          <w:sz w:val="20"/>
          <w:szCs w:val="20"/>
          <w:color w:val="auto"/>
        </w:rPr>
      </w:pPr>
      <w:r>
        <w:rPr>
          <w:rFonts w:ascii="Times New Roman" w:cs="Times New Roman" w:eastAsia="Times New Roman" w:hAnsi="Times New Roman"/>
          <w:sz w:val="18"/>
          <w:szCs w:val="18"/>
          <w:i w:val="1"/>
          <w:iCs w:val="1"/>
          <w:color w:val="auto"/>
        </w:rPr>
        <w:t>Innventure has one class of securities registered under Section 12 of the Exchange Act: its Common Stock. The following description of our capital stock is a summary and is qualified in its entirety by provisions of Delaware law and by reference to the terms of our Amended and Restated Certificate of Incorporation (“A&amp;R Certificate of Incorporation”) and our By-laws (the “Bylaws”), which are incorporated herein by reference and attached as exhibits to Innventure’s most recent Annual Report on Form 10-K filed with the SEC. We encourage you to read these documents and the applicable portions of the Delaware General Corporation Law, as amended (the “DGCL”), as applicable, carefully and in their entirety because they describe your rights as a holder of shares of Common Stock.</w:t>
      </w: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left="320" w:right="399" w:firstLine="358"/>
        <w:spacing w:after="0" w:line="256" w:lineRule="auto"/>
        <w:rPr>
          <w:sz w:val="20"/>
          <w:szCs w:val="20"/>
          <w:color w:val="auto"/>
        </w:rPr>
      </w:pPr>
      <w:r>
        <w:rPr>
          <w:rFonts w:ascii="Times New Roman" w:cs="Times New Roman" w:eastAsia="Times New Roman" w:hAnsi="Times New Roman"/>
          <w:sz w:val="18"/>
          <w:szCs w:val="18"/>
          <w:color w:val="auto"/>
        </w:rPr>
        <w:t>We are authorized to issue 250,000,000 shares of Common Stock and 25,000,000 shares of preferred stock, par value $0.0001 per share. Of the 25,000,000 shares of preferred stock, 3,000,000 shares are designated as “Series B Preferred Stock,” and 5,000,000 shares are designated as “Series C Preferred Stock.” As of March 13, 2026, 80,069,319 shares of Common Stock were issued and outstanding, 35,792 shares of Series B Preferred Stock were issued and outstanding, and 159,270 shares of Series C Preferred Stock were issued and outstanding.</w:t>
      </w: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320" w:right="379" w:firstLine="358"/>
        <w:spacing w:after="0" w:line="252"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82" w:lineRule="exact"/>
        <w:rPr>
          <w:sz w:val="20"/>
          <w:szCs w:val="20"/>
          <w:color w:val="auto"/>
        </w:rPr>
      </w:pPr>
    </w:p>
    <w:p>
      <w:pPr>
        <w:ind w:left="320" w:right="339" w:firstLine="358"/>
        <w:spacing w:after="0" w:line="256"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9" w:lineRule="exact"/>
        <w:rPr>
          <w:sz w:val="20"/>
          <w:szCs w:val="20"/>
          <w:color w:val="auto"/>
        </w:rPr>
      </w:pPr>
    </w:p>
    <w:p>
      <w:pPr>
        <w:ind w:left="320" w:right="399" w:firstLine="358"/>
        <w:spacing w:after="0" w:line="270" w:lineRule="auto"/>
        <w:rPr>
          <w:sz w:val="20"/>
          <w:szCs w:val="20"/>
          <w:color w:val="auto"/>
        </w:rPr>
      </w:pPr>
      <w:r>
        <w:rPr>
          <w:rFonts w:ascii="Times New Roman" w:cs="Times New Roman" w:eastAsia="Times New Roman" w:hAnsi="Times New Roman"/>
          <w:sz w:val="17"/>
          <w:szCs w:val="17"/>
          <w:color w:val="auto"/>
        </w:rPr>
        <w:t>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68" w:lineRule="exact"/>
        <w:rPr>
          <w:sz w:val="20"/>
          <w:szCs w:val="20"/>
          <w:color w:val="auto"/>
        </w:rPr>
      </w:pPr>
    </w:p>
    <w:p>
      <w:pPr>
        <w:ind w:left="1020" w:right="659" w:hanging="350"/>
        <w:spacing w:after="0" w:line="28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15" w:lineRule="exact"/>
        <w:rPr>
          <w:rFonts w:ascii="Times New Roman" w:cs="Times New Roman" w:eastAsia="Times New Roman" w:hAnsi="Times New Roman"/>
          <w:sz w:val="18"/>
          <w:szCs w:val="18"/>
          <w:color w:val="auto"/>
        </w:rPr>
      </w:pPr>
    </w:p>
    <w:p>
      <w:pPr>
        <w:ind w:left="1020" w:right="439" w:hanging="350"/>
        <w:spacing w:after="0" w:line="28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54" w:lineRule="exact"/>
        <w:rPr>
          <w:rFonts w:ascii="Times New Roman" w:cs="Times New Roman" w:eastAsia="Times New Roman" w:hAnsi="Times New Roman"/>
          <w:sz w:val="18"/>
          <w:szCs w:val="18"/>
          <w:color w:val="auto"/>
        </w:rPr>
      </w:pPr>
    </w:p>
    <w:p>
      <w:pPr>
        <w:ind w:left="1020" w:right="539" w:hanging="350"/>
        <w:spacing w:after="0" w:line="28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539" w:hanging="350"/>
        <w:spacing w:after="0" w:line="28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Company;</w:t>
      </w:r>
    </w:p>
    <w:p>
      <w:pPr>
        <w:spacing w:after="0" w:line="54" w:lineRule="exact"/>
        <w:rPr>
          <w:rFonts w:ascii="Times New Roman" w:cs="Times New Roman" w:eastAsia="Times New Roman" w:hAnsi="Times New Roman"/>
          <w:sz w:val="18"/>
          <w:szCs w:val="18"/>
          <w:color w:val="auto"/>
        </w:rPr>
      </w:pPr>
    </w:p>
    <w:p>
      <w:pPr>
        <w:ind w:left="1020" w:right="359" w:hanging="350"/>
        <w:spacing w:after="0" w:line="259"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73" w:lineRule="exact"/>
        <w:rPr>
          <w:rFonts w:ascii="Times New Roman" w:cs="Times New Roman" w:eastAsia="Times New Roman" w:hAnsi="Times New Roman"/>
          <w:sz w:val="18"/>
          <w:szCs w:val="18"/>
          <w:color w:val="auto"/>
        </w:rPr>
      </w:pPr>
    </w:p>
    <w:p>
      <w:pPr>
        <w:ind w:left="1020" w:right="439" w:hanging="350"/>
        <w:spacing w:after="0" w:line="28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Company or any other corporation or other entity;</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15" w:lineRule="exact"/>
        <w:rPr>
          <w:rFonts w:ascii="Times New Roman" w:cs="Times New Roman" w:eastAsia="Times New Roman" w:hAnsi="Times New Roman"/>
          <w:sz w:val="18"/>
          <w:szCs w:val="18"/>
          <w:color w:val="auto"/>
        </w:rPr>
      </w:pPr>
    </w:p>
    <w:p>
      <w:pPr>
        <w:ind w:left="1020" w:right="399" w:hanging="350"/>
        <w:spacing w:after="0" w:line="28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54" w:lineRule="exact"/>
        <w:rPr>
          <w:rFonts w:ascii="Times New Roman" w:cs="Times New Roman" w:eastAsia="Times New Roman" w:hAnsi="Times New Roman"/>
          <w:sz w:val="18"/>
          <w:szCs w:val="18"/>
          <w:color w:val="auto"/>
        </w:rPr>
      </w:pPr>
    </w:p>
    <w:p>
      <w:pPr>
        <w:ind w:left="1020" w:right="819" w:hanging="350"/>
        <w:spacing w:after="0" w:line="26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69" w:lineRule="exact"/>
        <w:rPr>
          <w:sz w:val="20"/>
          <w:szCs w:val="20"/>
          <w:color w:val="auto"/>
        </w:rPr>
      </w:pPr>
    </w:p>
    <w:p>
      <w:pPr>
        <w:ind w:left="320" w:right="339" w:firstLine="358"/>
        <w:spacing w:after="0" w:line="254" w:lineRule="auto"/>
        <w:rPr>
          <w:sz w:val="20"/>
          <w:szCs w:val="20"/>
          <w:color w:val="auto"/>
        </w:rPr>
      </w:pPr>
      <w:r>
        <w:rPr>
          <w:rFonts w:ascii="Times New Roman" w:cs="Times New Roman" w:eastAsia="Times New Roman" w:hAnsi="Times New Roman"/>
          <w:sz w:val="18"/>
          <w:szCs w:val="18"/>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ind w:left="320" w:right="339" w:firstLine="358"/>
        <w:spacing w:after="0" w:line="253"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82" w:lineRule="exact"/>
        <w:rPr>
          <w:sz w:val="20"/>
          <w:szCs w:val="20"/>
          <w:color w:val="auto"/>
        </w:rPr>
      </w:pPr>
    </w:p>
    <w:p>
      <w:pPr>
        <w:ind w:left="320" w:right="339" w:firstLine="358"/>
        <w:spacing w:after="0" w:line="254"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79" w:lineRule="exact"/>
        <w:rPr>
          <w:sz w:val="20"/>
          <w:szCs w:val="20"/>
          <w:color w:val="auto"/>
        </w:rPr>
      </w:pPr>
    </w:p>
    <w:p>
      <w:pPr>
        <w:ind w:left="320" w:right="499" w:firstLine="358"/>
        <w:spacing w:after="0" w:line="256"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receives from its subsidiaries.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“INV.”</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19" w:lineRule="exact"/>
        <w:rPr>
          <w:sz w:val="20"/>
          <w:szCs w:val="20"/>
          <w:color w:val="auto"/>
        </w:rPr>
      </w:pPr>
    </w:p>
    <w:p>
      <w:pPr>
        <w:ind w:left="320" w:right="399" w:firstLine="358"/>
        <w:spacing w:after="0" w:line="264" w:lineRule="auto"/>
        <w:rPr>
          <w:sz w:val="20"/>
          <w:szCs w:val="20"/>
          <w:color w:val="auto"/>
        </w:rPr>
      </w:pPr>
      <w:r>
        <w:rPr>
          <w:rFonts w:ascii="Times New Roman" w:cs="Times New Roman" w:eastAsia="Times New Roman" w:hAnsi="Times New Roman"/>
          <w:sz w:val="18"/>
          <w:szCs w:val="18"/>
          <w:color w:val="auto"/>
        </w:rPr>
        <w:t>The Bylaws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320" w:right="639"/>
        <w:spacing w:after="0" w:line="284" w:lineRule="auto"/>
        <w:rPr>
          <w:sz w:val="20"/>
          <w:szCs w:val="20"/>
          <w:color w:val="auto"/>
        </w:rPr>
      </w:pPr>
      <w:r>
        <w:rPr>
          <w:rFonts w:ascii="Times New Roman" w:cs="Times New Roman" w:eastAsia="Times New Roman" w:hAnsi="Times New Roman"/>
          <w:sz w:val="18"/>
          <w:szCs w:val="18"/>
          <w:b w:val="1"/>
          <w:bCs w:val="1"/>
          <w:color w:val="auto"/>
        </w:rPr>
        <w:t>Anti-Takeover Effects of the Company’s A&amp;R Certificate of Incorporation and Amended and Bylaws and Certain Provisions of Delaware Law</w:t>
      </w:r>
    </w:p>
    <w:p>
      <w:pPr>
        <w:spacing w:after="0" w:line="52" w:lineRule="exact"/>
        <w:rPr>
          <w:sz w:val="20"/>
          <w:szCs w:val="20"/>
          <w:color w:val="auto"/>
        </w:rPr>
      </w:pPr>
    </w:p>
    <w:p>
      <w:pPr>
        <w:ind w:left="320" w:right="339" w:firstLine="358"/>
        <w:spacing w:after="0" w:line="253" w:lineRule="auto"/>
        <w:rPr>
          <w:sz w:val="20"/>
          <w:szCs w:val="20"/>
          <w:color w:val="auto"/>
        </w:rPr>
      </w:pPr>
      <w:r>
        <w:rPr>
          <w:rFonts w:ascii="Times New Roman" w:cs="Times New Roman" w:eastAsia="Times New Roman" w:hAnsi="Times New Roman"/>
          <w:sz w:val="18"/>
          <w:szCs w:val="18"/>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19" w:lineRule="exact"/>
        <w:rPr>
          <w:sz w:val="20"/>
          <w:szCs w:val="20"/>
          <w:color w:val="auto"/>
        </w:rPr>
      </w:pPr>
    </w:p>
    <w:p>
      <w:pPr>
        <w:ind w:left="320" w:right="359" w:firstLine="358"/>
        <w:spacing w:after="0" w:line="255"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78" w:lineRule="exact"/>
        <w:rPr>
          <w:sz w:val="20"/>
          <w:szCs w:val="20"/>
          <w:color w:val="auto"/>
        </w:rPr>
      </w:pPr>
    </w:p>
    <w:p>
      <w:pPr>
        <w:ind w:left="320" w:right="319" w:firstLine="358"/>
        <w:spacing w:after="0" w:line="256"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79" w:lineRule="exact"/>
        <w:rPr>
          <w:sz w:val="20"/>
          <w:szCs w:val="20"/>
          <w:color w:val="auto"/>
        </w:rPr>
      </w:pPr>
    </w:p>
    <w:p>
      <w:pPr>
        <w:ind w:left="320" w:right="519" w:firstLine="358"/>
        <w:spacing w:after="0" w:line="275"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9" w:lineRule="exact"/>
        <w:rPr>
          <w:sz w:val="20"/>
          <w:szCs w:val="20"/>
          <w:color w:val="auto"/>
        </w:rPr>
      </w:pPr>
    </w:p>
    <w:p>
      <w:pPr>
        <w:ind w:left="320" w:right="459" w:firstLine="358"/>
        <w:spacing w:after="0" w:line="252"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84" w:lineRule="exact"/>
        <w:rPr>
          <w:sz w:val="20"/>
          <w:szCs w:val="20"/>
          <w:color w:val="auto"/>
        </w:rPr>
      </w:pPr>
    </w:p>
    <w:p>
      <w:pPr>
        <w:ind w:left="320" w:right="319" w:firstLine="358"/>
        <w:spacing w:after="0" w:line="255"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19" w:lineRule="exact"/>
        <w:rPr>
          <w:sz w:val="20"/>
          <w:szCs w:val="20"/>
          <w:color w:val="auto"/>
        </w:rPr>
      </w:pPr>
    </w:p>
    <w:p>
      <w:pPr>
        <w:ind w:left="320" w:right="319" w:firstLine="358"/>
        <w:spacing w:after="0" w:line="255"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19" w:lineRule="exact"/>
        <w:rPr>
          <w:sz w:val="20"/>
          <w:szCs w:val="20"/>
          <w:color w:val="auto"/>
        </w:rPr>
      </w:pPr>
    </w:p>
    <w:p>
      <w:pPr>
        <w:ind w:left="320" w:right="419" w:firstLine="358"/>
        <w:spacing w:after="0" w:line="264"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19" w:lineRule="exact"/>
        <w:rPr>
          <w:sz w:val="20"/>
          <w:szCs w:val="20"/>
          <w:color w:val="auto"/>
        </w:rPr>
      </w:pPr>
    </w:p>
    <w:p>
      <w:pPr>
        <w:ind w:left="320" w:right="419" w:firstLine="358"/>
        <w:spacing w:after="0" w:line="253"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must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82" w:lineRule="exact"/>
        <w:rPr>
          <w:sz w:val="20"/>
          <w:szCs w:val="20"/>
          <w:color w:val="auto"/>
        </w:rPr>
      </w:pPr>
    </w:p>
    <w:p>
      <w:pPr>
        <w:ind w:left="320" w:right="579" w:firstLine="358"/>
        <w:spacing w:after="0" w:line="264"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19" w:lineRule="exact"/>
        <w:rPr>
          <w:sz w:val="20"/>
          <w:szCs w:val="20"/>
          <w:color w:val="auto"/>
        </w:rPr>
      </w:pPr>
    </w:p>
    <w:p>
      <w:pPr>
        <w:ind w:left="320" w:right="359" w:firstLine="358"/>
        <w:spacing w:after="0" w:line="255"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19" w:lineRule="exact"/>
        <w:rPr>
          <w:sz w:val="20"/>
          <w:szCs w:val="20"/>
          <w:color w:val="auto"/>
        </w:rPr>
      </w:pPr>
    </w:p>
    <w:p>
      <w:pPr>
        <w:ind w:left="320" w:right="399" w:firstLine="358"/>
        <w:spacing w:after="0" w:line="279" w:lineRule="auto"/>
        <w:rPr>
          <w:sz w:val="20"/>
          <w:szCs w:val="20"/>
          <w:color w:val="auto"/>
        </w:rPr>
      </w:pPr>
      <w:r>
        <w:rPr>
          <w:rFonts w:ascii="Times New Roman" w:cs="Times New Roman" w:eastAsia="Times New Roman" w:hAnsi="Times New Roman"/>
          <w:sz w:val="17"/>
          <w:szCs w:val="17"/>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19" w:lineRule="exact"/>
        <w:rPr>
          <w:sz w:val="20"/>
          <w:szCs w:val="20"/>
          <w:color w:val="auto"/>
        </w:rPr>
      </w:pPr>
    </w:p>
    <w:p>
      <w:pPr>
        <w:ind w:left="320" w:right="319" w:firstLine="358"/>
        <w:spacing w:after="0" w:line="259"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19" w:lineRule="exact"/>
        <w:rPr>
          <w:sz w:val="20"/>
          <w:szCs w:val="20"/>
          <w:color w:val="auto"/>
        </w:rPr>
      </w:pPr>
    </w:p>
    <w:p>
      <w:pPr>
        <w:ind w:left="320" w:right="459" w:firstLine="358"/>
        <w:spacing w:after="0" w:line="254"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19" w:lineRule="exact"/>
        <w:rPr>
          <w:sz w:val="20"/>
          <w:szCs w:val="20"/>
          <w:color w:val="auto"/>
        </w:rPr>
      </w:pPr>
    </w:p>
    <w:p>
      <w:pPr>
        <w:ind w:left="320" w:right="319" w:firstLine="358"/>
        <w:spacing w:after="0" w:line="259"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19" w:lineRule="exact"/>
        <w:rPr>
          <w:sz w:val="20"/>
          <w:szCs w:val="20"/>
          <w:color w:val="auto"/>
        </w:rPr>
      </w:pPr>
    </w:p>
    <w:p>
      <w:pPr>
        <w:ind w:left="320" w:right="339" w:firstLine="358"/>
        <w:spacing w:after="0" w:line="250" w:lineRule="auto"/>
        <w:rPr>
          <w:sz w:val="20"/>
          <w:szCs w:val="20"/>
          <w:color w:val="auto"/>
        </w:rPr>
      </w:pPr>
      <w:r>
        <w:rPr>
          <w:rFonts w:ascii="Times New Roman" w:cs="Times New Roman" w:eastAsia="Times New Roman" w:hAnsi="Times New Roman"/>
          <w:sz w:val="18"/>
          <w:szCs w:val="18"/>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19" w:lineRule="exact"/>
        <w:rPr>
          <w:sz w:val="20"/>
          <w:szCs w:val="20"/>
          <w:color w:val="auto"/>
        </w:rPr>
      </w:pPr>
    </w:p>
    <w:p>
      <w:pPr>
        <w:ind w:left="320" w:right="399" w:firstLine="358"/>
        <w:spacing w:after="0" w:line="279" w:lineRule="auto"/>
        <w:rPr>
          <w:sz w:val="20"/>
          <w:szCs w:val="20"/>
          <w:color w:val="auto"/>
        </w:rPr>
      </w:pPr>
      <w:r>
        <w:rPr>
          <w:rFonts w:ascii="Times New Roman" w:cs="Times New Roman" w:eastAsia="Times New Roman" w:hAnsi="Times New Roman"/>
          <w:sz w:val="17"/>
          <w:szCs w:val="17"/>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58" w:lineRule="exact"/>
        <w:rPr>
          <w:sz w:val="20"/>
          <w:szCs w:val="20"/>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15" w:lineRule="exact"/>
        <w:rPr>
          <w:rFonts w:ascii="Times New Roman" w:cs="Times New Roman" w:eastAsia="Times New Roman" w:hAnsi="Times New Roman"/>
          <w:sz w:val="18"/>
          <w:szCs w:val="18"/>
          <w:color w:val="auto"/>
        </w:rPr>
      </w:pPr>
    </w:p>
    <w:p>
      <w:pPr>
        <w:ind w:left="1020" w:right="519" w:hanging="350"/>
        <w:spacing w:after="0" w:line="28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54" w:lineRule="exact"/>
        <w:rPr>
          <w:rFonts w:ascii="Times New Roman" w:cs="Times New Roman" w:eastAsia="Times New Roman" w:hAnsi="Times New Roman"/>
          <w:sz w:val="18"/>
          <w:szCs w:val="18"/>
          <w:color w:val="auto"/>
        </w:rPr>
      </w:pPr>
    </w:p>
    <w:p>
      <w:pPr>
        <w:ind w:left="1020" w:right="479" w:hanging="350"/>
        <w:spacing w:after="0" w:line="28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115" w:lineRule="exact"/>
        <w:rPr>
          <w:sz w:val="20"/>
          <w:szCs w:val="20"/>
          <w:color w:val="auto"/>
        </w:rPr>
      </w:pPr>
    </w:p>
    <w:p>
      <w:pPr>
        <w:ind w:left="320" w:right="339" w:firstLine="358"/>
        <w:spacing w:after="0" w:line="255"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78" w:lineRule="exact"/>
        <w:rPr>
          <w:sz w:val="20"/>
          <w:szCs w:val="20"/>
          <w:color w:val="auto"/>
        </w:rPr>
      </w:pPr>
    </w:p>
    <w:p>
      <w:pPr>
        <w:ind w:left="320" w:right="419" w:firstLine="358"/>
        <w:spacing w:after="0" w:line="259"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74" w:lineRule="exact"/>
        <w:rPr>
          <w:sz w:val="20"/>
          <w:szCs w:val="20"/>
          <w:color w:val="auto"/>
        </w:rPr>
      </w:pPr>
    </w:p>
    <w:p>
      <w:pPr>
        <w:ind w:left="320" w:right="339" w:firstLine="358"/>
        <w:spacing w:after="0" w:line="273" w:lineRule="auto"/>
        <w:rPr>
          <w:sz w:val="20"/>
          <w:szCs w:val="20"/>
          <w:color w:val="auto"/>
        </w:rPr>
      </w:pPr>
      <w:r>
        <w:rPr>
          <w:rFonts w:ascii="Times New Roman" w:cs="Times New Roman" w:eastAsia="Times New Roman" w:hAnsi="Times New Roman"/>
          <w:sz w:val="17"/>
          <w:szCs w:val="17"/>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19" w:lineRule="exact"/>
        <w:rPr>
          <w:sz w:val="20"/>
          <w:szCs w:val="20"/>
          <w:color w:val="auto"/>
        </w:rPr>
      </w:pPr>
    </w:p>
    <w:p>
      <w:pPr>
        <w:ind w:left="1300" w:right="1320" w:firstLine="358"/>
        <w:spacing w:after="0" w:line="266" w:lineRule="auto"/>
        <w:rPr>
          <w:sz w:val="20"/>
          <w:szCs w:val="20"/>
          <w:color w:val="auto"/>
        </w:rPr>
      </w:pPr>
      <w:r>
        <w:rPr>
          <w:rFonts w:ascii="Times New Roman" w:cs="Times New Roman" w:eastAsia="Times New Roman" w:hAnsi="Times New Roman"/>
          <w:sz w:val="17"/>
          <w:szCs w:val="17"/>
          <w:color w:val="auto"/>
        </w:rPr>
        <w:t>This prospectus relates to the resale by the Selling Stockholders or their permitted transferees from time to time of up to 41,291,719 shares of Common Stock. The shares of Common Stock to which this prospectus relates consist of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 (iv) 3,333,334 shares of Common Stock that may be issued upon exercise of the 2024 WTI Warrants held by the WTI Holders; (v) up to 8,480,518 shares of Common Stock that were issued and may be issued upon conversion of Series C Preferred Stock; (vi) up to 1,000,000 shares of Common Stock that may be issued upon exercise of the 2025 WTI Warrants held by the</w:t>
      </w:r>
    </w:p>
    <w:p>
      <w:pPr>
        <w:spacing w:after="0" w:line="4" w:lineRule="exact"/>
        <w:rPr>
          <w:sz w:val="20"/>
          <w:szCs w:val="20"/>
          <w:color w:val="auto"/>
        </w:rPr>
      </w:pPr>
    </w:p>
    <w:p>
      <w:pPr>
        <w:ind w:left="1300" w:right="1300"/>
        <w:spacing w:after="0" w:line="251" w:lineRule="auto"/>
        <w:rPr>
          <w:sz w:val="20"/>
          <w:szCs w:val="20"/>
          <w:color w:val="auto"/>
        </w:rPr>
      </w:pPr>
      <w:r>
        <w:rPr>
          <w:rFonts w:ascii="Times New Roman" w:cs="Times New Roman" w:eastAsia="Times New Roman" w:hAnsi="Times New Roman"/>
          <w:sz w:val="18"/>
          <w:szCs w:val="18"/>
          <w:color w:val="auto"/>
        </w:rPr>
        <w:t>WTI Holders; (vii) up to 3,250,470 shares of Common Stock issued and issuable pursuant to the terms of the Subscription Agreements entered into with the Subscribers, consisting of (a) 1,625,235 shares of Common Stock issued to the Subscribers and (b) 1,625,235 shares that may be issued upon exercise of the Series A Warrants held by the Subscribers; and (viii) 65,000 shares of Common Stock that were issued upon conversion of the Convertible Debentures issued to Yorkville pursuant to the Securities Purchase Agreement.</w:t>
      </w:r>
    </w:p>
    <w:p>
      <w:pPr>
        <w:spacing w:after="0" w:line="81" w:lineRule="exact"/>
        <w:rPr>
          <w:sz w:val="20"/>
          <w:szCs w:val="20"/>
          <w:color w:val="auto"/>
        </w:rPr>
      </w:pPr>
    </w:p>
    <w:p>
      <w:pPr>
        <w:ind w:left="1300" w:right="1380" w:firstLine="358"/>
        <w:spacing w:after="0" w:line="254" w:lineRule="auto"/>
        <w:rPr>
          <w:sz w:val="20"/>
          <w:szCs w:val="20"/>
          <w:color w:val="auto"/>
        </w:rPr>
      </w:pPr>
      <w:r>
        <w:rPr>
          <w:rFonts w:ascii="Times New Roman" w:cs="Times New Roman" w:eastAsia="Times New Roman" w:hAnsi="Times New Roman"/>
          <w:sz w:val="18"/>
          <w:szCs w:val="18"/>
          <w:color w:val="auto"/>
        </w:rPr>
        <w:t>As used in this prospectus, the term “Selling Stockholders” means the persons listed in the table below and the pledgees, donees, transferees, assignees, successors, designees and others who later come to hold any of the Selling Stockholders’ interest in our Common Stock other than through a public sale. The Selling Stockholders may from time to time offer and sell any or all of our Common Stock set forth below pursuant to this prospectus and any accompanying prospectus supplement. Except as otherwise described below and for the ownership of the shares of our Common Stock, the Selling Stockholders have not had any material relationship with us or our predecessors or affiliates within the past three years.</w:t>
      </w:r>
    </w:p>
    <w:p>
      <w:pPr>
        <w:spacing w:after="0" w:line="79" w:lineRule="exact"/>
        <w:rPr>
          <w:sz w:val="20"/>
          <w:szCs w:val="20"/>
          <w:color w:val="auto"/>
        </w:rPr>
      </w:pPr>
    </w:p>
    <w:p>
      <w:pPr>
        <w:ind w:left="1300" w:right="1300" w:firstLine="358"/>
        <w:spacing w:after="0" w:line="254" w:lineRule="auto"/>
        <w:rPr>
          <w:sz w:val="20"/>
          <w:szCs w:val="20"/>
          <w:color w:val="auto"/>
        </w:rPr>
      </w:pPr>
      <w:r>
        <w:rPr>
          <w:rFonts w:ascii="Times New Roman" w:cs="Times New Roman" w:eastAsia="Times New Roman" w:hAnsi="Times New Roman"/>
          <w:sz w:val="18"/>
          <w:szCs w:val="18"/>
          <w:color w:val="auto"/>
        </w:rPr>
        <w:t>Unless otherwise noted below, the following table sets forth, as of February 3, 2026,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The Selling Stockholders may sell or otherwise transfer all, some or none of such shares in this offering.</w:t>
      </w:r>
    </w:p>
    <w:p>
      <w:pPr>
        <w:spacing w:after="0" w:line="79" w:lineRule="exact"/>
        <w:rPr>
          <w:sz w:val="20"/>
          <w:szCs w:val="20"/>
          <w:color w:val="auto"/>
        </w:rPr>
      </w:pPr>
    </w:p>
    <w:p>
      <w:pPr>
        <w:ind w:left="1300" w:right="1320" w:firstLine="358"/>
        <w:spacing w:after="0" w:line="253" w:lineRule="auto"/>
        <w:rPr>
          <w:sz w:val="20"/>
          <w:szCs w:val="20"/>
          <w:color w:val="auto"/>
        </w:rPr>
      </w:pPr>
      <w:r>
        <w:rPr>
          <w:rFonts w:ascii="Times New Roman" w:cs="Times New Roman" w:eastAsia="Times New Roman" w:hAnsi="Times New Roman"/>
          <w:sz w:val="18"/>
          <w:szCs w:val="18"/>
          <w:color w:val="auto"/>
        </w:rPr>
        <w:t>We have based percentage ownership on 80,069,319 shares of Common Stock outstanding as of March 13, 2026. 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 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82" w:lineRule="exact"/>
        <w:rPr>
          <w:sz w:val="20"/>
          <w:szCs w:val="20"/>
          <w:color w:val="auto"/>
        </w:rPr>
      </w:pPr>
    </w:p>
    <w:p>
      <w:pPr>
        <w:ind w:left="1300" w:right="1360" w:firstLine="358"/>
        <w:spacing w:after="0" w:line="279" w:lineRule="auto"/>
        <w:rPr>
          <w:sz w:val="20"/>
          <w:szCs w:val="20"/>
          <w:color w:val="auto"/>
        </w:rPr>
      </w:pPr>
      <w:r>
        <w:rPr>
          <w:rFonts w:ascii="Times New Roman" w:cs="Times New Roman" w:eastAsia="Times New Roman" w:hAnsi="Times New Roman"/>
          <w:sz w:val="17"/>
          <w:szCs w:val="17"/>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the Selling Stockholder and the number of shares registered on its behalf.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B Preferred Stock</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Albert Aaron and Ethel C Mason Berg</w:t>
            </w:r>
          </w:p>
        </w:tc>
        <w:tc>
          <w:tcPr>
            <w:tcW w:w="1240" w:type="dxa"/>
            <w:vAlign w:val="bottom"/>
            <w:gridSpan w:val="2"/>
          </w:tcPr>
          <w:p>
            <w:pPr>
              <w:jc w:val="right"/>
              <w:ind w:right="28"/>
              <w:spacing w:after="0" w:line="242" w:lineRule="exact"/>
              <w:rPr>
                <w:sz w:val="20"/>
                <w:szCs w:val="20"/>
                <w:color w:val="auto"/>
              </w:rPr>
            </w:pPr>
            <w:r>
              <w:rPr>
                <w:rFonts w:ascii="Times New Roman" w:cs="Times New Roman" w:eastAsia="Times New Roman" w:hAnsi="Times New Roman"/>
                <w:sz w:val="17"/>
                <w:szCs w:val="17"/>
                <w:color w:val="auto"/>
              </w:rPr>
              <w:t>39,921</w:t>
            </w:r>
            <w:r>
              <w:rPr>
                <w:rFonts w:ascii="Times New Roman" w:cs="Times New Roman" w:eastAsia="Times New Roman" w:hAnsi="Times New Roman"/>
                <w:sz w:val="28"/>
                <w:szCs w:val="28"/>
                <w:color w:val="auto"/>
                <w:vertAlign w:val="superscript"/>
              </w:rPr>
              <w:t>(1)</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10,198</w:t>
            </w:r>
          </w:p>
        </w:tc>
        <w:tc>
          <w:tcPr>
            <w:tcW w:w="110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29,723</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and Kelly Bradshaw</w:t>
            </w:r>
          </w:p>
        </w:tc>
        <w:tc>
          <w:tcPr>
            <w:tcW w:w="1240" w:type="dxa"/>
            <w:vAlign w:val="bottom"/>
            <w:gridSpan w:val="2"/>
            <w:shd w:val="clear" w:color="auto" w:fill="CCEEFF"/>
          </w:tcPr>
          <w:p>
            <w:pPr>
              <w:jc w:val="right"/>
              <w:ind w:right="28"/>
              <w:spacing w:after="0" w:line="242" w:lineRule="exact"/>
              <w:rPr>
                <w:sz w:val="20"/>
                <w:szCs w:val="20"/>
                <w:color w:val="auto"/>
              </w:rPr>
            </w:pPr>
            <w:r>
              <w:rPr>
                <w:rFonts w:ascii="Times New Roman" w:cs="Times New Roman" w:eastAsia="Times New Roman" w:hAnsi="Times New Roman"/>
                <w:sz w:val="17"/>
                <w:szCs w:val="17"/>
                <w:color w:val="auto"/>
              </w:rPr>
              <w:t>21,735</w:t>
            </w:r>
            <w:r>
              <w:rPr>
                <w:rFonts w:ascii="Times New Roman" w:cs="Times New Roman" w:eastAsia="Times New Roman" w:hAnsi="Times New Roman"/>
                <w:sz w:val="28"/>
                <w:szCs w:val="28"/>
                <w:color w:val="auto"/>
                <w:vertAlign w:val="superscript"/>
              </w:rPr>
              <w:t>(2)</w:t>
            </w:r>
          </w:p>
        </w:tc>
        <w:tc>
          <w:tcPr>
            <w:tcW w:w="14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4,078</w:t>
            </w:r>
          </w:p>
        </w:tc>
        <w:tc>
          <w:tcPr>
            <w:tcW w:w="110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17,657</w:t>
            </w:r>
          </w:p>
        </w:tc>
        <w:tc>
          <w:tcPr>
            <w:tcW w:w="11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and Donna Corley</w:t>
            </w:r>
          </w:p>
        </w:tc>
        <w:tc>
          <w:tcPr>
            <w:tcW w:w="1240" w:type="dxa"/>
            <w:vAlign w:val="bottom"/>
            <w:gridSpan w:val="2"/>
          </w:tcPr>
          <w:p>
            <w:pPr>
              <w:jc w:val="right"/>
              <w:ind w:right="28"/>
              <w:spacing w:after="0" w:line="242" w:lineRule="exact"/>
              <w:rPr>
                <w:sz w:val="20"/>
                <w:szCs w:val="20"/>
                <w:color w:val="auto"/>
              </w:rPr>
            </w:pPr>
            <w:r>
              <w:rPr>
                <w:rFonts w:ascii="Times New Roman" w:cs="Times New Roman" w:eastAsia="Times New Roman" w:hAnsi="Times New Roman"/>
                <w:sz w:val="17"/>
                <w:szCs w:val="17"/>
                <w:color w:val="auto"/>
              </w:rPr>
              <w:t>96,487</w:t>
            </w:r>
            <w:r>
              <w:rPr>
                <w:rFonts w:ascii="Times New Roman" w:cs="Times New Roman" w:eastAsia="Times New Roman" w:hAnsi="Times New Roman"/>
                <w:sz w:val="28"/>
                <w:szCs w:val="28"/>
                <w:color w:val="auto"/>
                <w:vertAlign w:val="superscript"/>
              </w:rPr>
              <w:t>(3)</w:t>
            </w:r>
          </w:p>
        </w:tc>
        <w:tc>
          <w:tcPr>
            <w:tcW w:w="1480" w:type="dxa"/>
            <w:vAlign w:val="bottom"/>
            <w:gridSpan w:val="2"/>
          </w:tcPr>
          <w:p>
            <w:pPr>
              <w:ind w:left="560"/>
              <w:spacing w:after="0" w:line="242" w:lineRule="exact"/>
              <w:rPr>
                <w:sz w:val="20"/>
                <w:szCs w:val="20"/>
                <w:color w:val="auto"/>
              </w:rPr>
            </w:pPr>
            <w:r>
              <w:rPr>
                <w:rFonts w:ascii="Times New Roman" w:cs="Times New Roman" w:eastAsia="Times New Roman" w:hAnsi="Times New Roman"/>
                <w:sz w:val="17"/>
                <w:szCs w:val="17"/>
                <w:color w:val="auto"/>
              </w:rPr>
              <w:t>29,719</w:t>
            </w:r>
            <w:r>
              <w:rPr>
                <w:rFonts w:ascii="Times New Roman" w:cs="Times New Roman" w:eastAsia="Times New Roman" w:hAnsi="Times New Roman"/>
                <w:sz w:val="28"/>
                <w:szCs w:val="28"/>
                <w:color w:val="auto"/>
                <w:vertAlign w:val="superscript"/>
              </w:rPr>
              <w:t>(4)</w:t>
            </w:r>
          </w:p>
        </w:tc>
        <w:tc>
          <w:tcPr>
            <w:tcW w:w="110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74,461</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 Eljach</w:t>
            </w:r>
          </w:p>
        </w:tc>
        <w:tc>
          <w:tcPr>
            <w:tcW w:w="1240" w:type="dxa"/>
            <w:vAlign w:val="bottom"/>
            <w:gridSpan w:val="2"/>
            <w:shd w:val="clear" w:color="auto" w:fill="CCEEFF"/>
          </w:tcPr>
          <w:p>
            <w:pPr>
              <w:jc w:val="right"/>
              <w:ind w:right="8"/>
              <w:spacing w:after="0" w:line="242" w:lineRule="exact"/>
              <w:rPr>
                <w:sz w:val="20"/>
                <w:szCs w:val="20"/>
                <w:color w:val="auto"/>
              </w:rPr>
            </w:pPr>
            <w:r>
              <w:rPr>
                <w:rFonts w:ascii="Times New Roman" w:cs="Times New Roman" w:eastAsia="Times New Roman" w:hAnsi="Times New Roman"/>
                <w:sz w:val="17"/>
                <w:szCs w:val="17"/>
                <w:color w:val="auto"/>
              </w:rPr>
              <w:t>109,418</w:t>
            </w:r>
            <w:r>
              <w:rPr>
                <w:rFonts w:ascii="Times New Roman" w:cs="Times New Roman" w:eastAsia="Times New Roman" w:hAnsi="Times New Roman"/>
                <w:sz w:val="28"/>
                <w:szCs w:val="28"/>
                <w:color w:val="auto"/>
                <w:vertAlign w:val="superscript"/>
              </w:rPr>
              <w:t>(5)</w:t>
            </w:r>
          </w:p>
        </w:tc>
        <w:tc>
          <w:tcPr>
            <w:tcW w:w="1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20,396</w:t>
            </w:r>
          </w:p>
        </w:tc>
        <w:tc>
          <w:tcPr>
            <w:tcW w:w="110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89,022</w:t>
            </w:r>
          </w:p>
        </w:tc>
        <w:tc>
          <w:tcPr>
            <w:tcW w:w="11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3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James Nathan Galbreath</w:t>
            </w: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11,218</w:t>
            </w:r>
            <w:r>
              <w:rPr>
                <w:rFonts w:ascii="Times New Roman" w:cs="Times New Roman" w:eastAsia="Times New Roman" w:hAnsi="Times New Roman"/>
                <w:sz w:val="29"/>
                <w:szCs w:val="29"/>
                <w:color w:val="auto"/>
                <w:vertAlign w:val="superscript"/>
              </w:rPr>
              <w:t>(6)</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Pr>
          <w:p>
            <w:pPr>
              <w:spacing w:after="0"/>
              <w:rPr>
                <w:sz w:val="24"/>
                <w:szCs w:val="24"/>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63" w:right="47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and Kristin Haughton</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6"/>
              <w:spacing w:after="0" w:line="249" w:lineRule="exact"/>
              <w:rPr>
                <w:sz w:val="20"/>
                <w:szCs w:val="20"/>
                <w:color w:val="auto"/>
              </w:rPr>
            </w:pPr>
            <w:r>
              <w:rPr>
                <w:rFonts w:ascii="Times New Roman" w:cs="Times New Roman" w:eastAsia="Times New Roman" w:hAnsi="Times New Roman"/>
                <w:sz w:val="17"/>
                <w:szCs w:val="17"/>
                <w:color w:val="auto"/>
              </w:rPr>
              <w:t>61,192</w:t>
            </w:r>
            <w:r>
              <w:rPr>
                <w:rFonts w:ascii="Times New Roman" w:cs="Times New Roman" w:eastAsia="Times New Roman" w:hAnsi="Times New Roman"/>
                <w:sz w:val="28"/>
                <w:szCs w:val="28"/>
                <w:color w:val="auto"/>
                <w:vertAlign w:val="superscript"/>
              </w:rPr>
              <w:t>(7)</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61,192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Kaitlan Hawkins</w:t>
            </w:r>
          </w:p>
        </w:tc>
        <w:tc>
          <w:tcPr>
            <w:tcW w:w="1300" w:type="dxa"/>
            <w:vAlign w:val="bottom"/>
            <w:gridSpan w:val="2"/>
          </w:tcPr>
          <w:p>
            <w:pPr>
              <w:jc w:val="right"/>
              <w:ind w:right="26"/>
              <w:spacing w:after="0" w:line="242" w:lineRule="exact"/>
              <w:rPr>
                <w:sz w:val="20"/>
                <w:szCs w:val="20"/>
                <w:color w:val="auto"/>
              </w:rPr>
            </w:pPr>
            <w:r>
              <w:rPr>
                <w:rFonts w:ascii="Times New Roman" w:cs="Times New Roman" w:eastAsia="Times New Roman" w:hAnsi="Times New Roman"/>
                <w:sz w:val="17"/>
                <w:szCs w:val="17"/>
                <w:color w:val="auto"/>
              </w:rPr>
              <w:t>33,832</w:t>
            </w:r>
            <w:r>
              <w:rPr>
                <w:rFonts w:ascii="Times New Roman" w:cs="Times New Roman" w:eastAsia="Times New Roman" w:hAnsi="Times New Roman"/>
                <w:sz w:val="28"/>
                <w:szCs w:val="28"/>
                <w:color w:val="auto"/>
                <w:vertAlign w:val="superscript"/>
              </w:rPr>
              <w:t>(8)</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4,078</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29,754</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Chi Lim</w:t>
            </w:r>
          </w:p>
        </w:tc>
        <w:tc>
          <w:tcPr>
            <w:tcW w:w="1300" w:type="dxa"/>
            <w:vAlign w:val="bottom"/>
            <w:gridSpan w:val="2"/>
            <w:shd w:val="clear" w:color="auto" w:fill="CCEEFF"/>
          </w:tcPr>
          <w:p>
            <w:pPr>
              <w:jc w:val="right"/>
              <w:ind w:right="26"/>
              <w:spacing w:after="0" w:line="242" w:lineRule="exact"/>
              <w:rPr>
                <w:sz w:val="20"/>
                <w:szCs w:val="20"/>
                <w:color w:val="auto"/>
              </w:rPr>
            </w:pPr>
            <w:r>
              <w:rPr>
                <w:rFonts w:ascii="Times New Roman" w:cs="Times New Roman" w:eastAsia="Times New Roman" w:hAnsi="Times New Roman"/>
                <w:sz w:val="17"/>
                <w:szCs w:val="17"/>
                <w:color w:val="auto"/>
              </w:rPr>
              <w:t>70,221</w:t>
            </w:r>
            <w:r>
              <w:rPr>
                <w:rFonts w:ascii="Times New Roman" w:cs="Times New Roman" w:eastAsia="Times New Roman" w:hAnsi="Times New Roman"/>
                <w:sz w:val="28"/>
                <w:szCs w:val="28"/>
                <w:color w:val="auto"/>
                <w:vertAlign w:val="superscript"/>
              </w:rPr>
              <w:t>(9)</w:t>
            </w:r>
          </w:p>
        </w:tc>
        <w:tc>
          <w:tcPr>
            <w:tcW w:w="1460" w:type="dxa"/>
            <w:vAlign w:val="bottom"/>
            <w:gridSpan w:val="2"/>
            <w:shd w:val="clear" w:color="auto" w:fill="CCEEFF"/>
          </w:tcPr>
          <w:p>
            <w:pPr>
              <w:jc w:val="right"/>
              <w:ind w:right="28"/>
              <w:spacing w:after="0" w:line="242" w:lineRule="exact"/>
              <w:rPr>
                <w:sz w:val="20"/>
                <w:szCs w:val="20"/>
                <w:color w:val="auto"/>
              </w:rPr>
            </w:pPr>
            <w:r>
              <w:rPr>
                <w:rFonts w:ascii="Times New Roman" w:cs="Times New Roman" w:eastAsia="Times New Roman" w:hAnsi="Times New Roman"/>
                <w:sz w:val="17"/>
                <w:szCs w:val="17"/>
                <w:color w:val="auto"/>
              </w:rPr>
              <w:t>14,860</w:t>
            </w:r>
            <w:r>
              <w:rPr>
                <w:rFonts w:ascii="Times New Roman" w:cs="Times New Roman" w:eastAsia="Times New Roman" w:hAnsi="Times New Roman"/>
                <w:sz w:val="28"/>
                <w:szCs w:val="28"/>
                <w:color w:val="auto"/>
                <w:vertAlign w:val="superscript"/>
              </w:rPr>
              <w:t>(4)</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59,209</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Vikash Patel</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10,198</w:t>
            </w:r>
            <w:r>
              <w:rPr>
                <w:rFonts w:ascii="Times New Roman" w:cs="Times New Roman" w:eastAsia="Times New Roman" w:hAnsi="Times New Roman"/>
                <w:sz w:val="28"/>
                <w:szCs w:val="28"/>
                <w:color w:val="auto"/>
                <w:vertAlign w:val="superscript"/>
              </w:rPr>
              <w:t>(10)</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10,198</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Alan Runyan</w:t>
            </w:r>
          </w:p>
        </w:tc>
        <w:tc>
          <w:tcPr>
            <w:tcW w:w="130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150,546</w:t>
            </w:r>
            <w:r>
              <w:rPr>
                <w:rFonts w:ascii="Times New Roman" w:cs="Times New Roman" w:eastAsia="Times New Roman" w:hAnsi="Times New Roman"/>
                <w:sz w:val="28"/>
                <w:szCs w:val="28"/>
                <w:color w:val="auto"/>
                <w:vertAlign w:val="superscript"/>
              </w:rPr>
              <w:t>(11)</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61,192</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89,354</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and Holly Sellers</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60,949</w:t>
            </w:r>
            <w:r>
              <w:rPr>
                <w:rFonts w:ascii="Times New Roman" w:cs="Times New Roman" w:eastAsia="Times New Roman" w:hAnsi="Times New Roman"/>
                <w:sz w:val="28"/>
                <w:szCs w:val="28"/>
                <w:color w:val="auto"/>
                <w:vertAlign w:val="superscript"/>
              </w:rPr>
              <w:t>(12)</w:t>
            </w:r>
          </w:p>
        </w:tc>
        <w:tc>
          <w:tcPr>
            <w:tcW w:w="1460" w:type="dxa"/>
            <w:vAlign w:val="bottom"/>
            <w:gridSpan w:val="2"/>
          </w:tcPr>
          <w:p>
            <w:pPr>
              <w:jc w:val="right"/>
              <w:ind w:right="28"/>
              <w:spacing w:after="0" w:line="242" w:lineRule="exact"/>
              <w:rPr>
                <w:sz w:val="20"/>
                <w:szCs w:val="20"/>
                <w:color w:val="auto"/>
              </w:rPr>
            </w:pPr>
            <w:r>
              <w:rPr>
                <w:rFonts w:ascii="Times New Roman" w:cs="Times New Roman" w:eastAsia="Times New Roman" w:hAnsi="Times New Roman"/>
                <w:sz w:val="17"/>
                <w:szCs w:val="17"/>
                <w:color w:val="auto"/>
              </w:rPr>
              <w:t>22,290</w:t>
            </w:r>
            <w:r>
              <w:rPr>
                <w:rFonts w:ascii="Times New Roman" w:cs="Times New Roman" w:eastAsia="Times New Roman" w:hAnsi="Times New Roman"/>
                <w:sz w:val="28"/>
                <w:szCs w:val="28"/>
                <w:color w:val="auto"/>
                <w:vertAlign w:val="superscript"/>
              </w:rPr>
              <w:t>(4)</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44,429</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 Shaw</w:t>
            </w:r>
          </w:p>
        </w:tc>
        <w:tc>
          <w:tcPr>
            <w:tcW w:w="130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28"/>
                <w:szCs w:val="28"/>
                <w:color w:val="auto"/>
                <w:vertAlign w:val="subscript"/>
              </w:rPr>
              <w:t>96</w:t>
            </w:r>
            <w:r>
              <w:rPr>
                <w:rFonts w:ascii="Times New Roman" w:cs="Times New Roman" w:eastAsia="Times New Roman" w:hAnsi="Times New Roman"/>
                <w:sz w:val="13"/>
                <w:szCs w:val="13"/>
                <w:color w:val="auto"/>
              </w:rPr>
              <w:t>(13)</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Commonwealth Asset Management Global</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1,529,836</w:t>
            </w:r>
            <w:r>
              <w:rPr>
                <w:rFonts w:ascii="Times New Roman" w:cs="Times New Roman" w:eastAsia="Times New Roman" w:hAnsi="Times New Roman"/>
                <w:sz w:val="29"/>
                <w:szCs w:val="29"/>
                <w:color w:val="auto"/>
                <w:vertAlign w:val="superscript"/>
              </w:rPr>
              <w:t>(14)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Macro Master Fund Ltd.</w:t>
            </w:r>
          </w:p>
        </w:tc>
        <w:tc>
          <w:tcPr>
            <w:tcW w:w="1300" w:type="dxa"/>
            <w:vAlign w:val="bottom"/>
            <w:gridSpan w:val="2"/>
            <w:vMerge w:val="continue"/>
          </w:tcPr>
          <w:p>
            <w:pPr>
              <w:spacing w:after="0"/>
              <w:rPr>
                <w:sz w:val="21"/>
                <w:szCs w:val="21"/>
                <w:color w:val="auto"/>
              </w:rPr>
            </w:pP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1,529,836</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Javid Mu'az Baksh Living Trust dated</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r>
              <w:rPr>
                <w:rFonts w:ascii="Times New Roman" w:cs="Times New Roman" w:eastAsia="Times New Roman" w:hAnsi="Times New Roman"/>
                <w:sz w:val="29"/>
                <w:szCs w:val="29"/>
                <w:color w:val="auto"/>
                <w:vertAlign w:val="superscript"/>
              </w:rPr>
              <w:t>(15)</w:t>
            </w:r>
          </w:p>
        </w:tc>
        <w:tc>
          <w:tcPr>
            <w:tcW w:w="14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9, 2014</w:t>
            </w:r>
          </w:p>
        </w:tc>
        <w:tc>
          <w:tcPr>
            <w:tcW w:w="130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SP3 Investments LLC</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169,321</w:t>
            </w:r>
            <w:r>
              <w:rPr>
                <w:rFonts w:ascii="Times New Roman" w:cs="Times New Roman" w:eastAsia="Times New Roman" w:hAnsi="Times New Roman"/>
                <w:sz w:val="28"/>
                <w:szCs w:val="28"/>
                <w:color w:val="auto"/>
                <w:vertAlign w:val="superscript"/>
              </w:rPr>
              <w:t>(16)</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20,396</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148,925</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TDC Ventures, LP</w:t>
            </w:r>
          </w:p>
        </w:tc>
        <w:tc>
          <w:tcPr>
            <w:tcW w:w="130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694,308</w:t>
            </w:r>
            <w:r>
              <w:rPr>
                <w:rFonts w:ascii="Times New Roman" w:cs="Times New Roman" w:eastAsia="Times New Roman" w:hAnsi="Times New Roman"/>
                <w:sz w:val="28"/>
                <w:szCs w:val="28"/>
                <w:color w:val="auto"/>
                <w:vertAlign w:val="superscript"/>
              </w:rPr>
              <w:t>(17)</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101,988</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592,320</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Irrevocable Aloha Trust</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1,741,143</w:t>
            </w:r>
            <w:r>
              <w:rPr>
                <w:rFonts w:ascii="Times New Roman" w:cs="Times New Roman" w:eastAsia="Times New Roman" w:hAnsi="Times New Roman"/>
                <w:sz w:val="28"/>
                <w:szCs w:val="28"/>
                <w:color w:val="auto"/>
                <w:vertAlign w:val="superscript"/>
              </w:rPr>
              <w:t>(18)</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203,978</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1,537,165</w:t>
            </w:r>
          </w:p>
        </w:tc>
        <w:tc>
          <w:tcPr>
            <w:tcW w:w="11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Stephan Revocable Trust</w:t>
            </w:r>
          </w:p>
        </w:tc>
        <w:tc>
          <w:tcPr>
            <w:tcW w:w="130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10,198</w:t>
            </w:r>
            <w:r>
              <w:rPr>
                <w:rFonts w:ascii="Times New Roman" w:cs="Times New Roman" w:eastAsia="Times New Roman" w:hAnsi="Times New Roman"/>
                <w:sz w:val="28"/>
                <w:szCs w:val="28"/>
                <w:color w:val="auto"/>
                <w:vertAlign w:val="superscript"/>
              </w:rPr>
              <w:t>(19)</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10,198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SEPA and Convertible Debentures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 II PN, Ltd.</w:t>
            </w:r>
          </w:p>
        </w:tc>
        <w:tc>
          <w:tcPr>
            <w:tcW w:w="13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8"/>
                <w:szCs w:val="28"/>
                <w:color w:val="auto"/>
                <w:vertAlign w:val="superscript"/>
              </w:rPr>
              <w:t>(20)</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16,309,741</w:t>
            </w:r>
            <w:r>
              <w:rPr>
                <w:rFonts w:ascii="Times New Roman" w:cs="Times New Roman" w:eastAsia="Times New Roman" w:hAnsi="Times New Roman"/>
                <w:sz w:val="28"/>
                <w:szCs w:val="28"/>
                <w:color w:val="auto"/>
                <w:vertAlign w:val="superscript"/>
              </w:rPr>
              <w:t>(21)</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Peter Relan</w:t>
            </w:r>
            <w:r>
              <w:rPr>
                <w:rFonts w:ascii="Times New Roman" w:cs="Times New Roman" w:eastAsia="Times New Roman" w:hAnsi="Times New Roman"/>
                <w:sz w:val="28"/>
                <w:szCs w:val="28"/>
                <w:color w:val="auto"/>
                <w:vertAlign w:val="superscript"/>
              </w:rPr>
              <w:t>(22)</w:t>
            </w:r>
          </w:p>
        </w:tc>
        <w:tc>
          <w:tcPr>
            <w:tcW w:w="13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Ellen Levy</w:t>
            </w:r>
            <w:r>
              <w:rPr>
                <w:rFonts w:ascii="Times New Roman" w:cs="Times New Roman" w:eastAsia="Times New Roman" w:hAnsi="Times New Roman"/>
                <w:sz w:val="28"/>
                <w:szCs w:val="28"/>
                <w:color w:val="auto"/>
                <w:vertAlign w:val="superscript"/>
              </w:rPr>
              <w:t>(23)</w:t>
            </w:r>
          </w:p>
        </w:tc>
        <w:tc>
          <w:tcPr>
            <w:tcW w:w="130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Daniel J Hennessy</w:t>
            </w:r>
            <w:r>
              <w:rPr>
                <w:rFonts w:ascii="Times New Roman" w:cs="Times New Roman" w:eastAsia="Times New Roman" w:hAnsi="Times New Roman"/>
                <w:sz w:val="28"/>
                <w:szCs w:val="28"/>
                <w:color w:val="auto"/>
                <w:vertAlign w:val="superscript"/>
              </w:rPr>
              <w:t>(24)</w:t>
            </w:r>
          </w:p>
        </w:tc>
        <w:tc>
          <w:tcPr>
            <w:tcW w:w="130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738,790</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738,790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AFT Investments LLC</w:t>
            </w:r>
            <w:r>
              <w:rPr>
                <w:rFonts w:ascii="Times New Roman" w:cs="Times New Roman" w:eastAsia="Times New Roman" w:hAnsi="Times New Roman"/>
                <w:sz w:val="28"/>
                <w:szCs w:val="28"/>
                <w:color w:val="auto"/>
                <w:vertAlign w:val="superscript"/>
              </w:rPr>
              <w:t>(25)</w:t>
            </w:r>
          </w:p>
        </w:tc>
        <w:tc>
          <w:tcPr>
            <w:tcW w:w="1300" w:type="dxa"/>
            <w:vAlign w:val="bottom"/>
            <w:gridSpan w:val="2"/>
          </w:tcPr>
          <w:p>
            <w:pPr>
              <w:jc w:val="right"/>
              <w:ind w:right="186"/>
              <w:spacing w:after="0"/>
              <w:rPr>
                <w:sz w:val="20"/>
                <w:szCs w:val="20"/>
                <w:color w:val="auto"/>
              </w:rPr>
            </w:pPr>
            <w:r>
              <w:rPr>
                <w:rFonts w:ascii="Times New Roman" w:cs="Times New Roman" w:eastAsia="Times New Roman" w:hAnsi="Times New Roman"/>
                <w:sz w:val="18"/>
                <w:szCs w:val="18"/>
                <w:color w:val="auto"/>
              </w:rPr>
              <w:t>249,572</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249,572</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Learn Capital, LLC</w:t>
            </w:r>
            <w:r>
              <w:rPr>
                <w:rFonts w:ascii="Times New Roman" w:cs="Times New Roman" w:eastAsia="Times New Roman" w:hAnsi="Times New Roman"/>
                <w:sz w:val="28"/>
                <w:szCs w:val="28"/>
                <w:color w:val="auto"/>
                <w:vertAlign w:val="superscript"/>
              </w:rPr>
              <w:t>(26)</w:t>
            </w:r>
          </w:p>
        </w:tc>
        <w:tc>
          <w:tcPr>
            <w:tcW w:w="130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1,125,243</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1,125,243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VJAM LLC</w:t>
            </w:r>
            <w:r>
              <w:rPr>
                <w:rFonts w:ascii="Times New Roman" w:cs="Times New Roman" w:eastAsia="Times New Roman" w:hAnsi="Times New Roman"/>
                <w:sz w:val="28"/>
                <w:szCs w:val="28"/>
                <w:color w:val="auto"/>
                <w:vertAlign w:val="superscript"/>
              </w:rPr>
              <w:t>(27)</w:t>
            </w:r>
          </w:p>
        </w:tc>
        <w:tc>
          <w:tcPr>
            <w:tcW w:w="130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63,299</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63,299</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 Fund X, LLC</w:t>
            </w:r>
          </w:p>
        </w:tc>
        <w:tc>
          <w:tcPr>
            <w:tcW w:w="1300" w:type="dxa"/>
            <w:vAlign w:val="bottom"/>
            <w:gridSpan w:val="2"/>
          </w:tcPr>
          <w:p>
            <w:pPr>
              <w:jc w:val="right"/>
              <w:ind w:right="186"/>
              <w:spacing w:after="0"/>
              <w:rPr>
                <w:sz w:val="20"/>
                <w:szCs w:val="20"/>
                <w:color w:val="auto"/>
              </w:rPr>
            </w:pPr>
            <w:r>
              <w:rPr>
                <w:rFonts w:ascii="Times New Roman" w:cs="Times New Roman" w:eastAsia="Times New Roman" w:hAnsi="Times New Roman"/>
                <w:sz w:val="18"/>
                <w:szCs w:val="18"/>
                <w:color w:val="auto"/>
              </w:rPr>
              <w:t>1,121,287</w:t>
            </w:r>
          </w:p>
        </w:tc>
        <w:tc>
          <w:tcPr>
            <w:tcW w:w="146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3,250,000</w:t>
            </w:r>
            <w:r>
              <w:rPr>
                <w:rFonts w:ascii="Times New Roman" w:cs="Times New Roman" w:eastAsia="Times New Roman" w:hAnsi="Times New Roman"/>
                <w:sz w:val="28"/>
                <w:szCs w:val="28"/>
                <w:color w:val="auto"/>
                <w:vertAlign w:val="superscript"/>
              </w:rPr>
              <w:t>(28)</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WTI Fund XI, LLC</w:t>
            </w:r>
          </w:p>
        </w:tc>
        <w:tc>
          <w:tcPr>
            <w:tcW w:w="130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373,762</w:t>
            </w:r>
          </w:p>
        </w:tc>
        <w:tc>
          <w:tcPr>
            <w:tcW w:w="14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1,083,334</w:t>
            </w:r>
            <w:r>
              <w:rPr>
                <w:rFonts w:ascii="Times New Roman" w:cs="Times New Roman" w:eastAsia="Times New Roman" w:hAnsi="Times New Roman"/>
                <w:sz w:val="28"/>
                <w:szCs w:val="28"/>
                <w:color w:val="auto"/>
                <w:vertAlign w:val="superscript"/>
              </w:rPr>
              <w:t>(29)</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C Preferred Stock</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Ascent X Innventure TC, A Series of Ascent X</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3,541,685</w:t>
            </w:r>
            <w:r>
              <w:rPr>
                <w:rFonts w:ascii="Times New Roman" w:cs="Times New Roman" w:eastAsia="Times New Roman" w:hAnsi="Times New Roman"/>
                <w:sz w:val="29"/>
                <w:szCs w:val="29"/>
                <w:color w:val="auto"/>
                <w:vertAlign w:val="superscript"/>
              </w:rPr>
              <w:t>(30)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Innventure, LP</w:t>
            </w:r>
          </w:p>
        </w:tc>
        <w:tc>
          <w:tcPr>
            <w:tcW w:w="1300" w:type="dxa"/>
            <w:vAlign w:val="bottom"/>
            <w:gridSpan w:val="2"/>
            <w:vMerge w:val="continue"/>
            <w:shd w:val="clear" w:color="auto" w:fill="CCEEFF"/>
          </w:tcPr>
          <w:p>
            <w:pPr>
              <w:spacing w:after="0"/>
              <w:rPr>
                <w:sz w:val="21"/>
                <w:szCs w:val="21"/>
                <w:color w:val="auto"/>
              </w:rPr>
            </w:pP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250,000</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3,291,685</w:t>
            </w:r>
          </w:p>
        </w:tc>
        <w:tc>
          <w:tcPr>
            <w:tcW w:w="11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Casata Investments LLC</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8"/>
                <w:szCs w:val="28"/>
                <w:color w:val="auto"/>
                <w:vertAlign w:val="superscript"/>
              </w:rPr>
              <w:t>(31)</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Global Life Insurance LTD IRO</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106,180</w:t>
            </w:r>
            <w:r>
              <w:rPr>
                <w:rFonts w:ascii="Times New Roman" w:cs="Times New Roman" w:eastAsia="Times New Roman" w:hAnsi="Times New Roman"/>
                <w:sz w:val="29"/>
                <w:szCs w:val="29"/>
                <w:color w:val="auto"/>
                <w:vertAlign w:val="superscript"/>
              </w:rPr>
              <w:t>(32)</w:t>
            </w:r>
          </w:p>
        </w:tc>
        <w:tc>
          <w:tcPr>
            <w:tcW w:w="1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146,933</w:t>
            </w:r>
            <w:r>
              <w:rPr>
                <w:rFonts w:ascii="Times New Roman" w:cs="Times New Roman" w:eastAsia="Times New Roman" w:hAnsi="Times New Roman"/>
                <w:sz w:val="29"/>
                <w:szCs w:val="29"/>
                <w:color w:val="auto"/>
                <w:vertAlign w:val="superscript"/>
              </w:rPr>
              <w:t>(33)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Separate Account 30286</w:t>
            </w:r>
          </w:p>
        </w:tc>
        <w:tc>
          <w:tcPr>
            <w:tcW w:w="130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Glockner Family Venture Fund, LP</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4,680,272</w:t>
            </w:r>
            <w:r>
              <w:rPr>
                <w:rFonts w:ascii="Times New Roman" w:cs="Times New Roman" w:eastAsia="Times New Roman" w:hAnsi="Times New Roman"/>
                <w:sz w:val="28"/>
                <w:szCs w:val="28"/>
                <w:color w:val="auto"/>
                <w:vertAlign w:val="superscript"/>
              </w:rPr>
              <w:t>(34)</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3,940,706</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739,566</w:t>
            </w:r>
          </w:p>
        </w:tc>
        <w:tc>
          <w:tcPr>
            <w:tcW w:w="11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Grail Partners LLC</w:t>
            </w:r>
          </w:p>
        </w:tc>
        <w:tc>
          <w:tcPr>
            <w:tcW w:w="130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326,112</w:t>
            </w:r>
            <w:r>
              <w:rPr>
                <w:rFonts w:ascii="Times New Roman" w:cs="Times New Roman" w:eastAsia="Times New Roman" w:hAnsi="Times New Roman"/>
                <w:sz w:val="28"/>
                <w:szCs w:val="28"/>
                <w:color w:val="auto"/>
                <w:vertAlign w:val="superscript"/>
              </w:rPr>
              <w:t>(35)</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326,112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Otworth</w:t>
            </w:r>
          </w:p>
        </w:tc>
        <w:tc>
          <w:tcPr>
            <w:tcW w:w="130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3,492,607</w:t>
            </w:r>
            <w:r>
              <w:rPr>
                <w:rFonts w:ascii="Times New Roman" w:cs="Times New Roman" w:eastAsia="Times New Roman" w:hAnsi="Times New Roman"/>
                <w:sz w:val="28"/>
                <w:szCs w:val="28"/>
                <w:color w:val="auto"/>
                <w:vertAlign w:val="superscript"/>
              </w:rPr>
              <w:t>(36)</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228,322</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3,264,275</w:t>
            </w:r>
          </w:p>
        </w:tc>
        <w:tc>
          <w:tcPr>
            <w:tcW w:w="11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Eichelberger 2021 Irrevocable Trust</w:t>
            </w:r>
          </w:p>
        </w:tc>
        <w:tc>
          <w:tcPr>
            <w:tcW w:w="130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2212,360</w:t>
            </w:r>
            <w:r>
              <w:rPr>
                <w:rFonts w:ascii="Times New Roman" w:cs="Times New Roman" w:eastAsia="Times New Roman" w:hAnsi="Times New Roman"/>
                <w:sz w:val="28"/>
                <w:szCs w:val="28"/>
                <w:color w:val="auto"/>
                <w:vertAlign w:val="superscript"/>
              </w:rPr>
              <w:t>(37)</w:t>
            </w:r>
          </w:p>
        </w:tc>
        <w:tc>
          <w:tcPr>
            <w:tcW w:w="14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293,866</w:t>
            </w:r>
            <w:r>
              <w:rPr>
                <w:rFonts w:ascii="Times New Roman" w:cs="Times New Roman" w:eastAsia="Times New Roman" w:hAnsi="Times New Roman"/>
                <w:sz w:val="28"/>
                <w:szCs w:val="28"/>
                <w:color w:val="auto"/>
                <w:vertAlign w:val="superscript"/>
              </w:rPr>
              <w:t>(33)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Briggs</w:t>
            </w:r>
          </w:p>
        </w:tc>
        <w:tc>
          <w:tcPr>
            <w:tcW w:w="13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25,000</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(38)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Master Fund LP</w:t>
            </w:r>
          </w:p>
        </w:tc>
        <w:tc>
          <w:tcPr>
            <w:tcW w:w="1300" w:type="dxa"/>
            <w:vAlign w:val="bottom"/>
            <w:gridSpan w:val="2"/>
          </w:tcPr>
          <w:p>
            <w:pPr>
              <w:jc w:val="right"/>
              <w:ind w:right="186"/>
              <w:spacing w:after="0"/>
              <w:rPr>
                <w:sz w:val="20"/>
                <w:szCs w:val="20"/>
                <w:color w:val="auto"/>
              </w:rPr>
            </w:pPr>
            <w:r>
              <w:rPr>
                <w:rFonts w:ascii="Times New Roman" w:cs="Times New Roman" w:eastAsia="Times New Roman" w:hAnsi="Times New Roman"/>
                <w:sz w:val="18"/>
                <w:szCs w:val="18"/>
                <w:color w:val="auto"/>
              </w:rPr>
              <w:t>3,086,416</w:t>
            </w:r>
          </w:p>
        </w:tc>
        <w:tc>
          <w:tcPr>
            <w:tcW w:w="146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2,400,000</w:t>
            </w:r>
            <w:r>
              <w:rPr>
                <w:rFonts w:ascii="Times New Roman" w:cs="Times New Roman" w:eastAsia="Times New Roman" w:hAnsi="Times New Roman"/>
                <w:sz w:val="28"/>
                <w:szCs w:val="28"/>
                <w:color w:val="auto"/>
                <w:vertAlign w:val="superscript"/>
              </w:rPr>
              <w:t>(39)</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686,416</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DOMMFT Investments LLC</w:t>
            </w:r>
          </w:p>
        </w:tc>
        <w:tc>
          <w:tcPr>
            <w:tcW w:w="13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(40)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P. Hoffman</w:t>
            </w:r>
          </w:p>
        </w:tc>
        <w:tc>
          <w:tcPr>
            <w:tcW w:w="1300" w:type="dxa"/>
            <w:vAlign w:val="bottom"/>
            <w:gridSpan w:val="2"/>
          </w:tcPr>
          <w:p>
            <w:pPr>
              <w:jc w:val="right"/>
              <w:ind w:right="186"/>
              <w:spacing w:after="0"/>
              <w:rPr>
                <w:sz w:val="20"/>
                <w:szCs w:val="20"/>
                <w:color w:val="auto"/>
              </w:rPr>
            </w:pPr>
            <w:r>
              <w:rPr>
                <w:rFonts w:ascii="Times New Roman" w:cs="Times New Roman" w:eastAsia="Times New Roman" w:hAnsi="Times New Roman"/>
                <w:sz w:val="18"/>
                <w:szCs w:val="18"/>
                <w:color w:val="auto"/>
              </w:rPr>
              <w:t>8,400</w:t>
            </w:r>
          </w:p>
        </w:tc>
        <w:tc>
          <w:tcPr>
            <w:tcW w:w="146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16,800</w:t>
            </w:r>
            <w:r>
              <w:rPr>
                <w:rFonts w:ascii="Times New Roman" w:cs="Times New Roman" w:eastAsia="Times New Roman" w:hAnsi="Times New Roman"/>
                <w:sz w:val="28"/>
                <w:szCs w:val="28"/>
                <w:color w:val="auto"/>
                <w:vertAlign w:val="superscript"/>
              </w:rPr>
              <w:t>(41)</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Mermelstein</w:t>
            </w:r>
          </w:p>
        </w:tc>
        <w:tc>
          <w:tcPr>
            <w:tcW w:w="13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16,000</w:t>
            </w:r>
          </w:p>
        </w:tc>
        <w:tc>
          <w:tcPr>
            <w:tcW w:w="14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32,000</w:t>
            </w:r>
            <w:r>
              <w:rPr>
                <w:rFonts w:ascii="Times New Roman" w:cs="Times New Roman" w:eastAsia="Times New Roman" w:hAnsi="Times New Roman"/>
                <w:sz w:val="28"/>
                <w:szCs w:val="28"/>
                <w:color w:val="auto"/>
                <w:vertAlign w:val="superscript"/>
              </w:rPr>
              <w:t>(42)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Erick and Wendi Kuebler</w:t>
            </w:r>
          </w:p>
        </w:tc>
        <w:tc>
          <w:tcPr>
            <w:tcW w:w="1300" w:type="dxa"/>
            <w:vAlign w:val="bottom"/>
            <w:gridSpan w:val="2"/>
          </w:tcPr>
          <w:p>
            <w:pPr>
              <w:jc w:val="right"/>
              <w:ind w:right="186"/>
              <w:spacing w:after="0"/>
              <w:rPr>
                <w:sz w:val="20"/>
                <w:szCs w:val="20"/>
                <w:color w:val="auto"/>
              </w:rPr>
            </w:pPr>
            <w:r>
              <w:rPr>
                <w:rFonts w:ascii="Times New Roman" w:cs="Times New Roman" w:eastAsia="Times New Roman" w:hAnsi="Times New Roman"/>
                <w:sz w:val="18"/>
                <w:szCs w:val="18"/>
                <w:color w:val="auto"/>
              </w:rPr>
              <w:t>8,334</w:t>
            </w:r>
          </w:p>
        </w:tc>
        <w:tc>
          <w:tcPr>
            <w:tcW w:w="146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16,668</w:t>
            </w:r>
            <w:r>
              <w:rPr>
                <w:rFonts w:ascii="Times New Roman" w:cs="Times New Roman" w:eastAsia="Times New Roman" w:hAnsi="Times New Roman"/>
                <w:sz w:val="28"/>
                <w:szCs w:val="28"/>
                <w:color w:val="auto"/>
                <w:vertAlign w:val="superscript"/>
              </w:rPr>
              <w:t>(43)</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Lipton</w:t>
            </w:r>
          </w:p>
        </w:tc>
        <w:tc>
          <w:tcPr>
            <w:tcW w:w="130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4,167</w:t>
            </w:r>
          </w:p>
        </w:tc>
        <w:tc>
          <w:tcPr>
            <w:tcW w:w="14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7"/>
                <w:szCs w:val="17"/>
                <w:color w:val="auto"/>
              </w:rPr>
              <w:t>8,334</w:t>
            </w:r>
            <w:r>
              <w:rPr>
                <w:rFonts w:ascii="Times New Roman" w:cs="Times New Roman" w:eastAsia="Times New Roman" w:hAnsi="Times New Roman"/>
                <w:sz w:val="28"/>
                <w:szCs w:val="28"/>
                <w:color w:val="auto"/>
                <w:vertAlign w:val="superscript"/>
              </w:rPr>
              <w:t>(44)</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Marvin Mermelstein Descendants’ Trust</w:t>
            </w:r>
          </w:p>
        </w:tc>
        <w:tc>
          <w:tcPr>
            <w:tcW w:w="130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tcPr>
          <w:p>
            <w:pPr>
              <w:jc w:val="right"/>
              <w:spacing w:after="0" w:line="242"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(45)</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300" w:type="dxa"/>
            <w:vAlign w:val="bottom"/>
          </w:tcPr>
          <w:p>
            <w:pPr>
              <w:spacing w:after="0"/>
              <w:rPr>
                <w:sz w:val="22"/>
                <w:szCs w:val="22"/>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Rappaport Ventures LLC</w:t>
            </w:r>
          </w:p>
        </w:tc>
        <w:tc>
          <w:tcPr>
            <w:tcW w:w="1300" w:type="dxa"/>
            <w:vAlign w:val="bottom"/>
            <w:tcBorders>
              <w:bottom w:val="single" w:sz="8" w:color="CCEEFF"/>
            </w:tcBorders>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CCEEFF"/>
            </w:tcBorders>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16"/>
                <w:szCs w:val="16"/>
                <w:color w:val="auto"/>
              </w:rPr>
              <w:t>70,000</w:t>
            </w:r>
            <w:r>
              <w:rPr>
                <w:rFonts w:ascii="Times New Roman" w:cs="Times New Roman" w:eastAsia="Times New Roman" w:hAnsi="Times New Roman"/>
                <w:sz w:val="26"/>
                <w:szCs w:val="26"/>
                <w:color w:val="auto"/>
                <w:vertAlign w:val="superscript"/>
              </w:rPr>
              <w:t>(46)</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gridSpan w:val="2"/>
          </w:tcPr>
          <w:p>
            <w:pPr>
              <w:jc w:val="right"/>
              <w:ind w:right="38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61" w:right="479" w:bottom="1440" w:gutter="0" w:footer="0" w:header="0"/>
        </w:sectPr>
      </w:pPr>
    </w:p>
    <w:bookmarkStart w:id="25" w:name="page26"/>
    <w:bookmarkEnd w:id="25"/>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52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88"/>
        </w:trPr>
        <w:tc>
          <w:tcPr>
            <w:tcW w:w="3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5"/>
        </w:trPr>
        <w:tc>
          <w:tcPr>
            <w:tcW w:w="1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Reyes</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216,000</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6"/>
              <w:spacing w:after="0" w:line="249" w:lineRule="exact"/>
              <w:rPr>
                <w:sz w:val="20"/>
                <w:szCs w:val="20"/>
                <w:color w:val="auto"/>
              </w:rPr>
            </w:pPr>
            <w:r>
              <w:rPr>
                <w:rFonts w:ascii="Times New Roman" w:cs="Times New Roman" w:eastAsia="Times New Roman" w:hAnsi="Times New Roman"/>
                <w:sz w:val="17"/>
                <w:szCs w:val="17"/>
                <w:color w:val="auto"/>
              </w:rPr>
              <w:t>333,334</w:t>
            </w:r>
            <w:r>
              <w:rPr>
                <w:rFonts w:ascii="Times New Roman" w:cs="Times New Roman" w:eastAsia="Times New Roman" w:hAnsi="Times New Roman"/>
                <w:sz w:val="28"/>
                <w:szCs w:val="28"/>
                <w:color w:val="auto"/>
                <w:vertAlign w:val="superscript"/>
              </w:rPr>
              <w:t>(47)</w:t>
            </w:r>
          </w:p>
        </w:tc>
        <w:tc>
          <w:tcPr>
            <w:tcW w:w="11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49,333</w:t>
            </w:r>
          </w:p>
        </w:tc>
        <w:tc>
          <w:tcPr>
            <w:tcW w:w="11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Schneider</w:t>
            </w: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12,000</w:t>
            </w:r>
          </w:p>
        </w:tc>
        <w:tc>
          <w:tcPr>
            <w:tcW w:w="1480" w:type="dxa"/>
            <w:vAlign w:val="bottom"/>
            <w:gridSpan w:val="2"/>
          </w:tcPr>
          <w:p>
            <w:pPr>
              <w:jc w:val="right"/>
              <w:ind w:right="66"/>
              <w:spacing w:after="0" w:line="242" w:lineRule="exact"/>
              <w:rPr>
                <w:sz w:val="20"/>
                <w:szCs w:val="20"/>
                <w:color w:val="auto"/>
              </w:rPr>
            </w:pPr>
            <w:r>
              <w:rPr>
                <w:rFonts w:ascii="Times New Roman" w:cs="Times New Roman" w:eastAsia="Times New Roman" w:hAnsi="Times New Roman"/>
                <w:sz w:val="17"/>
                <w:szCs w:val="17"/>
                <w:color w:val="auto"/>
              </w:rPr>
              <w:t>19,000</w:t>
            </w:r>
            <w:r>
              <w:rPr>
                <w:rFonts w:ascii="Times New Roman" w:cs="Times New Roman" w:eastAsia="Times New Roman" w:hAnsi="Times New Roman"/>
                <w:sz w:val="28"/>
                <w:szCs w:val="28"/>
                <w:color w:val="auto"/>
                <w:vertAlign w:val="superscript"/>
              </w:rPr>
              <w:t>(48)</w:t>
            </w:r>
          </w:p>
        </w:tc>
        <w:tc>
          <w:tcPr>
            <w:tcW w:w="110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P. Spain</w:t>
            </w: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41,667</w:t>
            </w:r>
          </w:p>
        </w:tc>
        <w:tc>
          <w:tcPr>
            <w:tcW w:w="1480" w:type="dxa"/>
            <w:vAlign w:val="bottom"/>
            <w:gridSpan w:val="2"/>
            <w:shd w:val="clear" w:color="auto" w:fill="CCEEFF"/>
          </w:tcPr>
          <w:p>
            <w:pPr>
              <w:jc w:val="right"/>
              <w:ind w:right="66"/>
              <w:spacing w:after="0" w:line="242" w:lineRule="exact"/>
              <w:rPr>
                <w:sz w:val="20"/>
                <w:szCs w:val="20"/>
                <w:color w:val="auto"/>
              </w:rPr>
            </w:pPr>
            <w:r>
              <w:rPr>
                <w:rFonts w:ascii="Times New Roman" w:cs="Times New Roman" w:eastAsia="Times New Roman" w:hAnsi="Times New Roman"/>
                <w:sz w:val="17"/>
                <w:szCs w:val="17"/>
                <w:color w:val="auto"/>
              </w:rPr>
              <w:t>83,334</w:t>
            </w:r>
            <w:r>
              <w:rPr>
                <w:rFonts w:ascii="Times New Roman" w:cs="Times New Roman" w:eastAsia="Times New Roman" w:hAnsi="Times New Roman"/>
                <w:sz w:val="28"/>
                <w:szCs w:val="28"/>
                <w:color w:val="auto"/>
                <w:vertAlign w:val="superscript"/>
              </w:rPr>
              <w:t>(49)</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YELO Investments II LLC</w:t>
            </w: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10,500</w:t>
            </w:r>
          </w:p>
        </w:tc>
        <w:tc>
          <w:tcPr>
            <w:tcW w:w="14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21,000</w:t>
            </w:r>
            <w:r>
              <w:rPr>
                <w:rFonts w:ascii="Times New Roman" w:cs="Times New Roman" w:eastAsia="Times New Roman" w:hAnsi="Times New Roman"/>
                <w:sz w:val="29"/>
                <w:szCs w:val="29"/>
                <w:color w:val="auto"/>
                <w:vertAlign w:val="superscript"/>
              </w:rPr>
              <w:t>(50)</w:t>
            </w:r>
          </w:p>
        </w:tc>
        <w:tc>
          <w:tcPr>
            <w:tcW w:w="140" w:type="dxa"/>
            <w:vAlign w:val="bottom"/>
          </w:tcPr>
          <w:p>
            <w:pPr>
              <w:spacing w:after="0"/>
              <w:rPr>
                <w:sz w:val="24"/>
                <w:szCs w:val="24"/>
                <w:color w:val="auto"/>
              </w:rPr>
            </w:pP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74930</wp:posOffset>
            </wp:positionV>
            <wp:extent cx="819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143" w:lineRule="exact"/>
        <w:rPr>
          <w:sz w:val="20"/>
          <w:szCs w:val="20"/>
          <w:color w:val="auto"/>
        </w:rPr>
      </w:pPr>
    </w:p>
    <w:p>
      <w:pPr>
        <w:ind w:left="660" w:hanging="34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1" w:lineRule="exact"/>
        <w:rPr>
          <w:sz w:val="20"/>
          <w:szCs w:val="20"/>
          <w:color w:val="auto"/>
        </w:rPr>
      </w:pPr>
    </w:p>
    <w:p>
      <w:pPr>
        <w:ind w:left="660" w:right="419" w:hanging="348"/>
        <w:spacing w:after="0" w:line="228"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29,723 shares of Common Stock of KNA Holdings LLC, the shares of which the Selling Stockholder may be deemed to indirectly beneficially own and have sole voting and investment power, and (ii) 10,198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17" w:lineRule="exact"/>
        <w:rPr>
          <w:rFonts w:ascii="Times New Roman" w:cs="Times New Roman" w:eastAsia="Times New Roman" w:hAnsi="Times New Roman"/>
          <w:sz w:val="14"/>
          <w:szCs w:val="14"/>
          <w:color w:val="auto"/>
        </w:rPr>
      </w:pPr>
    </w:p>
    <w:p>
      <w:pPr>
        <w:ind w:left="660" w:right="339" w:hanging="348"/>
        <w:spacing w:after="0" w:line="229"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17,657 shares of Common Stock and (ii) 4,078 shares of Common Stock that were issued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18" w:lineRule="exact"/>
        <w:rPr>
          <w:rFonts w:ascii="Times New Roman" w:cs="Times New Roman" w:eastAsia="Times New Roman" w:hAnsi="Times New Roman"/>
          <w:sz w:val="14"/>
          <w:szCs w:val="14"/>
          <w:color w:val="auto"/>
        </w:rPr>
      </w:pPr>
    </w:p>
    <w:p>
      <w:pPr>
        <w:ind w:left="660" w:right="359" w:hanging="348"/>
        <w:spacing w:after="0" w:line="229"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74,461 shares of Common Stock and (ii) 22,026 shares of Common Stock issuable upon conversion of shares of Series B Preferred Stock originally issued to the Selling Stockholders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18" w:lineRule="exact"/>
        <w:rPr>
          <w:rFonts w:ascii="Times New Roman" w:cs="Times New Roman" w:eastAsia="Times New Roman" w:hAnsi="Times New Roman"/>
          <w:sz w:val="14"/>
          <w:szCs w:val="14"/>
          <w:color w:val="auto"/>
        </w:rPr>
      </w:pPr>
    </w:p>
    <w:p>
      <w:pPr>
        <w:ind w:left="660" w:right="719" w:hanging="348"/>
        <w:spacing w:after="0" w:line="257"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shares of Common Stock issuable upon conversion of Series B Preferred Stock issued and to be issued as dividends.</w:t>
      </w:r>
    </w:p>
    <w:p>
      <w:pPr>
        <w:spacing w:after="0" w:line="4" w:lineRule="exact"/>
        <w:rPr>
          <w:rFonts w:ascii="Times New Roman" w:cs="Times New Roman" w:eastAsia="Times New Roman" w:hAnsi="Times New Roman"/>
          <w:sz w:val="14"/>
          <w:szCs w:val="14"/>
          <w:color w:val="auto"/>
        </w:rPr>
      </w:pPr>
    </w:p>
    <w:p>
      <w:pPr>
        <w:ind w:left="660" w:right="399" w:hanging="34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89,022 shares of Common Stock and (ii) 20,396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135" w:lineRule="exact"/>
        <w:rPr>
          <w:rFonts w:ascii="Times New Roman" w:cs="Times New Roman" w:eastAsia="Times New Roman" w:hAnsi="Times New Roman"/>
          <w:sz w:val="14"/>
          <w:szCs w:val="14"/>
          <w:color w:val="auto"/>
        </w:rPr>
      </w:pPr>
    </w:p>
    <w:p>
      <w:pPr>
        <w:ind w:left="660" w:right="359" w:hanging="348"/>
        <w:spacing w:after="0" w:line="23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 Carter Street, Greenville, South Carolina 29607.</w:t>
      </w:r>
    </w:p>
    <w:p>
      <w:pPr>
        <w:spacing w:after="0" w:line="18" w:lineRule="exact"/>
        <w:rPr>
          <w:rFonts w:ascii="Times New Roman" w:cs="Times New Roman" w:eastAsia="Times New Roman" w:hAnsi="Times New Roman"/>
          <w:sz w:val="14"/>
          <w:szCs w:val="14"/>
          <w:color w:val="auto"/>
        </w:rPr>
      </w:pPr>
    </w:p>
    <w:p>
      <w:pPr>
        <w:ind w:left="660" w:right="359" w:hanging="348"/>
        <w:spacing w:after="0" w:line="229"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18" w:lineRule="exact"/>
        <w:rPr>
          <w:rFonts w:ascii="Times New Roman" w:cs="Times New Roman" w:eastAsia="Times New Roman" w:hAnsi="Times New Roman"/>
          <w:sz w:val="14"/>
          <w:szCs w:val="14"/>
          <w:color w:val="auto"/>
        </w:rPr>
      </w:pPr>
    </w:p>
    <w:p>
      <w:pPr>
        <w:ind w:left="660" w:right="399" w:hanging="34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29,754 shares of Common Stock and (ii) 4,078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35" w:lineRule="exact"/>
        <w:rPr>
          <w:rFonts w:ascii="Times New Roman" w:cs="Times New Roman" w:eastAsia="Times New Roman" w:hAnsi="Times New Roman"/>
          <w:sz w:val="14"/>
          <w:szCs w:val="14"/>
          <w:color w:val="auto"/>
        </w:rPr>
      </w:pPr>
    </w:p>
    <w:p>
      <w:pPr>
        <w:ind w:left="660" w:right="399" w:hanging="348"/>
        <w:spacing w:after="0" w:line="23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59,209 shares of Common Stock and (ii) 11,012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8" w:lineRule="exact"/>
        <w:rPr>
          <w:rFonts w:ascii="Times New Roman" w:cs="Times New Roman" w:eastAsia="Times New Roman" w:hAnsi="Times New Roman"/>
          <w:sz w:val="14"/>
          <w:szCs w:val="14"/>
          <w:color w:val="auto"/>
        </w:rPr>
      </w:pPr>
    </w:p>
    <w:p>
      <w:pPr>
        <w:ind w:left="660" w:right="359" w:hanging="348"/>
        <w:spacing w:after="0" w:line="23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660" w:right="399" w:hanging="34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89,354 shares of Common Stock and (ii) 61,192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35" w:lineRule="exact"/>
        <w:rPr>
          <w:rFonts w:ascii="Times New Roman" w:cs="Times New Roman" w:eastAsia="Times New Roman" w:hAnsi="Times New Roman"/>
          <w:sz w:val="14"/>
          <w:szCs w:val="14"/>
          <w:color w:val="auto"/>
        </w:rPr>
      </w:pPr>
    </w:p>
    <w:p>
      <w:pPr>
        <w:ind w:left="660" w:right="399" w:hanging="348"/>
        <w:spacing w:after="0" w:line="229"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44,429 shares of Common Stock and (ii) 16,520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18" w:lineRule="exact"/>
        <w:rPr>
          <w:rFonts w:ascii="Times New Roman" w:cs="Times New Roman" w:eastAsia="Times New Roman" w:hAnsi="Times New Roman"/>
          <w:sz w:val="14"/>
          <w:szCs w:val="14"/>
          <w:color w:val="auto"/>
        </w:rPr>
      </w:pPr>
    </w:p>
    <w:p>
      <w:pPr>
        <w:ind w:left="660" w:right="359" w:hanging="348"/>
        <w:spacing w:after="0" w:line="231"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 Belfrey Drive, Greenville, South Carolina 29650.</w:t>
      </w:r>
    </w:p>
    <w:p>
      <w:pPr>
        <w:spacing w:after="0" w:line="18" w:lineRule="exact"/>
        <w:rPr>
          <w:rFonts w:ascii="Times New Roman" w:cs="Times New Roman" w:eastAsia="Times New Roman" w:hAnsi="Times New Roman"/>
          <w:sz w:val="14"/>
          <w:szCs w:val="14"/>
          <w:color w:val="auto"/>
        </w:rPr>
      </w:pPr>
    </w:p>
    <w:p>
      <w:pPr>
        <w:ind w:left="660" w:right="359" w:hanging="348"/>
        <w:spacing w:after="0" w:line="227"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Founder and Chief Investment Officer of Commonwealth Asset Management LP, which is the investment manager of the Selling Stockholder, and, accordingly, Mr. Fisher may be deemed to indirectly beneficially own and have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18" w:lineRule="exact"/>
        <w:rPr>
          <w:rFonts w:ascii="Times New Roman" w:cs="Times New Roman" w:eastAsia="Times New Roman" w:hAnsi="Times New Roman"/>
          <w:sz w:val="14"/>
          <w:szCs w:val="14"/>
          <w:color w:val="auto"/>
        </w:rPr>
      </w:pPr>
    </w:p>
    <w:p>
      <w:pPr>
        <w:ind w:left="660" w:right="339" w:hanging="348"/>
        <w:spacing w:after="0" w:line="229"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18" w:lineRule="exact"/>
        <w:rPr>
          <w:rFonts w:ascii="Times New Roman" w:cs="Times New Roman" w:eastAsia="Times New Roman" w:hAnsi="Times New Roman"/>
          <w:sz w:val="14"/>
          <w:szCs w:val="14"/>
          <w:color w:val="auto"/>
        </w:rPr>
      </w:pPr>
    </w:p>
    <w:p>
      <w:pPr>
        <w:ind w:left="660" w:right="399" w:hanging="348"/>
        <w:spacing w:after="0" w:line="228"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148,925 shares of Common Stock and (ii) 20,396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17" w:lineRule="exact"/>
        <w:rPr>
          <w:rFonts w:ascii="Times New Roman" w:cs="Times New Roman" w:eastAsia="Times New Roman" w:hAnsi="Times New Roman"/>
          <w:sz w:val="14"/>
          <w:szCs w:val="14"/>
          <w:color w:val="auto"/>
        </w:rPr>
      </w:pPr>
    </w:p>
    <w:p>
      <w:pPr>
        <w:ind w:left="660" w:right="399" w:hanging="348"/>
        <w:spacing w:after="0" w:line="229"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592,320 shares of Common Stock and (ii) 101,988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18" w:lineRule="exact"/>
        <w:rPr>
          <w:rFonts w:ascii="Times New Roman" w:cs="Times New Roman" w:eastAsia="Times New Roman" w:hAnsi="Times New Roman"/>
          <w:sz w:val="14"/>
          <w:szCs w:val="14"/>
          <w:color w:val="auto"/>
        </w:rPr>
      </w:pPr>
    </w:p>
    <w:p>
      <w:pPr>
        <w:ind w:left="660" w:right="379" w:hanging="348"/>
        <w:spacing w:after="0" w:line="228"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1,537,165 shares of Common Stock and (ii) 203,978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Mr. Jonathan Loeffler serves as the investment manager for the Selling Stockholder and, accordingly, may be deemed to share voting and investment power over the shares. The business address of the listed Selling Stockholder is 750 E. Pratt Street, Suite 900, Baltimore, Maryland 21202.</w:t>
      </w:r>
    </w:p>
    <w:p>
      <w:pPr>
        <w:spacing w:after="0" w:line="17" w:lineRule="exact"/>
        <w:rPr>
          <w:rFonts w:ascii="Times New Roman" w:cs="Times New Roman" w:eastAsia="Times New Roman" w:hAnsi="Times New Roman"/>
          <w:sz w:val="14"/>
          <w:szCs w:val="14"/>
          <w:color w:val="auto"/>
        </w:rPr>
      </w:pPr>
    </w:p>
    <w:p>
      <w:pPr>
        <w:ind w:left="660" w:right="359" w:hanging="348"/>
        <w:spacing w:after="0" w:line="229"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18" w:lineRule="exact"/>
        <w:rPr>
          <w:rFonts w:ascii="Times New Roman" w:cs="Times New Roman" w:eastAsia="Times New Roman" w:hAnsi="Times New Roman"/>
          <w:sz w:val="14"/>
          <w:szCs w:val="14"/>
          <w:color w:val="auto"/>
        </w:rPr>
      </w:pPr>
    </w:p>
    <w:p>
      <w:pPr>
        <w:ind w:left="660" w:right="419" w:hanging="348"/>
        <w:spacing w:after="0" w:line="231"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65,000 shares of Common Stock issued to Yorkville upon conversion of the Convertible Debentures issued to Yorkville pursuant to the Securities Purchase Agreement and beneficially owned as of March 16, 2026. Based on information provided to us, Yorkville acquired the shares being registered hereunder in the ordinary course of business, and at the time of the acquisition of the shares, Yorkville did not have any agreements or understandings with any person to distribute such shares. The business address of Yorkville is c/o Mark Angelo, 1012 Springfield Avenue, Mountainside, New Jersey, 07092.</w:t>
      </w:r>
    </w:p>
    <w:p>
      <w:pPr>
        <w:spacing w:after="0" w:line="18" w:lineRule="exact"/>
        <w:rPr>
          <w:rFonts w:ascii="Times New Roman" w:cs="Times New Roman" w:eastAsia="Times New Roman" w:hAnsi="Times New Roman"/>
          <w:sz w:val="14"/>
          <w:szCs w:val="14"/>
          <w:color w:val="auto"/>
        </w:rPr>
      </w:pPr>
    </w:p>
    <w:p>
      <w:pPr>
        <w:ind w:left="660" w:right="479" w:hanging="348"/>
        <w:spacing w:after="0" w:line="239"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65,000 shares of Common Stock that were issued to Yorkville upon conversion of the Convertible Debentures issued to Yorkville pursuant to the Securities Purchase Agreement and beneficially owned as of March 16, 2026 and (ii) up to 16,244,741 shares of Common Stock that may be issued to Yorkville pursuant to the SEPA.</w:t>
      </w:r>
    </w:p>
    <w:p>
      <w:pPr>
        <w:spacing w:after="0" w:line="16" w:lineRule="exact"/>
        <w:rPr>
          <w:rFonts w:ascii="Times New Roman" w:cs="Times New Roman" w:eastAsia="Times New Roman" w:hAnsi="Times New Roman"/>
          <w:sz w:val="14"/>
          <w:szCs w:val="14"/>
          <w:color w:val="auto"/>
        </w:rPr>
      </w:pPr>
    </w:p>
    <w:p>
      <w:pPr>
        <w:ind w:left="660" w:right="399" w:hanging="348"/>
        <w:spacing w:after="0" w:line="231"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48 Heather Dr, Atherton, California 94027. Mr. Relan served as a director of Learn CW.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660" w:right="399" w:hanging="348"/>
        <w:spacing w:after="0" w:line="23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18" w:lineRule="exact"/>
        <w:rPr>
          <w:rFonts w:ascii="Times New Roman" w:cs="Times New Roman" w:eastAsia="Times New Roman" w:hAnsi="Times New Roman"/>
          <w:sz w:val="14"/>
          <w:szCs w:val="14"/>
          <w:color w:val="auto"/>
        </w:rPr>
      </w:pPr>
    </w:p>
    <w:p>
      <w:pPr>
        <w:ind w:left="660" w:right="399" w:hanging="348"/>
        <w:spacing w:after="0" w:line="234"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738,790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17" w:lineRule="exact"/>
        <w:rPr>
          <w:rFonts w:ascii="Times New Roman" w:cs="Times New Roman" w:eastAsia="Times New Roman" w:hAnsi="Times New Roman"/>
          <w:sz w:val="14"/>
          <w:szCs w:val="14"/>
          <w:color w:val="auto"/>
        </w:rPr>
      </w:pPr>
    </w:p>
    <w:p>
      <w:pPr>
        <w:ind w:left="660" w:right="379" w:hanging="348"/>
        <w:spacing w:after="0" w:line="22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sole member of ABF Manager LLC, which is a non-member manager of the Selling Stockholder, and, accordingly, Mr. Fisher may be deemed to indirectly beneficially own and have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17" w:lineRule="exact"/>
        <w:rPr>
          <w:rFonts w:ascii="Times New Roman" w:cs="Times New Roman" w:eastAsia="Times New Roman" w:hAnsi="Times New Roman"/>
          <w:sz w:val="14"/>
          <w:szCs w:val="14"/>
          <w:color w:val="auto"/>
        </w:rPr>
      </w:pPr>
    </w:p>
    <w:p>
      <w:pPr>
        <w:ind w:left="660" w:right="379" w:hanging="348"/>
        <w:spacing w:after="0" w:line="229"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1,125,243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Robert Hutter is the ultimate controlling person of the Selling Stockholder and, accordingly, may be deemed to have voting and investment power over the shares. The business address of the listed Selling Stockholder is 27132 Paseo Espada #STE B1225, San Juan Capistrano, California 92675. Mr. Hutter served on the board of directors of Learn CW and as Learn CW’s Chief Executive Officer.</w:t>
      </w:r>
    </w:p>
    <w:p>
      <w:pPr>
        <w:spacing w:after="0" w:line="18" w:lineRule="exact"/>
        <w:rPr>
          <w:rFonts w:ascii="Times New Roman" w:cs="Times New Roman" w:eastAsia="Times New Roman" w:hAnsi="Times New Roman"/>
          <w:sz w:val="14"/>
          <w:szCs w:val="14"/>
          <w:color w:val="auto"/>
        </w:rPr>
      </w:pPr>
    </w:p>
    <w:p>
      <w:pPr>
        <w:ind w:left="660" w:right="399" w:hanging="348"/>
        <w:spacing w:after="0" w:line="23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63,299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Michael J. Price is the Manager of the Selling Stockholder and, accordingly, may be deemed to have voting and investment power over the shares. The business address of the listed Selling Stockholder is 450 East 83rd St., PH1A, New York, New York 10028.</w:t>
      </w:r>
    </w:p>
    <w:p>
      <w:pPr>
        <w:spacing w:after="0" w:line="18" w:lineRule="exact"/>
        <w:rPr>
          <w:rFonts w:ascii="Times New Roman" w:cs="Times New Roman" w:eastAsia="Times New Roman" w:hAnsi="Times New Roman"/>
          <w:sz w:val="14"/>
          <w:szCs w:val="14"/>
          <w:color w:val="auto"/>
        </w:rPr>
      </w:pPr>
    </w:p>
    <w:p>
      <w:pPr>
        <w:ind w:left="660" w:right="459" w:hanging="348"/>
        <w:spacing w:after="0" w:line="224"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2,500,000 shares of Common Stock that may be issued to WTI Fund X, LLC pursuant to the 2024 WTI Warrants and up to 750,000 shares of Common Stock that may be issued to WTI Fund X, LLC pursuant to the 2025 WTI Warrants, subject to certain limitations, adjustment, and certain other rights to possible future financings in accordance with terms of the 2024 WTI Warrants and the 2025 WTI Warrants, respectively.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 La Mesa Drive, Suite 102, Portola Valley, California 94028.</w:t>
      </w:r>
    </w:p>
    <w:p>
      <w:pPr>
        <w:spacing w:after="0" w:line="24" w:lineRule="exact"/>
        <w:rPr>
          <w:rFonts w:ascii="Times New Roman" w:cs="Times New Roman" w:eastAsia="Times New Roman" w:hAnsi="Times New Roman"/>
          <w:sz w:val="14"/>
          <w:szCs w:val="14"/>
          <w:color w:val="auto"/>
        </w:rPr>
      </w:pPr>
    </w:p>
    <w:p>
      <w:pPr>
        <w:ind w:left="660" w:right="359" w:hanging="348"/>
        <w:spacing w:after="0" w:line="224"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833,334 shares of Common Stock that may be issued to WTI Fund XI, LLC pursuant to the 2024 WTI Warrants and up to 250,000 shares of Common Stock that may be issued to WTI Fund XI, LLC pursuant to the 2025 WTI Warrants, subject to certain limitations, adjustment, and certain other rights to possible future financings in accordance with terms of the 2024 WTI Warrants and the 2025 WTI Warrants, respectively.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 La Mesa Drive, Suite 102, Portola Valley, California 94028.</w:t>
      </w:r>
    </w:p>
    <w:p>
      <w:pPr>
        <w:spacing w:after="0" w:line="24" w:lineRule="exact"/>
        <w:rPr>
          <w:rFonts w:ascii="Times New Roman" w:cs="Times New Roman" w:eastAsia="Times New Roman" w:hAnsi="Times New Roman"/>
          <w:sz w:val="14"/>
          <w:szCs w:val="14"/>
          <w:color w:val="auto"/>
        </w:rPr>
      </w:pPr>
    </w:p>
    <w:p>
      <w:pPr>
        <w:ind w:left="660" w:right="539" w:hanging="348"/>
        <w:spacing w:after="0" w:line="22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3,291,685 shares of Common Stock and (ii) up to 250,000 shares of Common Stock that were issued upon conversion of 125,000 shares of Series C Preferred Stock originally issued to the Selling Stockholder. The Selling Stockholder is a limited partnership. Voting and investment power over the shares held by the Selling Stockholder is exercised by Jonathan Loeffler and Mark Pomeroy Jr.</w:t>
      </w:r>
    </w:p>
    <w:p>
      <w:pPr>
        <w:ind w:left="660" w:right="47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5956 Sherry Lane, 20th Floor, Dallas, Texas 75225.</w:t>
      </w:r>
    </w:p>
    <w:p>
      <w:pPr>
        <w:spacing w:after="0" w:line="17" w:lineRule="exact"/>
        <w:rPr>
          <w:rFonts w:ascii="Times New Roman" w:cs="Times New Roman" w:eastAsia="Times New Roman" w:hAnsi="Times New Roman"/>
          <w:sz w:val="14"/>
          <w:szCs w:val="14"/>
          <w:color w:val="auto"/>
        </w:rPr>
      </w:pPr>
    </w:p>
    <w:p>
      <w:pPr>
        <w:ind w:left="660" w:right="539" w:hanging="348"/>
        <w:spacing w:after="0" w:line="226"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200,000 shares of Common Stock that were issued upon conversion of 100,000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Stockholders is</w:t>
      </w: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 Old Orchard Road, Clarks Green, Pennsylvania 18411.</w:t>
      </w:r>
    </w:p>
    <w:p>
      <w:pPr>
        <w:spacing w:after="0" w:line="24" w:lineRule="exact"/>
        <w:rPr>
          <w:rFonts w:ascii="Times New Roman" w:cs="Times New Roman" w:eastAsia="Times New Roman" w:hAnsi="Times New Roman"/>
          <w:sz w:val="14"/>
          <w:szCs w:val="14"/>
          <w:color w:val="auto"/>
        </w:rPr>
      </w:pPr>
    </w:p>
    <w:p>
      <w:pPr>
        <w:ind w:left="660" w:right="319" w:hanging="348"/>
        <w:spacing w:after="0" w:line="224"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106,180 shares of Common Stock issuable upon conversion of 53,090 shares of Series C Preferred Stock originally issued to the Selling Stockholder and issued to the Selling Stockholder as a paid-in-kind dividend to date. Terria Godwin and Pauline McGettigan are the controlling persons of the Selling Stockholder and share voting and investment power equally such that voting and investment decisions require the affirmative agreement of both persons.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Market Street, P.O. Box 10467, Suite 3206A, 2nd Floor, Camana Bay, Grand Cayman, Cayman Islands KY1-1004.</w:t>
      </w:r>
    </w:p>
    <w:p>
      <w:pPr>
        <w:spacing w:after="0" w:line="24" w:lineRule="exact"/>
        <w:rPr>
          <w:rFonts w:ascii="Times New Roman" w:cs="Times New Roman" w:eastAsia="Times New Roman" w:hAnsi="Times New Roman"/>
          <w:sz w:val="14"/>
          <w:szCs w:val="14"/>
          <w:color w:val="auto"/>
        </w:rPr>
      </w:pPr>
    </w:p>
    <w:p>
      <w:pPr>
        <w:ind w:left="660" w:right="719" w:hanging="348"/>
        <w:spacing w:after="0" w:line="257"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C Preferred Stock originally issued to the Selling Stockholder and shares of Common Stock issuable upon conversion of Series C Preferred Stock issued and to be issued as dividends.</w:t>
      </w:r>
    </w:p>
    <w:p>
      <w:pPr>
        <w:spacing w:after="0" w:line="4" w:lineRule="exact"/>
        <w:rPr>
          <w:rFonts w:ascii="Times New Roman" w:cs="Times New Roman" w:eastAsia="Times New Roman" w:hAnsi="Times New Roman"/>
          <w:sz w:val="14"/>
          <w:szCs w:val="14"/>
          <w:color w:val="auto"/>
        </w:rPr>
      </w:pPr>
    </w:p>
    <w:p>
      <w:pPr>
        <w:ind w:left="660" w:right="419" w:hanging="348"/>
        <w:spacing w:after="0" w:line="23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739,566 shares of Common Stock and (ii) 3,940,706 shares of Common Stock that were issued upon conversion of 1,970,353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111 2nd Avenue NE, Suite 528, Saint Petersburg, Florida 33701. James Donnally, one of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jc w:val="both"/>
        <w:ind w:left="680" w:right="419"/>
        <w:spacing w:after="0" w:line="234" w:lineRule="auto"/>
        <w:rPr>
          <w:sz w:val="20"/>
          <w:szCs w:val="20"/>
          <w:color w:val="auto"/>
        </w:rPr>
      </w:pPr>
      <w:r>
        <w:rPr>
          <w:rFonts w:ascii="Times New Roman" w:cs="Times New Roman" w:eastAsia="Times New Roman" w:hAnsi="Times New Roman"/>
          <w:sz w:val="14"/>
          <w:szCs w:val="14"/>
          <w:color w:val="auto"/>
        </w:rPr>
        <w:t>Company’s directors, is the Managing Member of Bellringer Consulting Group, LLC, the General Partner of the Selling Stockholder, is an equity holder of the Selling Stockholder, and previously served as the Vice President and Chief Financial Officer of Glockner Enterprises from 1996 to 2023. Mr. Donnally currently has no authority over the Selling Stockholder’s decision-making with respect to equity or debt investments in the Company.</w:t>
      </w:r>
    </w:p>
    <w:p>
      <w:pPr>
        <w:spacing w:after="0" w:line="17" w:lineRule="exact"/>
        <w:rPr>
          <w:sz w:val="20"/>
          <w:szCs w:val="20"/>
          <w:color w:val="auto"/>
        </w:rPr>
      </w:pPr>
    </w:p>
    <w:p>
      <w:pPr>
        <w:ind w:left="660" w:right="379" w:hanging="348"/>
        <w:spacing w:after="0" w:line="227"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326,112 shares of Common Stock that were issued upon conversion of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Donald H. Putnam is the managing partner of the Selling Stockholder and, accordingly, may be deemed to have sole voting and investment power over the shares. The Selling Stockholder served as an advisor to the Company in the Business Combination between October 2023 and October 2024. Following the Business Combination, the Selling Stockholder provided advisory services through July 2025. The business address of the listed Selling Stockholder is 2 Embarcadero Center, Floor 8, San Francisco, California 94111.</w:t>
      </w:r>
    </w:p>
    <w:p>
      <w:pPr>
        <w:spacing w:after="0" w:line="18" w:lineRule="exact"/>
        <w:rPr>
          <w:rFonts w:ascii="Times New Roman" w:cs="Times New Roman" w:eastAsia="Times New Roman" w:hAnsi="Times New Roman"/>
          <w:sz w:val="14"/>
          <w:szCs w:val="14"/>
          <w:color w:val="auto"/>
        </w:rPr>
      </w:pPr>
    </w:p>
    <w:p>
      <w:pPr>
        <w:ind w:left="660" w:hanging="34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3,264,275 shares of Common Stock and (ii) 228,332 shares of Common Stock that were issued upon conversion of</w:t>
      </w:r>
    </w:p>
    <w:p>
      <w:pPr>
        <w:spacing w:after="0" w:line="2" w:lineRule="exact"/>
        <w:rPr>
          <w:rFonts w:ascii="Times New Roman" w:cs="Times New Roman" w:eastAsia="Times New Roman" w:hAnsi="Times New Roman"/>
          <w:sz w:val="14"/>
          <w:szCs w:val="14"/>
          <w:color w:val="auto"/>
        </w:rPr>
      </w:pPr>
    </w:p>
    <w:p>
      <w:pPr>
        <w:ind w:left="660" w:right="539"/>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114,161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 Mr. Otworth serves as the Company’s Executive Chairman and as a director.</w:t>
      </w:r>
    </w:p>
    <w:p>
      <w:pPr>
        <w:spacing w:after="0" w:line="18" w:lineRule="exact"/>
        <w:rPr>
          <w:rFonts w:ascii="Times New Roman" w:cs="Times New Roman" w:eastAsia="Times New Roman" w:hAnsi="Times New Roman"/>
          <w:sz w:val="14"/>
          <w:szCs w:val="14"/>
          <w:color w:val="auto"/>
        </w:rPr>
      </w:pPr>
    </w:p>
    <w:p>
      <w:pPr>
        <w:jc w:val="both"/>
        <w:ind w:left="660" w:right="459" w:hanging="348"/>
        <w:spacing w:after="0" w:line="23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212,360 shares of Common Stock issuable upon conversion of 106,180 shares of Series C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7 Country Road, Boynton Beach, Florida 33436.</w:t>
      </w:r>
    </w:p>
    <w:p>
      <w:pPr>
        <w:spacing w:after="0" w:line="18" w:lineRule="exact"/>
        <w:rPr>
          <w:rFonts w:ascii="Times New Roman" w:cs="Times New Roman" w:eastAsia="Times New Roman" w:hAnsi="Times New Roman"/>
          <w:sz w:val="14"/>
          <w:szCs w:val="14"/>
          <w:color w:val="auto"/>
        </w:rPr>
      </w:pPr>
    </w:p>
    <w:p>
      <w:pPr>
        <w:jc w:val="both"/>
        <w:ind w:left="660" w:right="479" w:hanging="348"/>
        <w:spacing w:after="0" w:line="239"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25,000 shares of Common Stock issued pursuant to the Subscription Agreements and (ii) 25,000 shares of Common Stock that may be issued upon exercise of the Series A Warrants. The business address of the listed Selling Stockholder is 1985 Fagerness Point Road, Wayzata, Minnesota 55391.</w:t>
      </w:r>
    </w:p>
    <w:p>
      <w:pPr>
        <w:spacing w:after="0" w:line="16" w:lineRule="exact"/>
        <w:rPr>
          <w:rFonts w:ascii="Times New Roman" w:cs="Times New Roman" w:eastAsia="Times New Roman" w:hAnsi="Times New Roman"/>
          <w:sz w:val="14"/>
          <w:szCs w:val="14"/>
          <w:color w:val="auto"/>
        </w:rPr>
      </w:pPr>
    </w:p>
    <w:p>
      <w:pPr>
        <w:ind w:left="660" w:right="379" w:hanging="348"/>
        <w:spacing w:after="0" w:line="23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1,200,000 shares of Common Stock issued pursuant to the Subscription Agreements and (ii) 1,200,000 shares of Common Stock that may be issued upon exercise of the Series A Warrants. Mr. Aaron Weitman is the Managing Member of CastleKnight Fund GP, LLC, which is the controlling entity of the listed Selling Stockholder, and accordingly Mr. Weitman may be deemed to have voting and investment power over the shares. The principal business address of the Selling Stockholder is 888 Seventh Avenue, 24th Floor, New York, New York 10019.</w:t>
      </w:r>
    </w:p>
    <w:p>
      <w:pPr>
        <w:spacing w:after="0" w:line="18" w:lineRule="exact"/>
        <w:rPr>
          <w:rFonts w:ascii="Times New Roman" w:cs="Times New Roman" w:eastAsia="Times New Roman" w:hAnsi="Times New Roman"/>
          <w:sz w:val="14"/>
          <w:szCs w:val="14"/>
          <w:color w:val="auto"/>
        </w:rPr>
      </w:pPr>
    </w:p>
    <w:p>
      <w:pPr>
        <w:ind w:left="660" w:right="499" w:hanging="348"/>
        <w:spacing w:after="0" w:line="234"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pursuant to the Subscription Agreements and (ii) 50,000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w:t>
      </w:r>
    </w:p>
    <w:p>
      <w:pPr>
        <w:spacing w:after="0" w:line="17" w:lineRule="exact"/>
        <w:rPr>
          <w:rFonts w:ascii="Times New Roman" w:cs="Times New Roman" w:eastAsia="Times New Roman" w:hAnsi="Times New Roman"/>
          <w:sz w:val="14"/>
          <w:szCs w:val="14"/>
          <w:color w:val="auto"/>
        </w:rPr>
      </w:pPr>
    </w:p>
    <w:p>
      <w:pPr>
        <w:ind w:left="660" w:right="359" w:hanging="348"/>
        <w:spacing w:after="0" w:line="23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8,400 shares of Common Stock issued pursuant to the Subscription Agreements and (ii) 8,400 shares of Common Stock that may be issued upon exercise of the Series A Warrants.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w:t>
      </w:r>
    </w:p>
    <w:p>
      <w:pPr>
        <w:spacing w:after="0" w:line="18" w:lineRule="exact"/>
        <w:rPr>
          <w:rFonts w:ascii="Times New Roman" w:cs="Times New Roman" w:eastAsia="Times New Roman" w:hAnsi="Times New Roman"/>
          <w:sz w:val="14"/>
          <w:szCs w:val="14"/>
          <w:color w:val="auto"/>
        </w:rPr>
      </w:pPr>
    </w:p>
    <w:p>
      <w:pPr>
        <w:ind w:left="660" w:right="439" w:hanging="348"/>
        <w:spacing w:after="0" w:line="239"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16,000 shares of Common Stock issued pursuant to the Subscription Agreements and (ii) 16,000 shares of Common Stock that may be issued upon exercise of the Series A Warrants. The business address of the listed Selling Stockholder is 6500 N. Hamlin Ave., Lincolnwood, Illinois 60712.</w:t>
      </w:r>
    </w:p>
    <w:p>
      <w:pPr>
        <w:spacing w:after="0" w:line="16" w:lineRule="exact"/>
        <w:rPr>
          <w:rFonts w:ascii="Times New Roman" w:cs="Times New Roman" w:eastAsia="Times New Roman" w:hAnsi="Times New Roman"/>
          <w:sz w:val="14"/>
          <w:szCs w:val="14"/>
          <w:color w:val="auto"/>
        </w:rPr>
      </w:pPr>
    </w:p>
    <w:p>
      <w:pPr>
        <w:ind w:left="660" w:right="339" w:hanging="34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8,334 shares of Common Stock issued pursuant to the Subscription Agreements and (ii) 8,334 shares of Common Stock that may be issued upon exercise of the Series A Warrants. Mr. Erick Kuebler and Mrs. Wendi Kuebler share voting and investment power over the shares.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w:t>
      </w:r>
    </w:p>
    <w:p>
      <w:pPr>
        <w:spacing w:after="0" w:line="135" w:lineRule="exact"/>
        <w:rPr>
          <w:rFonts w:ascii="Times New Roman" w:cs="Times New Roman" w:eastAsia="Times New Roman" w:hAnsi="Times New Roman"/>
          <w:sz w:val="14"/>
          <w:szCs w:val="14"/>
          <w:color w:val="auto"/>
        </w:rPr>
      </w:pPr>
    </w:p>
    <w:p>
      <w:pPr>
        <w:ind w:left="660" w:right="399" w:hanging="348"/>
        <w:spacing w:after="0" w:line="23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4,167 shares of Common Stock issued pursuant to the Subscription Agreements and (ii) 4,167 shares of Common Stock that may be issued upon exercise of the Series A Warrants. Based on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767 3rd Avenue, New York, New York 10017.</w:t>
      </w:r>
    </w:p>
    <w:p>
      <w:pPr>
        <w:spacing w:after="0" w:line="18" w:lineRule="exact"/>
        <w:rPr>
          <w:rFonts w:ascii="Times New Roman" w:cs="Times New Roman" w:eastAsia="Times New Roman" w:hAnsi="Times New Roman"/>
          <w:sz w:val="14"/>
          <w:szCs w:val="14"/>
          <w:color w:val="auto"/>
        </w:rPr>
      </w:pPr>
    </w:p>
    <w:p>
      <w:pPr>
        <w:ind w:left="660" w:right="439" w:hanging="348"/>
        <w:spacing w:after="0" w:line="234"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pursuant to the Subscription Agreements and (ii) 50,000 shares of Common Stock that may be issued upon exercise of the Series A Warrants. Mr. Marvin Mermelstein serves as the trustee for the listed Selling Stockholder and, accordingly, may be deemed to have voting and investment power over the shares. The business address of the listed Selling Stockholder is 6500 N. Hamlin Ave., Lincolnwood, Illinois 60712.</w:t>
      </w:r>
    </w:p>
    <w:p>
      <w:pPr>
        <w:spacing w:after="0" w:line="17" w:lineRule="exact"/>
        <w:rPr>
          <w:rFonts w:ascii="Times New Roman" w:cs="Times New Roman" w:eastAsia="Times New Roman" w:hAnsi="Times New Roman"/>
          <w:sz w:val="14"/>
          <w:szCs w:val="14"/>
          <w:color w:val="auto"/>
        </w:rPr>
      </w:pPr>
    </w:p>
    <w:p>
      <w:pPr>
        <w:ind w:left="660" w:right="419" w:hanging="348"/>
        <w:spacing w:after="0" w:line="234"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35,000 shares of Common Stock issued pursuant to the Subscription Agreements and (ii) 35,000 shares of Common Stock that may be issued upon exercise of the Series A Warrants. Mr. Jay Rappaport and Mrs. Corrina Rappaport are the ultimate controlling persons of the listed Selling Stockholder and share voting and investment power over the shares. The business address of the listed Selling Stockholder is 135 S. Carmelina Ave., Los Angeles, CA 90049.</w:t>
      </w:r>
    </w:p>
    <w:p>
      <w:pPr>
        <w:spacing w:after="0" w:line="17" w:lineRule="exact"/>
        <w:rPr>
          <w:rFonts w:ascii="Times New Roman" w:cs="Times New Roman" w:eastAsia="Times New Roman" w:hAnsi="Times New Roman"/>
          <w:sz w:val="14"/>
          <w:szCs w:val="14"/>
          <w:color w:val="auto"/>
        </w:rPr>
      </w:pPr>
    </w:p>
    <w:p>
      <w:pPr>
        <w:ind w:left="660" w:right="359" w:hanging="348"/>
        <w:spacing w:after="0" w:line="239"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166,667 shares of Common Stock issued pursuant to the Subscription Agreements and (ii) 166,667 shares of Common Stock that may be issued upon exercise of the Series A Warrants. The business address of the listed Selling Stockholder is 5510 West Dry Creek Road, Manhattan, Montana 59741.</w:t>
      </w:r>
    </w:p>
    <w:p>
      <w:pPr>
        <w:spacing w:after="0" w:line="16" w:lineRule="exact"/>
        <w:rPr>
          <w:rFonts w:ascii="Times New Roman" w:cs="Times New Roman" w:eastAsia="Times New Roman" w:hAnsi="Times New Roman"/>
          <w:sz w:val="14"/>
          <w:szCs w:val="14"/>
          <w:color w:val="auto"/>
        </w:rPr>
      </w:pPr>
    </w:p>
    <w:p>
      <w:pPr>
        <w:ind w:left="660" w:right="399" w:hanging="348"/>
        <w:spacing w:after="0" w:line="239"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9,500 shares of Common Stock issued pursuant to the Subscription Agreements and (ii) 9,500 shares of Common Stock that may be issued upon exercise of the Series A Warrants. The business address of the listed Selling Stockholder is 654 Cypress Hills Drive, Encinitas, California 92024.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660" w:right="499" w:hanging="348"/>
        <w:spacing w:after="0" w:line="239"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41,667 shares of Common Stock issued pursuant to the Subscription Agreements and (ii) 41,667 shares of Common Stock that may be issued upon exercise of the Series A Warrants. The business address of the listed Selling Stockholder is 647 Shore Drive, Boynton Beach, Florida 33435.</w:t>
      </w:r>
    </w:p>
    <w:p>
      <w:pPr>
        <w:spacing w:after="0" w:line="16" w:lineRule="exact"/>
        <w:rPr>
          <w:rFonts w:ascii="Times New Roman" w:cs="Times New Roman" w:eastAsia="Times New Roman" w:hAnsi="Times New Roman"/>
          <w:sz w:val="14"/>
          <w:szCs w:val="14"/>
          <w:color w:val="auto"/>
        </w:rPr>
      </w:pPr>
    </w:p>
    <w:p>
      <w:pPr>
        <w:ind w:left="660" w:right="499" w:hanging="348"/>
        <w:spacing w:after="0" w:line="234"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10,500 shares of Common Stock issued pursuant to the Subscription Agreements and (ii) 10,500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9" w:lineRule="exact"/>
        <w:rPr>
          <w:sz w:val="20"/>
          <w:szCs w:val="20"/>
          <w:color w:val="auto"/>
        </w:rPr>
      </w:pPr>
    </w:p>
    <w:p>
      <w:pPr>
        <w:ind w:left="320" w:right="439" w:firstLine="358"/>
        <w:spacing w:after="0" w:line="268" w:lineRule="auto"/>
        <w:rPr>
          <w:sz w:val="20"/>
          <w:szCs w:val="20"/>
          <w:color w:val="auto"/>
        </w:rPr>
      </w:pPr>
      <w:r>
        <w:rPr>
          <w:rFonts w:ascii="Times New Roman" w:cs="Times New Roman" w:eastAsia="Times New Roman" w:hAnsi="Times New Roman"/>
          <w:sz w:val="17"/>
          <w:szCs w:val="17"/>
          <w:color w:val="auto"/>
        </w:rPr>
        <w:t>We are registering (A) the resale by the Selling Stockholders or their permitted transferees of up to 41,291,719 shares of Common Stock, which includes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w:t>
      </w:r>
    </w:p>
    <w:p>
      <w:pPr>
        <w:spacing w:after="0" w:line="2" w:lineRule="exact"/>
        <w:rPr>
          <w:sz w:val="20"/>
          <w:szCs w:val="20"/>
          <w:color w:val="auto"/>
        </w:rPr>
      </w:pPr>
    </w:p>
    <w:p>
      <w:pPr>
        <w:ind w:left="320" w:right="399" w:hanging="8"/>
        <w:spacing w:after="0" w:line="249" w:lineRule="auto"/>
        <w:tabs>
          <w:tab w:leader="none" w:pos="6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3,333,334 shares of Common Stock that may be issued upon exercise of the 2024 WTI Warrants held by the WTI Holders; (v) up to 8,480,518 shares of Common Stock that were issued and may be issued upon conversion of Series C Preferred Stock; (vi) up to 1,000,000 shares of Common Stock that may be issued upon exercise of the 2025 WTI Warrants held by the WTI Holders; (vii) up to 3,250,470 shares of Common Stock issued and issuable pursuant to the terms of the Subscription Agreements entered into with the Subscribers, consisting of (a) 1,625,235 shares of Common Stock issued to the Subscribers and (b) 1,625,235 shares that may be issued upon exercise of the Series A Warrants held by the Subscribers; and (viii) 65,000 shares of Common Stock that were issued upon conversion of the Convertible Debentures issued to Yorkville pursuant to the Securities Purchase Agreement; and</w:t>
      </w:r>
    </w:p>
    <w:p>
      <w:pPr>
        <w:spacing w:after="0" w:line="1" w:lineRule="exact"/>
        <w:rPr>
          <w:rFonts w:ascii="Times New Roman" w:cs="Times New Roman" w:eastAsia="Times New Roman" w:hAnsi="Times New Roman"/>
          <w:sz w:val="18"/>
          <w:szCs w:val="18"/>
          <w:color w:val="auto"/>
        </w:rPr>
      </w:pPr>
    </w:p>
    <w:p>
      <w:pPr>
        <w:ind w:left="320" w:right="10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issuance by us of 18,386,688 shares of Common Stock issuable upon the exercise of the Innventure Warrants.</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15" w:lineRule="exact"/>
        <w:rPr>
          <w:sz w:val="20"/>
          <w:szCs w:val="20"/>
          <w:color w:val="auto"/>
        </w:rPr>
      </w:pPr>
    </w:p>
    <w:p>
      <w:pPr>
        <w:ind w:left="320" w:right="339" w:firstLine="358"/>
        <w:spacing w:after="0" w:line="256"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9" w:lineRule="exact"/>
        <w:rPr>
          <w:sz w:val="20"/>
          <w:szCs w:val="20"/>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5" w:lineRule="exact"/>
        <w:rPr>
          <w:rFonts w:ascii="Times New Roman" w:cs="Times New Roman" w:eastAsia="Times New Roman" w:hAnsi="Times New Roman"/>
          <w:sz w:val="18"/>
          <w:szCs w:val="18"/>
          <w:color w:val="auto"/>
        </w:rPr>
      </w:pPr>
    </w:p>
    <w:p>
      <w:pPr>
        <w:ind w:left="1020" w:right="639" w:hanging="350"/>
        <w:spacing w:after="0" w:line="28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5" w:lineRule="exact"/>
        <w:rPr>
          <w:rFonts w:ascii="Times New Roman" w:cs="Times New Roman" w:eastAsia="Times New Roman" w:hAnsi="Times New Roman"/>
          <w:sz w:val="18"/>
          <w:szCs w:val="18"/>
          <w:color w:val="auto"/>
        </w:rPr>
      </w:pPr>
    </w:p>
    <w:p>
      <w:pPr>
        <w:ind w:left="1020" w:right="499" w:hanging="350"/>
        <w:spacing w:after="0" w:line="28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54" w:lineRule="exact"/>
        <w:rPr>
          <w:rFonts w:ascii="Times New Roman" w:cs="Times New Roman" w:eastAsia="Times New Roman" w:hAnsi="Times New Roman"/>
          <w:sz w:val="18"/>
          <w:szCs w:val="18"/>
          <w:color w:val="auto"/>
        </w:rPr>
      </w:pPr>
    </w:p>
    <w:p>
      <w:pPr>
        <w:ind w:left="1020" w:right="699" w:hanging="350"/>
        <w:spacing w:after="0" w:line="28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4"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5" w:lineRule="exact"/>
        <w:rPr>
          <w:sz w:val="20"/>
          <w:szCs w:val="20"/>
          <w:color w:val="auto"/>
        </w:rPr>
      </w:pPr>
    </w:p>
    <w:p>
      <w:pPr>
        <w:jc w:val="both"/>
        <w:ind w:left="320" w:right="619" w:firstLine="358"/>
        <w:spacing w:after="0" w:line="264"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69" w:lineRule="exact"/>
        <w:rPr>
          <w:sz w:val="20"/>
          <w:szCs w:val="20"/>
          <w:color w:val="auto"/>
        </w:rPr>
      </w:pPr>
    </w:p>
    <w:p>
      <w:pPr>
        <w:ind w:left="320" w:right="399" w:firstLine="358"/>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20" w:right="319" w:firstLine="358"/>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its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79" w:lineRule="exact"/>
        <w:rPr>
          <w:sz w:val="20"/>
          <w:szCs w:val="20"/>
          <w:color w:val="auto"/>
        </w:rPr>
      </w:pPr>
    </w:p>
    <w:p>
      <w:pPr>
        <w:ind w:left="320" w:right="479" w:firstLine="358"/>
        <w:spacing w:after="0" w:line="255"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78" w:lineRule="exact"/>
        <w:rPr>
          <w:sz w:val="20"/>
          <w:szCs w:val="20"/>
          <w:color w:val="auto"/>
        </w:rPr>
      </w:pPr>
    </w:p>
    <w:p>
      <w:pPr>
        <w:ind w:left="320" w:right="379" w:firstLine="358"/>
        <w:spacing w:after="0" w:line="254"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its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79" w:lineRule="exact"/>
        <w:rPr>
          <w:sz w:val="20"/>
          <w:szCs w:val="20"/>
          <w:color w:val="auto"/>
        </w:rPr>
      </w:pPr>
    </w:p>
    <w:p>
      <w:pPr>
        <w:ind w:left="320" w:right="479" w:firstLine="358"/>
        <w:spacing w:after="0" w:line="271" w:lineRule="auto"/>
        <w:rPr>
          <w:sz w:val="20"/>
          <w:szCs w:val="20"/>
          <w:color w:val="auto"/>
        </w:rPr>
      </w:pPr>
      <w:r>
        <w:rPr>
          <w:rFonts w:ascii="Times New Roman" w:cs="Times New Roman" w:eastAsia="Times New Roman" w:hAnsi="Times New Roman"/>
          <w:sz w:val="17"/>
          <w:szCs w:val="17"/>
          <w:color w:val="auto"/>
        </w:rPr>
        <w:t>With respect to the Selling Stockholders under each of the A&amp;R Registration Rights Agreement and the A&amp;R Registration Rights Agreement, dated October 22, 2024, by and among the Company and the WTI Holders, the Company has agreed to keep this prospectus effective and in compliance with the Securities Act until the earlier of</w:t>
      </w:r>
    </w:p>
    <w:p>
      <w:pPr>
        <w:spacing w:after="0" w:line="1" w:lineRule="exact"/>
        <w:rPr>
          <w:sz w:val="20"/>
          <w:szCs w:val="20"/>
          <w:color w:val="auto"/>
        </w:rPr>
      </w:pPr>
    </w:p>
    <w:p>
      <w:pPr>
        <w:ind w:left="320" w:right="339" w:hanging="8"/>
        <w:spacing w:after="0" w:line="263" w:lineRule="auto"/>
        <w:tabs>
          <w:tab w:leader="none" w:pos="5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as there are no longer any registrable securities under such agreements or (ii) the tenth-year anniversary of such agreement. The Company has also agreed to keep this prospectus effective and in compliance with the Securities Act until the expiration of the SEPA. Further, with respect to the holders of Series B Preferred Stock and Series C Preferred Stock, the Company has agreed to keep this prospectus continuously effective until the earlier of</w:t>
      </w:r>
    </w:p>
    <w:p>
      <w:pPr>
        <w:spacing w:after="0" w:line="3" w:lineRule="exact"/>
        <w:rPr>
          <w:rFonts w:ascii="Times New Roman" w:cs="Times New Roman" w:eastAsia="Times New Roman" w:hAnsi="Times New Roman"/>
          <w:sz w:val="17"/>
          <w:szCs w:val="17"/>
          <w:color w:val="auto"/>
        </w:rPr>
      </w:pPr>
    </w:p>
    <w:p>
      <w:pPr>
        <w:ind w:left="320" w:right="399" w:hanging="8"/>
        <w:spacing w:after="0" w:line="249" w:lineRule="auto"/>
        <w:tabs>
          <w:tab w:leader="none" w:pos="5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shares underlying the Series B Preferred Stock and Series C Preferred Stock have been sold thereunder; (ii) the date on which all shares underlying the Series B Preferred Stock and Series C Preferred Stock may be sold pursuant to Rule 144 without volume or manner-of-sale restrictions and without current public information (including pursuant to Rule 144(i)(2)), as reasonably determined by the counsel to the Company; or</w:t>
      </w:r>
    </w:p>
    <w:p>
      <w:pPr>
        <w:ind w:left="320" w:right="419" w:hanging="8"/>
        <w:spacing w:after="0" w:line="251" w:lineRule="auto"/>
        <w:tabs>
          <w:tab w:leader="none" w:pos="6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the fifth anniversary of the effective date of the initial registration statement covering the resale of all shares of Common Stock to be issued upon conversion of shares of Series B Preferred Stock and Series C Preferred Stock. With respect to the Subscribers, the Company has agreed to keep this prospectus effective until the earlier of (i) two years from the effective date of the registration statement and (ii) the date on which all registrable securities under the Subscription Agreements have been sold.</w:t>
      </w:r>
    </w:p>
    <w:p>
      <w:pPr>
        <w:spacing w:after="0" w:line="81" w:lineRule="exact"/>
        <w:rPr>
          <w:sz w:val="20"/>
          <w:szCs w:val="20"/>
          <w:color w:val="auto"/>
        </w:rPr>
      </w:pPr>
    </w:p>
    <w:p>
      <w:pPr>
        <w:ind w:left="320" w:right="339" w:firstLine="358"/>
        <w:spacing w:after="0" w:line="253"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hereby.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9" w:lineRule="exact"/>
        <w:rPr>
          <w:sz w:val="20"/>
          <w:szCs w:val="20"/>
          <w:color w:val="auto"/>
        </w:rPr>
      </w:pPr>
    </w:p>
    <w:p>
      <w:pPr>
        <w:ind w:left="320" w:right="1139" w:firstLine="358"/>
        <w:spacing w:after="0" w:line="275" w:lineRule="auto"/>
        <w:rPr>
          <w:sz w:val="20"/>
          <w:szCs w:val="20"/>
          <w:color w:val="auto"/>
        </w:rPr>
      </w:pPr>
      <w:r>
        <w:rPr>
          <w:rFonts w:ascii="Times New Roman" w:cs="Times New Roman" w:eastAsia="Times New Roman" w:hAnsi="Times New Roman"/>
          <w:sz w:val="17"/>
          <w:szCs w:val="17"/>
          <w:color w:val="auto"/>
        </w:rPr>
        <w:t>The consolidated financial statements of Innventure, Inc. (the “Company”) as of December 31, 2024 (“Successor”) and 2023 (“Predecessor”) and for the period from October 2, 2024 to December 31, 2024</w:t>
      </w:r>
    </w:p>
    <w:p>
      <w:pPr>
        <w:spacing w:after="0" w:line="1" w:lineRule="exact"/>
        <w:rPr>
          <w:sz w:val="20"/>
          <w:szCs w:val="20"/>
          <w:color w:val="auto"/>
        </w:rPr>
      </w:pPr>
    </w:p>
    <w:p>
      <w:pPr>
        <w:ind w:left="320" w:right="419"/>
        <w:spacing w:after="0" w:line="251" w:lineRule="auto"/>
        <w:rPr>
          <w:sz w:val="20"/>
          <w:szCs w:val="20"/>
          <w:color w:val="auto"/>
        </w:rPr>
      </w:pPr>
      <w:r>
        <w:rPr>
          <w:rFonts w:ascii="Times New Roman" w:cs="Times New Roman" w:eastAsia="Times New Roman" w:hAnsi="Times New Roman"/>
          <w:sz w:val="18"/>
          <w:szCs w:val="18"/>
          <w:color w:val="auto"/>
        </w:rPr>
        <w:t>(“Successor”) and the periods from January 1, 2024 to October 1, 2024 (“Predecessor”) and for the year ended December 31, 2023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9" w:lineRule="exact"/>
        <w:rPr>
          <w:sz w:val="20"/>
          <w:szCs w:val="20"/>
          <w:color w:val="auto"/>
        </w:rPr>
      </w:pPr>
    </w:p>
    <w:p>
      <w:pPr>
        <w:ind w:left="320" w:right="519" w:firstLine="358"/>
        <w:spacing w:after="0" w:line="259"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that contains reports, proxy and information statements and other information regarding issuers, including us, that file electronically with the SEC. The address for the SEC’s website is www.sec.gov.</w:t>
      </w:r>
    </w:p>
    <w:p>
      <w:pPr>
        <w:spacing w:after="0" w:line="74" w:lineRule="exact"/>
        <w:rPr>
          <w:sz w:val="20"/>
          <w:szCs w:val="20"/>
          <w:color w:val="auto"/>
        </w:rPr>
      </w:pPr>
    </w:p>
    <w:p>
      <w:pPr>
        <w:ind w:left="320" w:right="339" w:firstLine="358"/>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our website at www.innventure.com, our annual reports on Form 10-K, quarterly reports on Form 10-Q, current reports on Form 8-K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19" w:lineRule="exact"/>
        <w:rPr>
          <w:sz w:val="20"/>
          <w:szCs w:val="20"/>
          <w:color w:val="auto"/>
        </w:rPr>
      </w:pPr>
    </w:p>
    <w:p>
      <w:pPr>
        <w:ind w:left="320" w:right="339" w:firstLine="358"/>
        <w:spacing w:after="0" w:line="265"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and any future documents that we file with the SEC under Sections 13(a), 13(c), 14 or 15(d) of the Exchange Act (1) after the date of the initial filing of the registration statement of which this prospectus forms a part and prior to the effectiveness of the registration statement and</w:t>
      </w:r>
    </w:p>
    <w:p>
      <w:pPr>
        <w:spacing w:after="0" w:line="8" w:lineRule="exact"/>
        <w:rPr>
          <w:sz w:val="20"/>
          <w:szCs w:val="20"/>
          <w:color w:val="auto"/>
        </w:rPr>
      </w:pPr>
    </w:p>
    <w:p>
      <w:pPr>
        <w:ind w:left="560" w:hanging="248"/>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effectiveness of this prospectus until the offering of the securities is terminated:</w:t>
      </w:r>
    </w:p>
    <w:p>
      <w:pPr>
        <w:spacing w:after="0" w:line="96"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59">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020" w:right="439" w:hanging="350"/>
        <w:spacing w:after="0" w:line="280" w:lineRule="auto"/>
        <w:tabs>
          <w:tab w:leader="none" w:pos="1020" w:val="left"/>
        </w:tabs>
        <w:numPr>
          <w:ilvl w:val="1"/>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quarterly periods ended </w:t>
      </w:r>
      <w:hyperlink r:id="rId60">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and </w:t>
      </w:r>
      <w:hyperlink r:id="rId62">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p>
    <w:p>
      <w:pPr>
        <w:spacing w:after="0" w:line="54" w:lineRule="exact"/>
        <w:rPr>
          <w:rFonts w:ascii="Times New Roman" w:cs="Times New Roman" w:eastAsia="Times New Roman" w:hAnsi="Times New Roman"/>
          <w:sz w:val="18"/>
          <w:szCs w:val="18"/>
          <w:color w:val="0000EE"/>
        </w:rPr>
      </w:pPr>
    </w:p>
    <w:p>
      <w:pPr>
        <w:ind w:left="1020" w:right="399" w:hanging="350"/>
        <w:spacing w:after="0" w:line="256" w:lineRule="auto"/>
        <w:tabs>
          <w:tab w:leader="none" w:pos="1020" w:val="left"/>
        </w:tabs>
        <w:numPr>
          <w:ilvl w:val="1"/>
          <w:numId w:val="20"/>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April 14,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May 15,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June 4,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July 1,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July 2,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20, 2025</w:t>
        </w:r>
      </w:hyperlink>
      <w:hyperlink r:id="rId63">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September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 xml:space="preserve">November 18, 2025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only),</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December 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14,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20,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w:t>
        </w:r>
      </w:hyperlink>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75">
        <w:r>
          <w:rPr>
            <w:rFonts w:ascii="Times New Roman" w:cs="Times New Roman" w:eastAsia="Times New Roman" w:hAnsi="Times New Roman"/>
            <w:sz w:val="18"/>
            <w:szCs w:val="18"/>
            <w:u w:val="single" w:color="auto"/>
            <w:color w:val="0000EE"/>
          </w:rPr>
          <w:t>March 3, 2026</w:t>
        </w:r>
      </w:hyperlink>
      <w:hyperlink r:id="rId74">
        <w:r>
          <w:rPr>
            <w:rFonts w:ascii="Times New Roman" w:cs="Times New Roman" w:eastAsia="Times New Roman" w:hAnsi="Times New Roman"/>
            <w:sz w:val="18"/>
            <w:szCs w:val="18"/>
            <w:color w:val="000000"/>
          </w:rPr>
          <w:t>; and</w:t>
        </w:r>
      </w:hyperlink>
    </w:p>
    <w:p>
      <w:pPr>
        <w:spacing w:after="0" w:line="78" w:lineRule="exact"/>
        <w:rPr>
          <w:rFonts w:ascii="Times New Roman" w:cs="Times New Roman" w:eastAsia="Times New Roman" w:hAnsi="Times New Roman"/>
          <w:sz w:val="18"/>
          <w:szCs w:val="18"/>
          <w:color w:val="0000EE"/>
        </w:rPr>
      </w:pPr>
    </w:p>
    <w:p>
      <w:pPr>
        <w:ind w:left="1020" w:right="539" w:hanging="350"/>
        <w:spacing w:after="0" w:line="264" w:lineRule="auto"/>
        <w:tabs>
          <w:tab w:leader="none" w:pos="1020" w:val="left"/>
        </w:tabs>
        <w:numPr>
          <w:ilvl w:val="1"/>
          <w:numId w:val="20"/>
        </w:numPr>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auto"/>
          </w:rPr>
          <w:t xml:space="preserve">The description of our capital stock contained in </w:t>
        </w:r>
        <w:r>
          <w:rPr>
            <w:rFonts w:ascii="Times New Roman" w:cs="Times New Roman" w:eastAsia="Times New Roman" w:hAnsi="Times New Roman"/>
            <w:sz w:val="18"/>
            <w:szCs w:val="18"/>
            <w:u w:val="single" w:color="auto"/>
            <w:color w:val="0000EE"/>
          </w:rPr>
          <w:t>Exhibit 4.1 to our Annual Report on Form 10-K for the</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year ended December 31, 2024</w:t>
        </w:r>
        <w:r>
          <w:rPr>
            <w:rFonts w:ascii="Times New Roman" w:cs="Times New Roman" w:eastAsia="Times New Roman" w:hAnsi="Times New Roman"/>
            <w:sz w:val="18"/>
            <w:szCs w:val="18"/>
            <w:color w:val="000000"/>
          </w:rPr>
          <w:t>, as amended by any subsequent amendments and reports filed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purpose of updating that description.</w:t>
      </w:r>
    </w:p>
    <w:p>
      <w:pPr>
        <w:spacing w:after="0" w:line="69" w:lineRule="exact"/>
        <w:rPr>
          <w:rFonts w:ascii="Times New Roman" w:cs="Times New Roman" w:eastAsia="Times New Roman" w:hAnsi="Times New Roman"/>
          <w:sz w:val="18"/>
          <w:szCs w:val="18"/>
          <w:color w:val="auto"/>
        </w:rPr>
      </w:pPr>
    </w:p>
    <w:p>
      <w:pPr>
        <w:ind w:left="320" w:right="419" w:firstLine="358"/>
        <w:spacing w:after="0" w:line="259" w:lineRule="auto"/>
        <w:rPr>
          <w:sz w:val="20"/>
          <w:szCs w:val="20"/>
          <w:color w:val="auto"/>
        </w:rPr>
      </w:pPr>
      <w:r>
        <w:rPr>
          <w:rFonts w:ascii="Times New Roman" w:cs="Times New Roman" w:eastAsia="Times New Roman" w:hAnsi="Times New Roman"/>
          <w:sz w:val="18"/>
          <w:szCs w:val="18"/>
          <w:color w:val="auto"/>
        </w:rPr>
        <w:t>We do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spacing w:after="0" w:line="74" w:lineRule="exact"/>
        <w:rPr>
          <w:rFonts w:ascii="Times New Roman" w:cs="Times New Roman" w:eastAsia="Times New Roman" w:hAnsi="Times New Roman"/>
          <w:sz w:val="18"/>
          <w:szCs w:val="18"/>
          <w:color w:val="auto"/>
        </w:rPr>
      </w:pPr>
    </w:p>
    <w:p>
      <w:pPr>
        <w:ind w:left="320" w:right="359" w:firstLine="358"/>
        <w:spacing w:after="0" w:line="280" w:lineRule="auto"/>
        <w:rPr>
          <w:sz w:val="20"/>
          <w:szCs w:val="20"/>
          <w:color w:val="auto"/>
        </w:rPr>
      </w:pPr>
      <w:r>
        <w:rPr>
          <w:rFonts w:ascii="Times New Roman" w:cs="Times New Roman" w:eastAsia="Times New Roman" w:hAnsi="Times New Roman"/>
          <w:sz w:val="18"/>
          <w:szCs w:val="18"/>
          <w:color w:val="auto"/>
        </w:rPr>
        <w:t>You may obtain copies of these filings without charge by requesting the filings in writing or by telephone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209-6787</w:t>
      </w:r>
    </w:p>
    <w:p>
      <w:pPr>
        <w:spacing w:after="0" w:line="97" w:lineRule="exact"/>
        <w:rPr>
          <w:rFonts w:ascii="Times New Roman" w:cs="Times New Roman" w:eastAsia="Times New Roman" w:hAnsi="Times New Roman"/>
          <w:sz w:val="18"/>
          <w:szCs w:val="18"/>
          <w:color w:val="auto"/>
        </w:rPr>
      </w:pPr>
    </w:p>
    <w:p>
      <w:pPr>
        <w:ind w:left="320" w:right="339" w:firstLine="358"/>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covering the securities to be offered and sold by this prospectus and any applicable prospectus supplement. This prospectus does not contain all of the information included in the registration statement, some of which is contained in exhibits to the registration statement. The registration statement, including the exhibits, can be read at the SEC website or at the SEC offices referred to above. Any statement made in this prospectus or any applicable prospectus supplement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0"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r>
        <w:rPr>
          <w:rFonts w:ascii="Times New Roman" w:cs="Times New Roman" w:eastAsia="Times New Roman" w:hAnsi="Times New Roman"/>
          <w:sz w:val="17"/>
          <w:szCs w:val="17"/>
          <w:b w:val="1"/>
          <w:bCs w:val="1"/>
          <w:i w:val="1"/>
          <w:iCs w:val="1"/>
          <w:color w:val="auto"/>
        </w:rPr>
        <w:t>.</w:t>
      </w:r>
    </w:p>
    <w:p>
      <w:pPr>
        <w:spacing w:after="0" w:line="119" w:lineRule="exact"/>
        <w:rPr>
          <w:sz w:val="20"/>
          <w:szCs w:val="20"/>
          <w:color w:val="auto"/>
        </w:rPr>
      </w:pPr>
    </w:p>
    <w:p>
      <w:pPr>
        <w:ind w:left="320" w:right="879" w:firstLine="358"/>
        <w:spacing w:after="0" w:line="259" w:lineRule="auto"/>
        <w:rPr>
          <w:sz w:val="20"/>
          <w:szCs w:val="20"/>
          <w:color w:val="auto"/>
        </w:rPr>
      </w:pPr>
      <w:r>
        <w:rPr>
          <w:rFonts w:ascii="Times New Roman" w:cs="Times New Roman" w:eastAsia="Times New Roman" w:hAnsi="Times New Roman"/>
          <w:sz w:val="18"/>
          <w:szCs w:val="18"/>
          <w:color w:val="auto"/>
        </w:rPr>
        <w:t>The table below sets forth the expenses payable by the registrant in connection with the registration and issuance of the securities being registered hereunder, other than underwriting discounts and commissions. All amounts of such expenses are estimates, other than the filing fees payable to the Securities and Exchange Commission.</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33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$4.20</w:t>
            </w:r>
          </w:p>
        </w:tc>
      </w:t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Miscellaneous Expenses</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4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144780</wp:posOffset>
            </wp:positionV>
            <wp:extent cx="819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253" w:lineRule="exact"/>
        <w:rPr>
          <w:sz w:val="20"/>
          <w:szCs w:val="20"/>
          <w:color w:val="auto"/>
        </w:rPr>
      </w:pPr>
    </w:p>
    <w:p>
      <w:pPr>
        <w:ind w:left="660" w:right="419" w:hanging="348"/>
        <w:spacing w:after="0" w:line="234"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(other than the SEC registration fee to be paid upon the filing of this registration statement) will depend on the number and nature of any offerings of securities made pursuant to this Registration Statement and therefore are not presently known and cannot be estimated. An estimate of the aggregate expenses in connection with the distribution of securities being offered will be included in any applicable prospectus supplement.</w:t>
      </w:r>
    </w:p>
    <w:p>
      <w:pPr>
        <w:spacing w:after="0" w:line="17" w:lineRule="exact"/>
        <w:rPr>
          <w:sz w:val="20"/>
          <w:szCs w:val="20"/>
          <w:color w:val="auto"/>
        </w:rPr>
      </w:pPr>
    </w:p>
    <w:p>
      <w:pPr>
        <w:ind w:left="660" w:right="479" w:hanging="348"/>
        <w:spacing w:after="0" w:line="231"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fees of $23,233.52, $8,275.16, $11,177.02, and $31,649.72 were previously paid in connection with the Prior Registration Statements (File Nos. 333-282971, 333-286558, and 333-291034) and the Company’s Registration Statement on Form S-4 (File No. 333-276714) relating to the securities that were included in the Prior Registration Statements and the Company’s Registration Statement on Form S-4 and that are included in this Registration Statement in accordance with Rule 429 under the Securities Act. Accordingly, there is no registration fee due in connection with the registration of such securities hereby.</w:t>
      </w:r>
    </w:p>
    <w:p>
      <w:pPr>
        <w:spacing w:after="0" w:line="180"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Officers and Directors.</w:t>
      </w:r>
    </w:p>
    <w:p>
      <w:pPr>
        <w:spacing w:after="0" w:line="119" w:lineRule="exact"/>
        <w:rPr>
          <w:sz w:val="20"/>
          <w:szCs w:val="20"/>
          <w:color w:val="auto"/>
        </w:rPr>
      </w:pPr>
    </w:p>
    <w:p>
      <w:pPr>
        <w:ind w:left="320" w:right="339" w:firstLine="358"/>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4" w:lineRule="exact"/>
        <w:rPr>
          <w:sz w:val="20"/>
          <w:szCs w:val="20"/>
          <w:color w:val="auto"/>
        </w:rPr>
      </w:pPr>
    </w:p>
    <w:p>
      <w:pPr>
        <w:ind w:left="320" w:right="359" w:firstLine="358"/>
        <w:spacing w:after="0" w:line="252"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79" w:lineRule="exact"/>
        <w:rPr>
          <w:sz w:val="20"/>
          <w:szCs w:val="20"/>
          <w:color w:val="auto"/>
        </w:rPr>
      </w:pPr>
    </w:p>
    <w:p>
      <w:pPr>
        <w:ind w:left="320" w:right="319" w:firstLine="358"/>
        <w:spacing w:after="0" w:line="255"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20" w:right="379" w:firstLine="358"/>
        <w:spacing w:after="0" w:line="264"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69" w:lineRule="exact"/>
        <w:rPr>
          <w:sz w:val="20"/>
          <w:szCs w:val="20"/>
          <w:color w:val="auto"/>
        </w:rPr>
      </w:pPr>
    </w:p>
    <w:p>
      <w:pPr>
        <w:ind w:left="320" w:right="539" w:firstLine="358"/>
        <w:spacing w:after="0" w:line="256" w:lineRule="auto"/>
        <w:rPr>
          <w:sz w:val="20"/>
          <w:szCs w:val="20"/>
          <w:color w:val="auto"/>
        </w:rPr>
      </w:pPr>
      <w:r>
        <w:rPr>
          <w:rFonts w:ascii="Times New Roman" w:cs="Times New Roman" w:eastAsia="Times New Roman" w:hAnsi="Times New Roman"/>
          <w:sz w:val="18"/>
          <w:szCs w:val="18"/>
          <w:color w:val="auto"/>
        </w:rPr>
        <w:t>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79" w:lineRule="exact"/>
        <w:rPr>
          <w:sz w:val="20"/>
          <w:szCs w:val="20"/>
          <w:color w:val="auto"/>
        </w:rPr>
      </w:pPr>
    </w:p>
    <w:p>
      <w:pPr>
        <w:ind w:left="320" w:right="559" w:firstLine="358"/>
        <w:spacing w:after="0" w:line="256"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w:t>
      </w:r>
    </w:p>
    <w:p>
      <w:pPr>
        <w:spacing w:after="0" w:line="79" w:lineRule="exact"/>
        <w:rPr>
          <w:sz w:val="20"/>
          <w:szCs w:val="20"/>
          <w:color w:val="auto"/>
        </w:rPr>
      </w:pPr>
    </w:p>
    <w:p>
      <w:pPr>
        <w:ind w:left="320" w:right="459" w:firstLine="358"/>
        <w:spacing w:after="0" w:line="259"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w:t>
      </w:r>
    </w:p>
    <w:p>
      <w:pPr>
        <w:spacing w:after="0" w:line="74" w:lineRule="exact"/>
        <w:rPr>
          <w:sz w:val="20"/>
          <w:szCs w:val="20"/>
          <w:color w:val="auto"/>
        </w:rPr>
      </w:pPr>
    </w:p>
    <w:p>
      <w:pPr>
        <w:ind w:left="320" w:right="379" w:firstLine="358"/>
        <w:spacing w:after="0" w:line="26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 w:type="dxa"/>
            <w:vAlign w:val="bottom"/>
          </w:tcPr>
          <w:p>
            <w:pPr>
              <w:spacing w:after="0"/>
              <w:rPr>
                <w:sz w:val="16"/>
                <w:szCs w:val="16"/>
                <w:color w:val="auto"/>
              </w:rPr>
            </w:pPr>
          </w:p>
        </w:tc>
        <w:tc>
          <w:tcPr>
            <w:tcW w:w="720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5"/>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195"/>
        </w:trPr>
        <w:tc>
          <w:tcPr>
            <w:tcW w:w="380" w:type="dxa"/>
            <w:vAlign w:val="bottom"/>
            <w:gridSpan w:val="4"/>
            <w:shd w:val="clear" w:color="auto" w:fill="CCEEFF"/>
          </w:tcPr>
          <w:p>
            <w:pPr>
              <w:spacing w:after="0" w:line="195"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Business Combination Agreement, dated as of October 24, 2023, by and among Learn SPAC</w:t>
            </w:r>
          </w:p>
        </w:tc>
      </w:tr>
      <w:tr>
        <w:trPr>
          <w:trHeight w:val="217"/>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Holdco, Inc., Learn CW Investment Corporation, LCW Merger Sub, Inc., Innventure LLC and</w:t>
            </w:r>
          </w:p>
        </w:tc>
      </w:tr>
      <w:tr>
        <w:trPr>
          <w:trHeight w:val="215"/>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Merger Sub, LLC (incorporated by reference to Annex A to Innventure, Inc.’s</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September 6, 2024)</w:t>
            </w:r>
          </w:p>
        </w:tc>
      </w:tr>
      <w:tr>
        <w:trPr>
          <w:trHeight w:val="188"/>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Certificate of Incorporation of Innventure, Inc., filed with the Secretary of</w:t>
            </w:r>
          </w:p>
        </w:tc>
      </w:tr>
      <w:tr>
        <w:trPr>
          <w:trHeight w:val="217"/>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w w:val="99"/>
              </w:rPr>
              <w:t>State of Delaware on October 2, 2024 (incorporated by reference to Exhibit 3.1 to Innventure, Inc.’s</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 on October 9, 2024)</w:t>
            </w:r>
          </w:p>
        </w:tc>
      </w:tr>
      <w:tr>
        <w:trPr>
          <w:trHeight w:val="195"/>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Certificate of Designation of Series B Preferred Stock of Innventure, Inc., filed with the Secretary of</w:t>
            </w:r>
          </w:p>
        </w:tc>
      </w:tr>
      <w:tr>
        <w:trPr>
          <w:trHeight w:val="217"/>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of State of Delaware on October 2, 2024 (incorporated by reference to Exhibit 3.3 to</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Inc.’s Quarterly Report on Form 10-Q filed with the SEC on May 15, 2025)</w:t>
            </w:r>
          </w:p>
        </w:tc>
      </w:tr>
      <w:tr>
        <w:trPr>
          <w:trHeight w:val="188"/>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Certificate of Designation of Series C Preferred Stock of Innventure, Inc., filed with the Secretary of</w:t>
            </w:r>
          </w:p>
        </w:tc>
      </w:tr>
      <w:tr>
        <w:trPr>
          <w:trHeight w:val="217"/>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w w:val="99"/>
              </w:rPr>
              <w:t>State of Delaware on March 24, 2025 (incorporated by reference to Exhibit 3.1 to Innventure, Inc.’s</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 on March 25, 2025)</w:t>
            </w:r>
          </w:p>
        </w:tc>
      </w:tr>
      <w:tr>
        <w:trPr>
          <w:trHeight w:val="195"/>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Innventure LLC Series 1 Promissory Note (incorporated by reference to Exhibit 4.3 to</w:t>
            </w:r>
          </w:p>
        </w:tc>
      </w:tr>
      <w:tr>
        <w:trPr>
          <w:trHeight w:val="249"/>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Inc.’s Registration Statement on Form S-4 filed with the SEC on September 6, 2024)</w:t>
            </w:r>
          </w:p>
        </w:tc>
      </w:tr>
      <w:tr>
        <w:trPr>
          <w:trHeight w:val="188"/>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Accelsius Holdings LLC Convertible Promissory Note (incorporated by reference to</w:t>
            </w:r>
          </w:p>
        </w:tc>
      </w:tr>
      <w:tr>
        <w:trPr>
          <w:trHeight w:val="217"/>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Exhibit 4.4 to Innventure, Inc.’s Registration Statement on Form S-4 filed with the SEC on</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195"/>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Secured Convertible Note and Warrant Purchase Agreement, dated as of June 3, 2021, by and</w:t>
            </w:r>
          </w:p>
        </w:tc>
      </w:tr>
      <w:tr>
        <w:trPr>
          <w:trHeight w:val="217"/>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among Innventus ESG Fund I, L.P., AeroFlexx, LLC, and the Investors party thereto (incorporated</w:t>
            </w:r>
          </w:p>
        </w:tc>
      </w:tr>
      <w:tr>
        <w:trPr>
          <w:trHeight w:val="215"/>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reference to Exhibit 4.5 to Innventure, Inc.’s Registration Statement on Form S-4 filed with the</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on September 6, 2024)</w:t>
            </w:r>
          </w:p>
        </w:tc>
      </w:tr>
      <w:tr>
        <w:trPr>
          <w:trHeight w:val="188"/>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Secured Convertible Promissory Note and Warrant Purchase Agreement,</w:t>
            </w:r>
          </w:p>
        </w:tc>
      </w:tr>
      <w:tr>
        <w:trPr>
          <w:trHeight w:val="217"/>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dated as of July 31, 2021, by and among Innventus ESG Fund I, L.P., AeroFlexx, LLC, and the</w:t>
            </w:r>
          </w:p>
        </w:tc>
      </w:tr>
      <w:tr>
        <w:trPr>
          <w:trHeight w:val="215"/>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party thereto (incorporated by reference to Exhibit 4.6 to Innventure, Inc.’s Registration</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S-4 filed with the SEC on September 6, 2024)</w:t>
            </w:r>
          </w:p>
        </w:tc>
      </w:tr>
      <w:tr>
        <w:trPr>
          <w:trHeight w:val="195"/>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Innventure Class B Warrant Cashless Exercise Description and Acknowledgment Letter</w:t>
            </w:r>
          </w:p>
        </w:tc>
      </w:tr>
      <w:tr>
        <w:trPr>
          <w:trHeight w:val="217"/>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4.8 to Innventure, Inc.’s Registration Statement on Form S-4</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with the SEC on September 6, 2024)</w:t>
            </w:r>
          </w:p>
        </w:tc>
      </w:tr>
      <w:tr>
        <w:trPr>
          <w:trHeight w:val="188"/>
        </w:trPr>
        <w:tc>
          <w:tcPr>
            <w:tcW w:w="300" w:type="dxa"/>
            <w:vAlign w:val="bottom"/>
            <w:tcBorders>
              <w:bottom w:val="single" w:sz="8" w:color="0000EE"/>
            </w:tcBorders>
            <w:gridSpan w:val="2"/>
          </w:tcPr>
          <w:p>
            <w:pPr>
              <w:spacing w:after="0" w:line="189" w:lineRule="exact"/>
              <w:rPr>
                <w:rFonts w:ascii="Times New Roman" w:cs="Times New Roman" w:eastAsia="Times New Roman" w:hAnsi="Times New Roman"/>
                <w:sz w:val="18"/>
                <w:szCs w:val="18"/>
                <w:color w:val="0000EE"/>
                <w:w w:val="90"/>
              </w:rPr>
            </w:pPr>
            <w:hyperlink r:id="rId90">
              <w:r>
                <w:rPr>
                  <w:rFonts w:ascii="Times New Roman" w:cs="Times New Roman" w:eastAsia="Times New Roman" w:hAnsi="Times New Roman"/>
                  <w:sz w:val="18"/>
                  <w:szCs w:val="18"/>
                  <w:color w:val="0000EE"/>
                  <w:w w:val="90"/>
                </w:rPr>
                <w:t>4.</w:t>
              </w:r>
              <w:r>
                <w:rPr>
                  <w:rFonts w:ascii="Times New Roman" w:cs="Times New Roman" w:eastAsia="Times New Roman" w:hAnsi="Times New Roman"/>
                  <w:sz w:val="18"/>
                  <w:szCs w:val="18"/>
                  <w:u w:val="single" w:color="auto"/>
                  <w:color w:val="0000EE"/>
                  <w:w w:val="90"/>
                </w:rPr>
                <w:t>9^</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Warrant to Acquire Securities of Innventure, Inc., dated October 22, 2024, issued to WTI Fund X,</w:t>
            </w: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LLC (incorporated by reference to Exhibit 4.1 to Innventure, Inc.’s Current Report on Form 8-K</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SEC on October 23, 2024)</w:t>
            </w:r>
          </w:p>
        </w:tc>
      </w:tr>
      <w:tr>
        <w:trPr>
          <w:trHeight w:val="195"/>
        </w:trPr>
        <w:tc>
          <w:tcPr>
            <w:tcW w:w="380" w:type="dxa"/>
            <w:vAlign w:val="bottom"/>
            <w:tcBorders>
              <w:bottom w:val="single" w:sz="8" w:color="0000EE"/>
            </w:tcBorders>
            <w:gridSpan w:val="4"/>
            <w:shd w:val="clear" w:color="auto" w:fill="CCEEFF"/>
          </w:tcPr>
          <w:p>
            <w:pPr>
              <w:spacing w:after="0" w:line="195" w:lineRule="exact"/>
              <w:rPr>
                <w:rFonts w:ascii="Times New Roman" w:cs="Times New Roman" w:eastAsia="Times New Roman" w:hAnsi="Times New Roman"/>
                <w:sz w:val="18"/>
                <w:szCs w:val="18"/>
                <w:color w:val="0000EE"/>
                <w:w w:val="89"/>
              </w:rPr>
            </w:pPr>
            <w:hyperlink r:id="rId91">
              <w:r>
                <w:rPr>
                  <w:rFonts w:ascii="Times New Roman" w:cs="Times New Roman" w:eastAsia="Times New Roman" w:hAnsi="Times New Roman"/>
                  <w:sz w:val="18"/>
                  <w:szCs w:val="18"/>
                  <w:color w:val="0000EE"/>
                  <w:w w:val="89"/>
                </w:rPr>
                <w:t>4.</w:t>
              </w:r>
              <w:r>
                <w:rPr>
                  <w:rFonts w:ascii="Times New Roman" w:cs="Times New Roman" w:eastAsia="Times New Roman" w:hAnsi="Times New Roman"/>
                  <w:sz w:val="18"/>
                  <w:szCs w:val="18"/>
                  <w:u w:val="single" w:color="auto"/>
                  <w:color w:val="0000EE"/>
                  <w:w w:val="89"/>
                </w:rPr>
                <w:t>10^</w:t>
              </w:r>
            </w:hyperlink>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Warrant to Acquire Securities of Innventure, Inc., dated October 22, 2024, issued to WTI Fund XI,</w:t>
            </w:r>
          </w:p>
        </w:tc>
      </w:tr>
      <w:tr>
        <w:trPr>
          <w:trHeight w:val="217"/>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(incorporated by reference to Exhibit 4.2 to Innventure, Inc.’s Current Report on Form 8-K</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with the SEC on October 23, 2024)</w:t>
            </w:r>
          </w:p>
        </w:tc>
      </w:tr>
      <w:tr>
        <w:trPr>
          <w:trHeight w:val="188"/>
        </w:trPr>
        <w:tc>
          <w:tcPr>
            <w:tcW w:w="380" w:type="dxa"/>
            <w:vAlign w:val="bottom"/>
            <w:tcBorders>
              <w:bottom w:val="single" w:sz="8" w:color="0000EE"/>
            </w:tcBorders>
            <w:gridSpan w:val="4"/>
          </w:tcPr>
          <w:p>
            <w:pPr>
              <w:spacing w:after="0" w:line="189" w:lineRule="exact"/>
              <w:rPr>
                <w:rFonts w:ascii="Times New Roman" w:cs="Times New Roman" w:eastAsia="Times New Roman" w:hAnsi="Times New Roman"/>
                <w:sz w:val="18"/>
                <w:szCs w:val="18"/>
                <w:color w:val="0000EE"/>
                <w:w w:val="89"/>
              </w:rPr>
            </w:pPr>
            <w:hyperlink r:id="rId92">
              <w:r>
                <w:rPr>
                  <w:rFonts w:ascii="Times New Roman" w:cs="Times New Roman" w:eastAsia="Times New Roman" w:hAnsi="Times New Roman"/>
                  <w:sz w:val="18"/>
                  <w:szCs w:val="18"/>
                  <w:color w:val="0000EE"/>
                  <w:w w:val="89"/>
                </w:rPr>
                <w:t>4.</w:t>
              </w:r>
              <w:r>
                <w:rPr>
                  <w:rFonts w:ascii="Times New Roman" w:cs="Times New Roman" w:eastAsia="Times New Roman" w:hAnsi="Times New Roman"/>
                  <w:sz w:val="18"/>
                  <w:szCs w:val="18"/>
                  <w:u w:val="single" w:color="auto"/>
                  <w:color w:val="0000EE"/>
                  <w:w w:val="89"/>
                </w:rPr>
                <w:t>11^</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Warrant to Acquire Securities of Innventure, Inc., issued to WTI Fund X, LLC on April 14, 2025</w:t>
            </w: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4.2 to Innventure, Inc.’s Current Report on Form 8-K filed</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with the SEC April 14, 2025)</w:t>
            </w:r>
          </w:p>
        </w:tc>
      </w:tr>
      <w:tr>
        <w:trPr>
          <w:trHeight w:val="195"/>
        </w:trPr>
        <w:tc>
          <w:tcPr>
            <w:tcW w:w="380" w:type="dxa"/>
            <w:vAlign w:val="bottom"/>
            <w:tcBorders>
              <w:bottom w:val="single" w:sz="8" w:color="0000EE"/>
            </w:tcBorders>
            <w:gridSpan w:val="4"/>
            <w:shd w:val="clear" w:color="auto" w:fill="CCEEFF"/>
          </w:tcPr>
          <w:p>
            <w:pPr>
              <w:spacing w:after="0" w:line="195" w:lineRule="exact"/>
              <w:rPr>
                <w:rFonts w:ascii="Times New Roman" w:cs="Times New Roman" w:eastAsia="Times New Roman" w:hAnsi="Times New Roman"/>
                <w:sz w:val="18"/>
                <w:szCs w:val="18"/>
                <w:color w:val="0000EE"/>
                <w:w w:val="89"/>
              </w:rPr>
            </w:pPr>
            <w:hyperlink r:id="rId93">
              <w:r>
                <w:rPr>
                  <w:rFonts w:ascii="Times New Roman" w:cs="Times New Roman" w:eastAsia="Times New Roman" w:hAnsi="Times New Roman"/>
                  <w:sz w:val="18"/>
                  <w:szCs w:val="18"/>
                  <w:color w:val="0000EE"/>
                  <w:w w:val="89"/>
                </w:rPr>
                <w:t>4.</w:t>
              </w:r>
              <w:r>
                <w:rPr>
                  <w:rFonts w:ascii="Times New Roman" w:cs="Times New Roman" w:eastAsia="Times New Roman" w:hAnsi="Times New Roman"/>
                  <w:sz w:val="18"/>
                  <w:szCs w:val="18"/>
                  <w:u w:val="single" w:color="auto"/>
                  <w:color w:val="0000EE"/>
                  <w:w w:val="89"/>
                </w:rPr>
                <w:t>12^</w:t>
              </w:r>
            </w:hyperlink>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Warrant to Acquire Securities of Innventure, Inc., issued to WTI Fund XI, LLC on April 14, 2025</w:t>
            </w:r>
          </w:p>
        </w:tc>
      </w:tr>
      <w:tr>
        <w:trPr>
          <w:trHeight w:val="217"/>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4.3 to Innventure, Inc.’s Current Report on Form 8-K filed</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SEC on April 14, 2025)</w:t>
            </w:r>
          </w:p>
        </w:tc>
      </w:tr>
      <w:tr>
        <w:trPr>
          <w:trHeight w:val="188"/>
        </w:trPr>
        <w:tc>
          <w:tcPr>
            <w:tcW w:w="320" w:type="dxa"/>
            <w:vAlign w:val="bottom"/>
            <w:gridSpan w:val="3"/>
          </w:tcPr>
          <w:p>
            <w:pPr>
              <w:spacing w:after="0" w:line="189" w:lineRule="exact"/>
              <w:rPr>
                <w:rFonts w:ascii="Times New Roman" w:cs="Times New Roman" w:eastAsia="Times New Roman" w:hAnsi="Times New Roman"/>
                <w:sz w:val="18"/>
                <w:szCs w:val="18"/>
                <w:color w:val="0000EE"/>
                <w:w w:val="95"/>
              </w:rPr>
            </w:pPr>
            <w:hyperlink r:id="rId94">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13</w:t>
              </w:r>
            </w:hyperlink>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Registration and Shareholder Rights Agreement, dated October 12, 2021, by and among Learn CW</w:t>
            </w:r>
          </w:p>
        </w:tc>
      </w:tr>
      <w:tr>
        <w:trPr>
          <w:trHeight w:val="217"/>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w w:val="99"/>
              </w:rPr>
              <w:t>Investment Corporation, the Sponsor and certain other security holders named therein (incorporated</w:t>
            </w:r>
          </w:p>
        </w:tc>
      </w:tr>
      <w:tr>
        <w:trPr>
          <w:trHeight w:val="215"/>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10.4 to Learn CW Investment Corporation’s Current Report on Form 8-K</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SEC on October 14, 2021)</w:t>
            </w:r>
          </w:p>
        </w:tc>
      </w:tr>
      <w:tr>
        <w:trPr>
          <w:trHeight w:val="195"/>
        </w:trPr>
        <w:tc>
          <w:tcPr>
            <w:tcW w:w="320" w:type="dxa"/>
            <w:vAlign w:val="bottom"/>
            <w:gridSpan w:val="3"/>
            <w:shd w:val="clear" w:color="auto" w:fill="CCEEFF"/>
          </w:tcPr>
          <w:p>
            <w:pPr>
              <w:spacing w:after="0" w:line="195" w:lineRule="exact"/>
              <w:rPr>
                <w:rFonts w:ascii="Times New Roman" w:cs="Times New Roman" w:eastAsia="Times New Roman" w:hAnsi="Times New Roman"/>
                <w:sz w:val="18"/>
                <w:szCs w:val="18"/>
                <w:color w:val="0000EE"/>
                <w:w w:val="95"/>
              </w:rPr>
            </w:pPr>
            <w:hyperlink r:id="rId95">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14</w:t>
              </w:r>
            </w:hyperlink>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Series A Warrant (incorporated by reference to Exhibit 4.1 to Innventure, Inc.’s Current</w:t>
            </w:r>
          </w:p>
        </w:tc>
      </w:tr>
      <w:tr>
        <w:trPr>
          <w:trHeight w:val="249"/>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with the SEC on October 6, 2025)</w:t>
            </w:r>
          </w:p>
        </w:tc>
      </w:tr>
      <w:tr>
        <w:trPr>
          <w:trHeight w:val="188"/>
        </w:trPr>
        <w:tc>
          <w:tcPr>
            <w:tcW w:w="3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Opinion of Jones Day</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188"/>
        </w:trPr>
        <w:tc>
          <w:tcPr>
            <w:tcW w:w="300" w:type="dxa"/>
            <w:vAlign w:val="bottom"/>
            <w:gridSpan w:val="2"/>
            <w:shd w:val="clear" w:color="auto" w:fill="CCEEFF"/>
          </w:tcPr>
          <w:p>
            <w:pPr>
              <w:spacing w:after="0" w:line="189"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Opinion of Jones Day (incorporated by reference to Exhibit 5.1 to Innventure, Inc.’s Registration</w:t>
            </w:r>
          </w:p>
        </w:tc>
      </w:tr>
      <w:tr>
        <w:trPr>
          <w:trHeight w:val="235"/>
        </w:trPr>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 (File No. 333-282971) filed with the SEC on April 15, 2025)</w:t>
            </w:r>
          </w:p>
        </w:tc>
      </w:tr>
      <w:tr>
        <w:trPr>
          <w:trHeight w:val="54"/>
        </w:trPr>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0" w:type="dxa"/>
            <w:vAlign w:val="bottom"/>
            <w:shd w:val="clear" w:color="auto" w:fill="CCEEFF"/>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 w:type="dxa"/>
            <w:vAlign w:val="bottom"/>
          </w:tcPr>
          <w:p>
            <w:pPr>
              <w:spacing w:after="0"/>
              <w:rPr>
                <w:sz w:val="16"/>
                <w:szCs w:val="16"/>
                <w:color w:val="auto"/>
              </w:rPr>
            </w:pPr>
          </w:p>
        </w:tc>
        <w:tc>
          <w:tcPr>
            <w:tcW w:w="720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5"/>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195"/>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Opinion of Jones Day (incorporated by reference to Exhibit 5.1 to Innventure, Inc.’s Registration</w:t>
            </w:r>
          </w:p>
        </w:tc>
      </w:tr>
      <w:tr>
        <w:trPr>
          <w:trHeight w:val="249"/>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 (File No. 333-286558) filed with the SEC on April 15, 2025)</w:t>
            </w:r>
          </w:p>
        </w:tc>
      </w:tr>
      <w:tr>
        <w:trPr>
          <w:trHeight w:val="188"/>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Opinion of Jones Day (incorporated by reference to Exhibit 5.1 to Innventure, Inc.’s Registration</w:t>
            </w:r>
          </w:p>
        </w:tc>
      </w:tr>
      <w:tr>
        <w:trPr>
          <w:trHeight w:val="242"/>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(File No. 333-291034) filed with the SEC on October 23, 2025)</w:t>
            </w:r>
          </w:p>
        </w:tc>
      </w:tr>
      <w:tr>
        <w:trPr>
          <w:trHeight w:val="228"/>
        </w:trPr>
        <w:tc>
          <w:tcPr>
            <w:tcW w:w="400" w:type="dxa"/>
            <w:vAlign w:val="bottom"/>
            <w:tcBorders>
              <w:bottom w:val="single" w:sz="8" w:color="0000EE"/>
            </w:tcBorders>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188"/>
        </w:trPr>
        <w:tc>
          <w:tcPr>
            <w:tcW w:w="10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Jones Day (included in Exhibit 5.1 hereto)</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188"/>
        </w:trPr>
        <w:tc>
          <w:tcPr>
            <w:tcW w:w="340" w:type="dxa"/>
            <w:vAlign w:val="bottom"/>
            <w:gridSpan w:val="3"/>
            <w:shd w:val="clear" w:color="auto" w:fill="CCEEFF"/>
          </w:tcPr>
          <w:p>
            <w:pPr>
              <w:spacing w:after="0" w:line="189"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hyperlink>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Jones Day (included in Exhibit 5.2, which is incorporated by reference to Exhibit 5.1 to</w:t>
            </w:r>
          </w:p>
        </w:tc>
      </w:tr>
      <w:tr>
        <w:trPr>
          <w:trHeight w:val="217"/>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Innventure, Inc.’s Registration Statement on Form S-1 (File No. 333-282971) filed with the SEC on</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2025)</w:t>
            </w:r>
          </w:p>
        </w:tc>
      </w:tr>
      <w:tr>
        <w:trPr>
          <w:trHeight w:val="188"/>
        </w:trPr>
        <w:tc>
          <w:tcPr>
            <w:tcW w:w="340" w:type="dxa"/>
            <w:vAlign w:val="bottom"/>
            <w:gridSpan w:val="3"/>
          </w:tcPr>
          <w:p>
            <w:pPr>
              <w:spacing w:after="0" w:line="189"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4</w:t>
              </w:r>
            </w:hyperlink>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Jones Day (included in Exhibit 5.3, which is incorporated by reference to Exhibit 5.1 to</w:t>
            </w:r>
          </w:p>
        </w:tc>
      </w:tr>
      <w:tr>
        <w:trPr>
          <w:trHeight w:val="217"/>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w w:val="99"/>
              </w:rPr>
              <w:t>Innventure, Inc.’s Registration Statement on Form S-1 (File No. 333-286558) filed with the SEC on</w:t>
            </w:r>
          </w:p>
        </w:tc>
      </w:tr>
      <w:tr>
        <w:trPr>
          <w:trHeight w:val="24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April 15, 2025)</w:t>
            </w:r>
          </w:p>
        </w:tc>
      </w:tr>
      <w:tr>
        <w:trPr>
          <w:trHeight w:val="195"/>
        </w:trPr>
        <w:tc>
          <w:tcPr>
            <w:tcW w:w="340" w:type="dxa"/>
            <w:vAlign w:val="bottom"/>
            <w:gridSpan w:val="3"/>
            <w:shd w:val="clear" w:color="auto" w:fill="CCEEFF"/>
          </w:tcPr>
          <w:p>
            <w:pPr>
              <w:spacing w:after="0" w:line="195"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5</w:t>
              </w:r>
            </w:hyperlink>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Consent of Jones Day (included in Exhibit 5.4, which is incorporated by reference to Exhibit 5.1 to</w:t>
            </w:r>
          </w:p>
        </w:tc>
      </w:tr>
      <w:tr>
        <w:trPr>
          <w:trHeight w:val="217"/>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Innventure, Inc.’s Registration Statement on Form S-1 (File No. 333-291034) filed with the SEC on</w:t>
            </w:r>
          </w:p>
        </w:tc>
      </w:tr>
      <w:tr>
        <w:trPr>
          <w:trHeight w:val="247"/>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188"/>
        </w:trPr>
        <w:tc>
          <w:tcPr>
            <w:tcW w:w="10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6"/>
                <w:szCs w:val="16"/>
                <w:color w:val="auto"/>
              </w:rPr>
            </w:pPr>
          </w:p>
        </w:tc>
        <w:tc>
          <w:tcPr>
            <w:tcW w:w="7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Power of Attorney (included on the signature page hereto)</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188"/>
        </w:trPr>
        <w:tc>
          <w:tcPr>
            <w:tcW w:w="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107*</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Filing Fee Table</w:t>
            </w:r>
          </w:p>
        </w:tc>
      </w:tr>
      <w:tr>
        <w:trPr>
          <w:trHeight w:val="74"/>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20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179070</wp:posOffset>
            </wp:positionV>
            <wp:extent cx="819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307" w:lineRule="exact"/>
        <w:rPr>
          <w:sz w:val="20"/>
          <w:szCs w:val="20"/>
          <w:color w:val="auto"/>
        </w:rPr>
      </w:pPr>
    </w:p>
    <w:p>
      <w:pPr>
        <w:ind w:left="660" w:hanging="34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1" w:lineRule="exact"/>
        <w:rPr>
          <w:sz w:val="20"/>
          <w:szCs w:val="20"/>
          <w:color w:val="auto"/>
        </w:rPr>
      </w:pPr>
    </w:p>
    <w:p>
      <w:pPr>
        <w:ind w:left="660" w:right="439" w:hanging="348"/>
        <w:spacing w:after="0" w:line="257"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spacing w:after="0" w:line="5" w:lineRule="exact"/>
        <w:rPr>
          <w:sz w:val="20"/>
          <w:szCs w:val="20"/>
          <w:color w:val="auto"/>
        </w:rPr>
      </w:pPr>
    </w:p>
    <w:p>
      <w:pPr>
        <w:ind w:left="660" w:right="359" w:hanging="348"/>
        <w:spacing w:after="0" w:line="257"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166"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5" w:lineRule="exact"/>
        <w:rPr>
          <w:sz w:val="20"/>
          <w:szCs w:val="20"/>
          <w:color w:val="auto"/>
        </w:rPr>
      </w:pPr>
    </w:p>
    <w:p>
      <w:pPr>
        <w:ind w:left="1020" w:right="759" w:hanging="350"/>
        <w:spacing w:after="0" w:line="28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4" w:lineRule="exact"/>
        <w:rPr>
          <w:rFonts w:ascii="Times New Roman" w:cs="Times New Roman" w:eastAsia="Times New Roman" w:hAnsi="Times New Roman"/>
          <w:sz w:val="18"/>
          <w:szCs w:val="18"/>
          <w:color w:val="auto"/>
        </w:rPr>
      </w:pPr>
    </w:p>
    <w:p>
      <w:pPr>
        <w:ind w:left="1380" w:hanging="352"/>
        <w:spacing w:after="0"/>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5" w:lineRule="exact"/>
        <w:rPr>
          <w:rFonts w:ascii="Times New Roman" w:cs="Times New Roman" w:eastAsia="Times New Roman" w:hAnsi="Times New Roman"/>
          <w:sz w:val="18"/>
          <w:szCs w:val="18"/>
          <w:color w:val="auto"/>
        </w:rPr>
      </w:pPr>
    </w:p>
    <w:p>
      <w:pPr>
        <w:ind w:left="1380" w:right="379" w:hanging="352"/>
        <w:spacing w:after="0" w:line="252" w:lineRule="auto"/>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4" w:lineRule="exact"/>
        <w:rPr>
          <w:rFonts w:ascii="Times New Roman" w:cs="Times New Roman" w:eastAsia="Times New Roman" w:hAnsi="Times New Roman"/>
          <w:sz w:val="18"/>
          <w:szCs w:val="18"/>
          <w:color w:val="auto"/>
        </w:rPr>
      </w:pPr>
    </w:p>
    <w:p>
      <w:pPr>
        <w:ind w:left="1380" w:right="499" w:hanging="352"/>
        <w:spacing w:after="0" w:line="264" w:lineRule="auto"/>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sz w:val="20"/>
          <w:szCs w:val="20"/>
          <w:color w:val="auto"/>
        </w:rPr>
      </w:pPr>
    </w:p>
    <w:p>
      <w:pPr>
        <w:ind w:left="1020" w:right="419"/>
        <w:spacing w:after="0" w:line="276"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(1)(i), (1)(ii) and (1)(iii) of this section do not apply if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0" w:lineRule="exact"/>
        <w:rPr>
          <w:sz w:val="20"/>
          <w:szCs w:val="20"/>
          <w:color w:val="auto"/>
        </w:rPr>
      </w:pPr>
    </w:p>
    <w:p>
      <w:pPr>
        <w:ind w:left="1020" w:right="459" w:hanging="350"/>
        <w:spacing w:after="0" w:line="287"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51" w:lineRule="exact"/>
        <w:rPr>
          <w:rFonts w:ascii="Times New Roman" w:cs="Times New Roman" w:eastAsia="Times New Roman" w:hAnsi="Times New Roman"/>
          <w:sz w:val="17"/>
          <w:szCs w:val="17"/>
          <w:color w:val="auto"/>
        </w:rPr>
      </w:pPr>
    </w:p>
    <w:p>
      <w:pPr>
        <w:ind w:left="1020" w:right="359" w:hanging="350"/>
        <w:spacing w:after="0" w:line="28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127635</wp:posOffset>
            </wp:positionV>
            <wp:extent cx="696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hanging="350"/>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5" w:lineRule="exact"/>
        <w:rPr>
          <w:rFonts w:ascii="Times New Roman" w:cs="Times New Roman" w:eastAsia="Times New Roman" w:hAnsi="Times New Roman"/>
          <w:sz w:val="18"/>
          <w:szCs w:val="18"/>
          <w:color w:val="auto"/>
        </w:rPr>
      </w:pPr>
    </w:p>
    <w:p>
      <w:pPr>
        <w:ind w:left="1380" w:right="559" w:hanging="352"/>
        <w:spacing w:after="0" w:line="264"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9" w:lineRule="exact"/>
        <w:rPr>
          <w:rFonts w:ascii="Times New Roman" w:cs="Times New Roman" w:eastAsia="Times New Roman" w:hAnsi="Times New Roman"/>
          <w:sz w:val="18"/>
          <w:szCs w:val="18"/>
          <w:color w:val="auto"/>
        </w:rPr>
      </w:pPr>
    </w:p>
    <w:p>
      <w:pPr>
        <w:ind w:left="1380" w:right="479" w:hanging="352"/>
        <w:spacing w:after="0" w:line="275" w:lineRule="auto"/>
        <w:tabs>
          <w:tab w:leader="none" w:pos="13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380" w:right="33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rFonts w:ascii="Times New Roman" w:cs="Times New Roman" w:eastAsia="Times New Roman" w:hAnsi="Times New Roman"/>
          <w:sz w:val="17"/>
          <w:szCs w:val="17"/>
          <w:color w:val="auto"/>
        </w:rPr>
      </w:pPr>
    </w:p>
    <w:p>
      <w:pPr>
        <w:ind w:left="1020" w:right="339" w:hanging="350"/>
        <w:spacing w:after="0" w:line="273"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sz w:val="20"/>
          <w:szCs w:val="20"/>
          <w:color w:val="auto"/>
        </w:rPr>
      </w:pPr>
    </w:p>
    <w:p>
      <w:pPr>
        <w:ind w:left="1380" w:right="879" w:hanging="352"/>
        <w:spacing w:after="0" w:line="280" w:lineRule="auto"/>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4" w:lineRule="exact"/>
        <w:rPr>
          <w:rFonts w:ascii="Times New Roman" w:cs="Times New Roman" w:eastAsia="Times New Roman" w:hAnsi="Times New Roman"/>
          <w:sz w:val="18"/>
          <w:szCs w:val="18"/>
          <w:color w:val="auto"/>
        </w:rPr>
      </w:pPr>
    </w:p>
    <w:p>
      <w:pPr>
        <w:ind w:left="1380" w:right="799" w:hanging="352"/>
        <w:spacing w:after="0" w:line="280" w:lineRule="auto"/>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4" w:lineRule="exact"/>
        <w:rPr>
          <w:rFonts w:ascii="Times New Roman" w:cs="Times New Roman" w:eastAsia="Times New Roman" w:hAnsi="Times New Roman"/>
          <w:sz w:val="18"/>
          <w:szCs w:val="18"/>
          <w:color w:val="auto"/>
        </w:rPr>
      </w:pPr>
    </w:p>
    <w:p>
      <w:pPr>
        <w:jc w:val="both"/>
        <w:ind w:left="1380" w:right="1039" w:hanging="352"/>
        <w:spacing w:after="0" w:line="264" w:lineRule="auto"/>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9" w:lineRule="exact"/>
        <w:rPr>
          <w:rFonts w:ascii="Times New Roman" w:cs="Times New Roman" w:eastAsia="Times New Roman" w:hAnsi="Times New Roman"/>
          <w:sz w:val="18"/>
          <w:szCs w:val="18"/>
          <w:color w:val="auto"/>
        </w:rPr>
      </w:pPr>
    </w:p>
    <w:p>
      <w:pPr>
        <w:ind w:left="1380" w:right="599" w:hanging="352"/>
        <w:spacing w:after="0" w:line="280" w:lineRule="auto"/>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4" w:lineRule="exact"/>
        <w:rPr>
          <w:rFonts w:ascii="Times New Roman" w:cs="Times New Roman" w:eastAsia="Times New Roman" w:hAnsi="Times New Roman"/>
          <w:sz w:val="18"/>
          <w:szCs w:val="18"/>
          <w:color w:val="auto"/>
        </w:rPr>
      </w:pPr>
    </w:p>
    <w:p>
      <w:pPr>
        <w:ind w:left="1020" w:right="419" w:hanging="350"/>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8" w:lineRule="exact"/>
        <w:rPr>
          <w:rFonts w:ascii="Times New Roman" w:cs="Times New Roman" w:eastAsia="Times New Roman" w:hAnsi="Times New Roman"/>
          <w:sz w:val="18"/>
          <w:szCs w:val="18"/>
          <w:color w:val="auto"/>
        </w:rPr>
      </w:pPr>
    </w:p>
    <w:p>
      <w:pPr>
        <w:ind w:left="1020" w:right="339" w:hanging="350"/>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135890</wp:posOffset>
            </wp:positionV>
            <wp:extent cx="696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9" w:lineRule="exact"/>
        <w:rPr>
          <w:sz w:val="20"/>
          <w:szCs w:val="20"/>
          <w:color w:val="auto"/>
        </w:rPr>
      </w:pPr>
    </w:p>
    <w:p>
      <w:pPr>
        <w:ind w:left="320" w:right="459" w:firstLine="358"/>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Orlando, State of Florida, on March 18, 2026.</w:t>
      </w:r>
    </w:p>
    <w:p>
      <w:pPr>
        <w:spacing w:after="0" w:line="2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INNVENTURE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39" w:lineRule="exact"/>
        <w:rPr>
          <w:sz w:val="20"/>
          <w:szCs w:val="20"/>
          <w:color w:val="auto"/>
        </w:rPr>
      </w:pPr>
    </w:p>
    <w:tbl>
      <w:tblPr>
        <w:tblLayout w:type="fixed"/>
        <w:tblInd w:w="4780" w:type="dxa"/>
        <w:tblCellMar>
          <w:top w:w="0" w:type="dxa"/>
          <w:left w:w="0" w:type="dxa"/>
          <w:bottom w:w="0" w:type="dxa"/>
          <w:right w:w="0" w:type="dxa"/>
        </w:tblCellMar>
      </w:tblPr>
      <w:tr>
        <w:trPr>
          <w:trHeight w:val="25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24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4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43" w:lineRule="exact"/>
        <w:rPr>
          <w:sz w:val="20"/>
          <w:szCs w:val="20"/>
          <w:color w:val="auto"/>
        </w:rPr>
      </w:pPr>
    </w:p>
    <w:p>
      <w:pPr>
        <w:ind w:left="320" w:right="339" w:firstLine="358"/>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Yablunosky and Suzanne Niemeyer,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82" w:lineRule="exact"/>
        <w:rPr>
          <w:sz w:val="20"/>
          <w:szCs w:val="20"/>
          <w:color w:val="auto"/>
        </w:rPr>
      </w:pPr>
    </w:p>
    <w:p>
      <w:pPr>
        <w:ind w:left="320" w:right="499" w:firstLine="358"/>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51"/>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Gregory W. Haskell</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45"/>
        </w:trPr>
        <w:tc>
          <w:tcPr>
            <w:tcW w:w="2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Gregory W. Haskell</w:t>
            </w:r>
          </w:p>
        </w:tc>
        <w:tc>
          <w:tcPr>
            <w:tcW w:w="220" w:type="dxa"/>
            <w:vAlign w:val="bottom"/>
          </w:tcPr>
          <w:p>
            <w:pPr>
              <w:spacing w:after="0"/>
              <w:rPr>
                <w:sz w:val="19"/>
                <w:szCs w:val="19"/>
                <w:color w:val="auto"/>
              </w:rPr>
            </w:pPr>
          </w:p>
        </w:tc>
        <w:tc>
          <w:tcPr>
            <w:tcW w:w="4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David Yablunosky</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 and 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45"/>
        </w:trPr>
        <w:tc>
          <w:tcPr>
            <w:tcW w:w="2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2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140" w:type="dxa"/>
            <w:vAlign w:val="bottom"/>
          </w:tcPr>
          <w:p>
            <w:pPr>
              <w:jc w:val="center"/>
              <w:spacing w:after="0" w:line="168" w:lineRule="exact"/>
              <w:rPr>
                <w:sz w:val="20"/>
                <w:szCs w:val="20"/>
                <w:color w:val="auto"/>
              </w:rPr>
            </w:pPr>
            <w:r>
              <w:rPr>
                <w:rFonts w:ascii="Times New Roman" w:cs="Times New Roman" w:eastAsia="Times New Roman" w:hAnsi="Times New Roman"/>
                <w:sz w:val="18"/>
                <w:szCs w:val="18"/>
                <w:color w:val="auto"/>
                <w:w w:val="98"/>
              </w:rPr>
              <w:t>David Yablunosky</w:t>
            </w:r>
          </w:p>
        </w:tc>
        <w:tc>
          <w:tcPr>
            <w:tcW w:w="22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Officer)</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Otworth</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 and 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Otworth</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Suzanne Niemeyer</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General Counsel and 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Suzanne Niemeyer</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James O. Donnally</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O. Donnally</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Bruce Brown</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Bruce Brown</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Elizabeth Williams</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Williams</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Daniel J. Hennessy</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J. Hennessy</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Amalfitano</w:t>
            </w:r>
          </w:p>
        </w:tc>
        <w:tc>
          <w:tcPr>
            <w:tcW w:w="2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Amalfitano</w:t>
            </w:r>
          </w:p>
        </w:tc>
        <w:tc>
          <w:tcPr>
            <w:tcW w:w="2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II-6</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19050</wp:posOffset>
            </wp:positionV>
            <wp:extent cx="1263015" cy="1962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1263015" cy="1962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1221 PEACHTREE STREET, N.E. • SUITE 400 • ATLANTA, GEORGIA 30361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+1.404.521.3939 • JONESDAY.COM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18,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Shares of Common Stock Registered Under Registration Statement on Form S-3 Filed by Innventure,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for Innventure,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for resale from time to time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 LLC and WTI Fund XI, LLC (together, the “</w:t>
      </w:r>
      <w:r>
        <w:rPr>
          <w:rFonts w:ascii="Times New Roman" w:cs="Times New Roman" w:eastAsia="Times New Roman" w:hAnsi="Times New Roman"/>
          <w:sz w:val="18"/>
          <w:szCs w:val="18"/>
          <w:b w:val="1"/>
          <w:bCs w:val="1"/>
          <w:i w:val="1"/>
          <w:iCs w:val="1"/>
          <w:color w:val="auto"/>
        </w:rPr>
        <w:t>WTI Holders</w:t>
      </w:r>
      <w:r>
        <w:rPr>
          <w:rFonts w:ascii="Times New Roman" w:cs="Times New Roman" w:eastAsia="Times New Roman" w:hAnsi="Times New Roman"/>
          <w:sz w:val="18"/>
          <w:szCs w:val="18"/>
          <w:color w:val="auto"/>
        </w:rPr>
        <w:t>”) of up to 3,033,334 shares of the Company’s common stock, par value $0.0001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consists of (i) 2,333,334 shares of Common Stock that may be issued upon the exercise of warrants (the “</w:t>
      </w:r>
      <w:r>
        <w:rPr>
          <w:rFonts w:ascii="Times New Roman" w:cs="Times New Roman" w:eastAsia="Times New Roman" w:hAnsi="Times New Roman"/>
          <w:sz w:val="18"/>
          <w:szCs w:val="18"/>
          <w:b w:val="1"/>
          <w:bCs w:val="1"/>
          <w:i w:val="1"/>
          <w:iCs w:val="1"/>
          <w:color w:val="auto"/>
        </w:rPr>
        <w:t>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r>
        <w:rPr>
          <w:rFonts w:ascii="Times New Roman" w:cs="Times New Roman" w:eastAsia="Times New Roman" w:hAnsi="Times New Roman"/>
          <w:sz w:val="18"/>
          <w:szCs w:val="18"/>
          <w:color w:val="auto"/>
        </w:rPr>
        <w:t>” and, such shares of Common Stock, the “</w:t>
      </w:r>
      <w:r>
        <w:rPr>
          <w:rFonts w:ascii="Times New Roman" w:cs="Times New Roman" w:eastAsia="Times New Roman" w:hAnsi="Times New Roman"/>
          <w:sz w:val="18"/>
          <w:szCs w:val="18"/>
          <w:b w:val="1"/>
          <w:bCs w:val="1"/>
          <w:i w:val="1"/>
          <w:iCs w:val="1"/>
          <w:color w:val="auto"/>
        </w:rPr>
        <w:t>2024 WTI Warrant Shares</w:t>
      </w:r>
      <w:r>
        <w:rPr>
          <w:rFonts w:ascii="Times New Roman" w:cs="Times New Roman" w:eastAsia="Times New Roman" w:hAnsi="Times New Roman"/>
          <w:sz w:val="18"/>
          <w:szCs w:val="18"/>
          <w:color w:val="auto"/>
        </w:rPr>
        <w:t>”) to purchase Common Stock held by the WTI Holders and (ii)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 shares of Common Stock that may be issued upon the exercise of warrants (the “</w:t>
      </w:r>
      <w:r>
        <w:rPr>
          <w:rFonts w:ascii="Times New Roman" w:cs="Times New Roman" w:eastAsia="Times New Roman" w:hAnsi="Times New Roman"/>
          <w:sz w:val="18"/>
          <w:szCs w:val="18"/>
          <w:b w:val="1"/>
          <w:bCs w:val="1"/>
          <w:i w:val="1"/>
          <w:iCs w:val="1"/>
          <w:color w:val="auto"/>
        </w:rPr>
        <w:t>2025 WTI Warrants</w:t>
      </w:r>
      <w:r>
        <w:rPr>
          <w:rFonts w:ascii="Times New Roman" w:cs="Times New Roman" w:eastAsia="Times New Roman" w:hAnsi="Times New Roman"/>
          <w:sz w:val="18"/>
          <w:szCs w:val="18"/>
          <w:color w:val="auto"/>
        </w:rPr>
        <w:t>” and, such shares of Common Stock,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WTI Warrant Shares</w:t>
      </w:r>
      <w:r>
        <w:rPr>
          <w:rFonts w:ascii="Times New Roman" w:cs="Times New Roman" w:eastAsia="Times New Roman" w:hAnsi="Times New Roman"/>
          <w:sz w:val="18"/>
          <w:szCs w:val="18"/>
          <w:color w:val="auto"/>
        </w:rPr>
        <w:t>” and, such 2025 WTI Warrant Shares, together with the 2024 WTI Warrant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to purchase Common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WTI Holders, in each case as contemplated by the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which this opinion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as an exhibit. The Shares may be offered and sold from time to time pursuant to Rule 415 under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In connection with the opinions expressed herein, we have examined such documents, records and matters of law as we have deemed relevant or necessary for purposes of such opinions. Based on the foregoing and subject to the further assumptions, qualifications and limitations set forth herein, we are of the opinion that:</w:t>
      </w:r>
    </w:p>
    <w:p>
      <w:pPr>
        <w:spacing w:after="0" w:line="177" w:lineRule="exact"/>
        <w:rPr>
          <w:sz w:val="20"/>
          <w:szCs w:val="20"/>
          <w:color w:val="auto"/>
        </w:rPr>
      </w:pPr>
    </w:p>
    <w:p>
      <w:pPr>
        <w:ind w:right="360" w:firstLine="7"/>
        <w:spacing w:after="0" w:line="280"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WTI Warrant Shares, when issued upon the exercise of the 2024 WTI Warrants pursuant to the terms and conditions of the 2024 WTI Warrants,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140" w:right="1160"/>
        <w:spacing w:after="0" w:line="332" w:lineRule="auto"/>
        <w:rPr>
          <w:sz w:val="20"/>
          <w:szCs w:val="20"/>
          <w:color w:val="auto"/>
        </w:rPr>
      </w:pPr>
      <w:r>
        <w:rPr>
          <w:rFonts w:ascii="Times New Roman" w:cs="Times New Roman" w:eastAsia="Times New Roman" w:hAnsi="Times New Roman"/>
          <w:sz w:val="14"/>
          <w:szCs w:val="14"/>
          <w:color w:val="auto"/>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 SAN DIEGO • SAN FRANCISCO • SÃO PAULO • SHANGHAI • SILICON VALLEY • SINGAPORE • SYDNEY • TAIPEI • TOKYO •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6282690</wp:posOffset>
            </wp:positionH>
            <wp:positionV relativeFrom="page">
              <wp:posOffset>88900</wp:posOffset>
            </wp:positionV>
            <wp:extent cx="105791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057910" cy="111125"/>
                    </a:xfrm>
                    <a:prstGeom prst="rect">
                      <a:avLst/>
                    </a:prstGeom>
                    <a:noFill/>
                  </pic:spPr>
                </pic:pic>
              </a:graphicData>
            </a:graphic>
          </wp:anchor>
        </w:drawing>
        <w:t>Innventure,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pacing w:after="0" w:line="200" w:lineRule="exact"/>
        <w:rPr>
          <w:sz w:val="20"/>
          <w:szCs w:val="20"/>
          <w:color w:val="auto"/>
        </w:rPr>
      </w:pPr>
    </w:p>
    <w:p>
      <w:pPr>
        <w:spacing w:after="0" w:line="219" w:lineRule="exact"/>
        <w:rPr>
          <w:sz w:val="20"/>
          <w:szCs w:val="20"/>
          <w:color w:val="auto"/>
        </w:rPr>
      </w:pPr>
    </w:p>
    <w:p>
      <w:pPr>
        <w:ind w:right="320" w:firstLine="7"/>
        <w:spacing w:after="0" w:line="280"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WTI Warrant Shares, when issued upon the exercise of the 2025 WTI Warrants pursuant to the terms and conditions of the 2025 WTI Warrants, will be validly issued, fully paid and nonassessable.</w:t>
      </w:r>
    </w:p>
    <w:p>
      <w:pPr>
        <w:spacing w:after="0" w:line="162"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8"/>
          <w:szCs w:val="18"/>
          <w:color w:val="auto"/>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as currently in effect, and we express no opinion as to the effect of the laws of any other jurisdiction on the opinions expressed herein.</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23.1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April 14, 2025, relating to the consolidated financial statements of Innventure, Inc. (the Company) appearing in the Company’s Annual Report on Form 10-K for the year ended December 31, 2024. Our report contains an explanatory paragraph regarding the Company’s ability to continue as a going concern.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4" w:name="page45"/>
    <w:bookmarkEnd w:id="4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ind w:left="1034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Innventure,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and Carry Forward Securities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880" w:type="dxa"/>
            <w:vAlign w:val="bottom"/>
            <w:tcBorders>
              <w:top w:val="single" w:sz="8" w:color="auto"/>
              <w:left w:val="single" w:sz="8" w:color="auto"/>
              <w:right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right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right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Filing Fee</w:t>
            </w: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Previously</w:t>
            </w: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Fee</w:t>
            </w: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w w:val="97"/>
              </w:rPr>
              <w:t>Carry</w:t>
            </w:r>
          </w:p>
        </w:tc>
        <w:tc>
          <w:tcPr>
            <w:tcW w:w="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Paid in</w:t>
            </w:r>
          </w:p>
        </w:tc>
        <w:tc>
          <w:tcPr>
            <w:tcW w:w="0" w:type="dxa"/>
            <w:vAlign w:val="bottom"/>
          </w:tcPr>
          <w:p>
            <w:pPr>
              <w:spacing w:after="0"/>
              <w:rPr>
                <w:sz w:val="1"/>
                <w:szCs w:val="1"/>
                <w:color w:val="auto"/>
              </w:rPr>
            </w:pPr>
          </w:p>
        </w:tc>
      </w:tr>
      <w:tr>
        <w:trPr>
          <w:trHeight w:val="107"/>
        </w:trPr>
        <w:tc>
          <w:tcPr>
            <w:tcW w:w="88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92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w w:val="97"/>
              </w:rPr>
              <w:t>Carry</w:t>
            </w:r>
          </w:p>
        </w:tc>
        <w:tc>
          <w:tcPr>
            <w:tcW w:w="2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200" w:type="dxa"/>
            <w:vAlign w:val="bottom"/>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8"/>
              </w:rPr>
              <w:t>Connection</w:t>
            </w:r>
          </w:p>
        </w:tc>
        <w:tc>
          <w:tcPr>
            <w:tcW w:w="0" w:type="dxa"/>
            <w:vAlign w:val="bottom"/>
          </w:tcPr>
          <w:p>
            <w:pPr>
              <w:spacing w:after="0"/>
              <w:rPr>
                <w:sz w:val="1"/>
                <w:szCs w:val="1"/>
                <w:color w:val="auto"/>
              </w:rPr>
            </w:pPr>
          </w:p>
        </w:tc>
      </w:tr>
      <w:tr>
        <w:trPr>
          <w:trHeight w:val="107"/>
        </w:trPr>
        <w:tc>
          <w:tcPr>
            <w:tcW w:w="88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0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020" w:type="dxa"/>
            <w:vAlign w:val="bottom"/>
            <w:tcBorders>
              <w:right w:val="single" w:sz="8" w:color="auto"/>
            </w:tcBorders>
            <w:gridSpan w:val="4"/>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Amount of</w:t>
            </w:r>
          </w:p>
        </w:tc>
        <w:tc>
          <w:tcPr>
            <w:tcW w:w="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9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8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Security</w:t>
            </w:r>
          </w:p>
        </w:tc>
        <w:tc>
          <w:tcPr>
            <w:tcW w:w="740" w:type="dxa"/>
            <w:vAlign w:val="bottom"/>
            <w:tcBorders>
              <w:right w:val="single" w:sz="8" w:color="auto"/>
            </w:tcBorders>
            <w:vMerge w:val="continue"/>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gridSpan w:val="2"/>
            <w:vMerge w:val="continue"/>
          </w:tcPr>
          <w:p>
            <w:pPr>
              <w:spacing w:after="0"/>
              <w:rPr>
                <w:sz w:val="15"/>
                <w:szCs w:val="15"/>
                <w:color w:val="auto"/>
              </w:rPr>
            </w:pPr>
          </w:p>
        </w:tc>
        <w:tc>
          <w:tcPr>
            <w:tcW w:w="800" w:type="dxa"/>
            <w:vAlign w:val="bottom"/>
            <w:tcBorders>
              <w:right w:val="single" w:sz="8" w:color="auto"/>
            </w:tcBorders>
            <w:gridSpan w:val="2"/>
            <w:vMerge w:val="continue"/>
          </w:tcPr>
          <w:p>
            <w:pPr>
              <w:spacing w:after="0"/>
              <w:rPr>
                <w:sz w:val="15"/>
                <w:szCs w:val="15"/>
                <w:color w:val="auto"/>
              </w:rPr>
            </w:pPr>
          </w:p>
        </w:tc>
        <w:tc>
          <w:tcPr>
            <w:tcW w:w="1020" w:type="dxa"/>
            <w:vAlign w:val="bottom"/>
            <w:tcBorders>
              <w:right w:val="single" w:sz="8" w:color="auto"/>
            </w:tcBorders>
            <w:gridSpan w:val="4"/>
          </w:tcPr>
          <w:p>
            <w:pPr>
              <w:jc w:val="center"/>
              <w:spacing w:after="0" w:line="180" w:lineRule="exact"/>
              <w:rPr>
                <w:sz w:val="20"/>
                <w:szCs w:val="20"/>
                <w:color w:val="auto"/>
              </w:rPr>
            </w:pPr>
            <w:r>
              <w:rPr>
                <w:rFonts w:ascii="Times New Roman" w:cs="Times New Roman" w:eastAsia="Times New Roman" w:hAnsi="Times New Roman"/>
                <w:sz w:val="18"/>
                <w:szCs w:val="18"/>
                <w:color w:val="auto"/>
              </w:rPr>
              <w:t>Aggregate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Fee Rate</w:t>
            </w:r>
          </w:p>
        </w:tc>
        <w:tc>
          <w:tcPr>
            <w:tcW w:w="10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Forward</w:t>
            </w:r>
          </w:p>
        </w:tc>
        <w:tc>
          <w:tcPr>
            <w:tcW w:w="8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Forward</w:t>
            </w:r>
          </w:p>
        </w:tc>
        <w:tc>
          <w:tcPr>
            <w:tcW w:w="860" w:type="dxa"/>
            <w:vAlign w:val="bottom"/>
            <w:tcBorders>
              <w:right w:val="single" w:sz="8" w:color="auto"/>
            </w:tcBorders>
            <w:gridSpan w:val="2"/>
            <w:vMerge w:val="continue"/>
          </w:tcPr>
          <w:p>
            <w:pPr>
              <w:spacing w:after="0"/>
              <w:rPr>
                <w:sz w:val="15"/>
                <w:szCs w:val="15"/>
                <w:color w:val="auto"/>
              </w:rPr>
            </w:pPr>
          </w:p>
        </w:tc>
        <w:tc>
          <w:tcPr>
            <w:tcW w:w="900" w:type="dxa"/>
            <w:vAlign w:val="bottom"/>
            <w:tcBorders>
              <w:right w:val="single" w:sz="8" w:color="auto"/>
            </w:tcBorders>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color w:val="auto"/>
                <w:w w:val="99"/>
              </w:rPr>
              <w:t>with</w:t>
            </w:r>
          </w:p>
        </w:tc>
        <w:tc>
          <w:tcPr>
            <w:tcW w:w="0" w:type="dxa"/>
            <w:vAlign w:val="bottom"/>
          </w:tcPr>
          <w:p>
            <w:pPr>
              <w:spacing w:after="0"/>
              <w:rPr>
                <w:sz w:val="1"/>
                <w:szCs w:val="1"/>
                <w:color w:val="auto"/>
              </w:rPr>
            </w:pPr>
          </w:p>
        </w:tc>
      </w:tr>
      <w:tr>
        <w:trPr>
          <w:trHeight w:val="107"/>
        </w:trPr>
        <w:tc>
          <w:tcPr>
            <w:tcW w:w="88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74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color w:val="auto"/>
              </w:rPr>
              <w:t>Class</w:t>
            </w:r>
          </w:p>
        </w:tc>
        <w:tc>
          <w:tcPr>
            <w:tcW w:w="88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color w:val="auto"/>
              </w:rPr>
              <w:t>or Carry</w:t>
            </w:r>
          </w:p>
        </w:tc>
        <w:tc>
          <w:tcPr>
            <w:tcW w:w="1000" w:type="dxa"/>
            <w:vAlign w:val="bottom"/>
            <w:tcBorders>
              <w:right w:val="single" w:sz="8" w:color="auto"/>
            </w:tcBorders>
            <w:gridSpan w:val="2"/>
          </w:tcPr>
          <w:p>
            <w:pPr>
              <w:jc w:val="right"/>
              <w:ind w:right="80"/>
              <w:spacing w:after="0" w:line="107" w:lineRule="exact"/>
              <w:rPr>
                <w:sz w:val="20"/>
                <w:szCs w:val="20"/>
                <w:color w:val="auto"/>
              </w:rPr>
            </w:pPr>
            <w:r>
              <w:rPr>
                <w:rFonts w:ascii="Times New Roman" w:cs="Times New Roman" w:eastAsia="Times New Roman" w:hAnsi="Times New Roman"/>
                <w:sz w:val="12"/>
                <w:szCs w:val="12"/>
                <w:color w:val="auto"/>
              </w:rPr>
              <w:t>(1)</w:t>
            </w:r>
          </w:p>
        </w:tc>
        <w:tc>
          <w:tcPr>
            <w:tcW w:w="800" w:type="dxa"/>
            <w:vAlign w:val="bottom"/>
            <w:tcBorders>
              <w:right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2"/>
                <w:szCs w:val="12"/>
                <w:color w:val="auto"/>
              </w:rPr>
              <w:t>Offering</w:t>
            </w:r>
          </w:p>
        </w:tc>
        <w:tc>
          <w:tcPr>
            <w:tcW w:w="80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6"/>
              </w:rPr>
              <w:t>Offering</w:t>
            </w:r>
          </w:p>
        </w:tc>
        <w:tc>
          <w:tcPr>
            <w:tcW w:w="2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ind w:left="60"/>
              <w:spacing w:after="0" w:line="107" w:lineRule="exact"/>
              <w:rPr>
                <w:sz w:val="20"/>
                <w:szCs w:val="20"/>
                <w:color w:val="auto"/>
              </w:rPr>
            </w:pPr>
            <w:r>
              <w:rPr>
                <w:rFonts w:ascii="Times New Roman" w:cs="Times New Roman" w:eastAsia="Times New Roman" w:hAnsi="Times New Roman"/>
                <w:sz w:val="12"/>
                <w:szCs w:val="12"/>
                <w:color w:val="auto"/>
              </w:rPr>
              <w:t>Registration</w:t>
            </w:r>
          </w:p>
        </w:tc>
        <w:tc>
          <w:tcPr>
            <w:tcW w:w="60" w:type="dxa"/>
            <w:vAlign w:val="bottom"/>
          </w:tcPr>
          <w:p>
            <w:pPr>
              <w:spacing w:after="0"/>
              <w:rPr>
                <w:sz w:val="9"/>
                <w:szCs w:val="9"/>
                <w:color w:val="auto"/>
              </w:rPr>
            </w:pPr>
          </w:p>
        </w:tc>
        <w:tc>
          <w:tcPr>
            <w:tcW w:w="56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rPr>
              <w:t>Form</w:t>
            </w:r>
          </w:p>
        </w:tc>
        <w:tc>
          <w:tcPr>
            <w:tcW w:w="2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200" w:type="dxa"/>
            <w:vAlign w:val="bottom"/>
          </w:tcPr>
          <w:p>
            <w:pPr>
              <w:spacing w:after="0"/>
              <w:rPr>
                <w:sz w:val="9"/>
                <w:szCs w:val="9"/>
                <w:color w:val="auto"/>
              </w:rPr>
            </w:pPr>
          </w:p>
        </w:tc>
        <w:tc>
          <w:tcPr>
            <w:tcW w:w="660" w:type="dxa"/>
            <w:vAlign w:val="bottom"/>
            <w:tcBorders>
              <w:right w:val="single" w:sz="8" w:color="auto"/>
            </w:tcBorders>
          </w:tcPr>
          <w:p>
            <w:pPr>
              <w:jc w:val="center"/>
              <w:ind w:right="132"/>
              <w:spacing w:after="0" w:line="107" w:lineRule="exact"/>
              <w:rPr>
                <w:sz w:val="20"/>
                <w:szCs w:val="20"/>
                <w:color w:val="auto"/>
              </w:rPr>
            </w:pPr>
            <w:r>
              <w:rPr>
                <w:rFonts w:ascii="Times New Roman" w:cs="Times New Roman" w:eastAsia="Times New Roman" w:hAnsi="Times New Roman"/>
                <w:sz w:val="12"/>
                <w:szCs w:val="12"/>
                <w:color w:val="auto"/>
              </w:rPr>
              <w:t>Initial</w:t>
            </w:r>
          </w:p>
        </w:tc>
        <w:tc>
          <w:tcPr>
            <w:tcW w:w="90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Unsold</w:t>
            </w: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10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Registered</w:t>
            </w:r>
          </w:p>
        </w:tc>
        <w:tc>
          <w:tcPr>
            <w:tcW w:w="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Price Per</w:t>
            </w:r>
          </w:p>
        </w:tc>
        <w:tc>
          <w:tcPr>
            <w:tcW w:w="800" w:type="dxa"/>
            <w:vAlign w:val="bottom"/>
            <w:gridSpan w:val="3"/>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Fee</w:t>
            </w:r>
          </w:p>
        </w:tc>
        <w:tc>
          <w:tcPr>
            <w:tcW w:w="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8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Effective</w:t>
            </w:r>
          </w:p>
        </w:tc>
        <w:tc>
          <w:tcPr>
            <w:tcW w:w="9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8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Rule</w:t>
            </w:r>
          </w:p>
        </w:tc>
        <w:tc>
          <w:tcPr>
            <w:tcW w:w="8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260" w:type="dxa"/>
            <w:vAlign w:val="bottom"/>
          </w:tcPr>
          <w:p>
            <w:pPr>
              <w:spacing w:after="0"/>
              <w:rPr>
                <w:sz w:val="12"/>
                <w:szCs w:val="12"/>
                <w:color w:val="auto"/>
              </w:rPr>
            </w:pPr>
          </w:p>
        </w:tc>
        <w:tc>
          <w:tcPr>
            <w:tcW w:w="540" w:type="dxa"/>
            <w:vAlign w:val="bottom"/>
            <w:gridSpan w:val="2"/>
          </w:tcPr>
          <w:p>
            <w:pPr>
              <w:jc w:val="center"/>
              <w:ind w:right="10"/>
              <w:spacing w:after="0" w:line="143" w:lineRule="exact"/>
              <w:rPr>
                <w:sz w:val="20"/>
                <w:szCs w:val="20"/>
                <w:color w:val="auto"/>
              </w:rPr>
            </w:pPr>
            <w:r>
              <w:rPr>
                <w:rFonts w:ascii="Times New Roman" w:cs="Times New Roman" w:eastAsia="Times New Roman" w:hAnsi="Times New Roman"/>
                <w:sz w:val="16"/>
                <w:szCs w:val="16"/>
                <w:color w:val="auto"/>
              </w:rPr>
              <w:t>Price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33"/>
              <w:spacing w:after="0" w:line="143" w:lineRule="exact"/>
              <w:rPr>
                <w:sz w:val="20"/>
                <w:szCs w:val="20"/>
                <w:color w:val="auto"/>
              </w:rPr>
            </w:pPr>
            <w:r>
              <w:rPr>
                <w:rFonts w:ascii="Times New Roman" w:cs="Times New Roman" w:eastAsia="Times New Roman" w:hAnsi="Times New Roman"/>
                <w:sz w:val="16"/>
                <w:szCs w:val="16"/>
                <w:color w:val="auto"/>
              </w:rPr>
              <w:t>Type</w:t>
            </w:r>
          </w:p>
        </w:tc>
        <w:tc>
          <w:tcPr>
            <w:tcW w:w="2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6"/>
                <w:szCs w:val="16"/>
                <w:color w:val="auto"/>
              </w:rPr>
              <w:t>Number</w:t>
            </w:r>
          </w:p>
        </w:tc>
        <w:tc>
          <w:tcPr>
            <w:tcW w:w="200" w:type="dxa"/>
            <w:vAlign w:val="bottom"/>
          </w:tcPr>
          <w:p>
            <w:pPr>
              <w:spacing w:after="0"/>
              <w:rPr>
                <w:sz w:val="12"/>
                <w:szCs w:val="12"/>
                <w:color w:val="auto"/>
              </w:rPr>
            </w:pPr>
          </w:p>
        </w:tc>
        <w:tc>
          <w:tcPr>
            <w:tcW w:w="660" w:type="dxa"/>
            <w:vAlign w:val="bottom"/>
            <w:tcBorders>
              <w:right w:val="single" w:sz="8" w:color="auto"/>
            </w:tcBorders>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w w:val="94"/>
              </w:rPr>
              <w:t>Date</w:t>
            </w:r>
          </w:p>
        </w:tc>
        <w:tc>
          <w:tcPr>
            <w:tcW w:w="900" w:type="dxa"/>
            <w:vAlign w:val="bottom"/>
            <w:tcBorders>
              <w:right w:val="single" w:sz="8" w:color="auto"/>
            </w:tcBorders>
            <w:gridSpan w:val="2"/>
          </w:tcPr>
          <w:p>
            <w:pPr>
              <w:jc w:val="center"/>
              <w:ind w:right="40"/>
              <w:spacing w:after="0" w:line="143" w:lineRule="exact"/>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5"/>
              </w:rPr>
              <w:t>to be</w:t>
            </w:r>
          </w:p>
        </w:tc>
        <w:tc>
          <w:tcPr>
            <w:tcW w:w="0" w:type="dxa"/>
            <w:vAlign w:val="bottom"/>
          </w:tcPr>
          <w:p>
            <w:pPr>
              <w:spacing w:after="0"/>
              <w:rPr>
                <w:sz w:val="1"/>
                <w:szCs w:val="1"/>
                <w:color w:val="auto"/>
              </w:rPr>
            </w:pPr>
          </w:p>
        </w:tc>
      </w:tr>
      <w:tr>
        <w:trPr>
          <w:trHeight w:val="89"/>
        </w:trPr>
        <w:tc>
          <w:tcPr>
            <w:tcW w:w="88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Forward</w:t>
            </w: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Newly Registered Securities</w:t>
            </w: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8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8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66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Other</w:t>
            </w:r>
            <w:r>
              <w:rPr>
                <w:rFonts w:ascii="Times New Roman" w:cs="Times New Roman" w:eastAsia="Times New Roman" w:hAnsi="Times New Roman"/>
                <w:sz w:val="29"/>
                <w:szCs w:val="29"/>
                <w:color w:val="auto"/>
                <w:w w:val="94"/>
                <w:vertAlign w:val="superscript"/>
              </w:rPr>
              <w:t>(2)</w:t>
            </w:r>
          </w:p>
        </w:tc>
        <w:tc>
          <w:tcPr>
            <w:tcW w:w="1000" w:type="dxa"/>
            <w:vAlign w:val="bottom"/>
            <w:tcBorders>
              <w:right w:val="single" w:sz="8" w:color="auto"/>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3"/>
              </w:rPr>
              <w:t>2,333,334</w:t>
            </w:r>
            <w:r>
              <w:rPr>
                <w:rFonts w:ascii="Times New Roman" w:cs="Times New Roman" w:eastAsia="Times New Roman" w:hAnsi="Times New Roman"/>
                <w:sz w:val="29"/>
                <w:szCs w:val="29"/>
                <w:color w:val="auto"/>
                <w:w w:val="93"/>
                <w:vertAlign w:val="superscript"/>
              </w:rPr>
              <w:t>(3)</w:t>
            </w:r>
          </w:p>
        </w:tc>
        <w:tc>
          <w:tcPr>
            <w:tcW w:w="8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$0.01</w:t>
            </w:r>
            <w:r>
              <w:rPr>
                <w:rFonts w:ascii="Times New Roman" w:cs="Times New Roman" w:eastAsia="Times New Roman" w:hAnsi="Times New Roman"/>
                <w:sz w:val="29"/>
                <w:szCs w:val="29"/>
                <w:color w:val="auto"/>
                <w:w w:val="88"/>
                <w:vertAlign w:val="superscript"/>
              </w:rPr>
              <w:t>(2)</w:t>
            </w:r>
          </w:p>
        </w:tc>
        <w:tc>
          <w:tcPr>
            <w:tcW w:w="1020" w:type="dxa"/>
            <w:vAlign w:val="bottom"/>
            <w:tcBorders>
              <w:right w:val="single" w:sz="8" w:color="auto"/>
            </w:tcBorders>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$23,333.34</w:t>
            </w:r>
            <w:r>
              <w:rPr>
                <w:rFonts w:ascii="Times New Roman" w:cs="Times New Roman" w:eastAsia="Times New Roman" w:hAnsi="Times New Roman"/>
                <w:sz w:val="29"/>
                <w:szCs w:val="29"/>
                <w:color w:val="auto"/>
                <w:w w:val="94"/>
                <w:vertAlign w:val="superscript"/>
              </w:rPr>
              <w:t>(2)</w:t>
            </w:r>
          </w:p>
        </w:tc>
        <w:tc>
          <w:tcPr>
            <w:tcW w:w="9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$3.23</w:t>
            </w:r>
            <w:r>
              <w:rPr>
                <w:rFonts w:ascii="Times New Roman" w:cs="Times New Roman" w:eastAsia="Times New Roman" w:hAnsi="Times New Roman"/>
                <w:sz w:val="29"/>
                <w:szCs w:val="29"/>
                <w:color w:val="auto"/>
                <w:w w:val="91"/>
                <w:vertAlign w:val="superscript"/>
              </w:rPr>
              <w:t>(2)</w:t>
            </w: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88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vMerge w:val="continue"/>
            <w:shd w:val="clear" w:color="auto" w:fill="CCEEFF"/>
          </w:tcPr>
          <w:p>
            <w:pPr>
              <w:spacing w:after="0"/>
              <w:rPr>
                <w:sz w:val="22"/>
                <w:szCs w:val="22"/>
                <w:color w:val="auto"/>
              </w:rPr>
            </w:pPr>
          </w:p>
        </w:tc>
        <w:tc>
          <w:tcPr>
            <w:tcW w:w="800" w:type="dxa"/>
            <w:vAlign w:val="bottom"/>
            <w:tcBorders>
              <w:bottom w:val="single" w:sz="8" w:color="auto"/>
              <w:right w:val="single" w:sz="8" w:color="auto"/>
            </w:tcBorders>
            <w:gridSpan w:val="2"/>
            <w:vMerge w:val="continue"/>
            <w:shd w:val="clear" w:color="auto" w:fill="CCEEFF"/>
          </w:tcPr>
          <w:p>
            <w:pPr>
              <w:spacing w:after="0"/>
              <w:rPr>
                <w:sz w:val="22"/>
                <w:szCs w:val="22"/>
                <w:color w:val="auto"/>
              </w:rPr>
            </w:pPr>
          </w:p>
        </w:tc>
        <w:tc>
          <w:tcPr>
            <w:tcW w:w="1020" w:type="dxa"/>
            <w:vAlign w:val="bottom"/>
            <w:tcBorders>
              <w:bottom w:val="single" w:sz="8" w:color="auto"/>
              <w:right w:val="single" w:sz="8" w:color="auto"/>
            </w:tcBorders>
            <w:gridSpan w:val="4"/>
            <w:vMerge w:val="continue"/>
            <w:shd w:val="clear" w:color="auto" w:fill="CCEEFF"/>
          </w:tcPr>
          <w:p>
            <w:pPr>
              <w:spacing w:after="0"/>
              <w:rPr>
                <w:sz w:val="22"/>
                <w:szCs w:val="22"/>
                <w:color w:val="auto"/>
              </w:rPr>
            </w:pP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6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right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right w:val="single" w:sz="8" w:color="auto"/>
            </w:tcBorders>
            <w:shd w:val="clear" w:color="auto" w:fill="CCEEFF"/>
          </w:tcPr>
          <w:p>
            <w:pPr>
              <w:spacing w:after="0"/>
              <w:rPr>
                <w:sz w:val="22"/>
                <w:szCs w:val="22"/>
                <w:color w:val="auto"/>
              </w:rPr>
            </w:pPr>
          </w:p>
        </w:tc>
        <w:tc>
          <w:tcPr>
            <w:tcW w:w="820" w:type="dxa"/>
            <w:vAlign w:val="bottom"/>
            <w:tcBorders>
              <w:bottom w:val="single" w:sz="8" w:color="auto"/>
              <w:right w:val="single" w:sz="8" w:color="auto"/>
            </w:tcBorders>
            <w:shd w:val="clear" w:color="auto" w:fill="CCEEFF"/>
          </w:tcPr>
          <w:p>
            <w:pPr>
              <w:spacing w:after="0"/>
              <w:rPr>
                <w:sz w:val="22"/>
                <w:szCs w:val="22"/>
                <w:color w:val="auto"/>
              </w:rPr>
            </w:pPr>
          </w:p>
        </w:tc>
        <w:tc>
          <w:tcPr>
            <w:tcW w:w="200" w:type="dxa"/>
            <w:vAlign w:val="bottom"/>
            <w:tcBorders>
              <w:bottom w:val="single" w:sz="8" w:color="auto"/>
              <w:right w:val="single" w:sz="8" w:color="CCEEFF"/>
            </w:tcBorders>
            <w:shd w:val="clear" w:color="auto" w:fill="CCEEFF"/>
          </w:tcPr>
          <w:p>
            <w:pPr>
              <w:spacing w:after="0"/>
              <w:rPr>
                <w:sz w:val="22"/>
                <w:szCs w:val="22"/>
                <w:color w:val="auto"/>
              </w:rPr>
            </w:pPr>
          </w:p>
        </w:tc>
        <w:tc>
          <w:tcPr>
            <w:tcW w:w="660" w:type="dxa"/>
            <w:vAlign w:val="bottom"/>
            <w:tcBorders>
              <w:bottom w:val="single" w:sz="8" w:color="auto"/>
              <w:right w:val="single" w:sz="8" w:color="auto"/>
            </w:tcBorders>
            <w:shd w:val="clear" w:color="auto" w:fill="CCEEFF"/>
          </w:tcPr>
          <w:p>
            <w:pPr>
              <w:spacing w:after="0"/>
              <w:rPr>
                <w:sz w:val="22"/>
                <w:szCs w:val="22"/>
                <w:color w:val="auto"/>
              </w:rPr>
            </w:pPr>
          </w:p>
        </w:tc>
        <w:tc>
          <w:tcPr>
            <w:tcW w:w="800" w:type="dxa"/>
            <w:vAlign w:val="bottom"/>
            <w:tcBorders>
              <w:bottom w:val="single" w:sz="8" w:color="auto"/>
              <w:right w:val="single" w:sz="8" w:color="CCEEFF"/>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Other</w:t>
            </w:r>
            <w:r>
              <w:rPr>
                <w:rFonts w:ascii="Times New Roman" w:cs="Times New Roman" w:eastAsia="Times New Roman" w:hAnsi="Times New Roman"/>
                <w:sz w:val="29"/>
                <w:szCs w:val="29"/>
                <w:color w:val="auto"/>
                <w:w w:val="94"/>
                <w:vertAlign w:val="superscript"/>
              </w:rPr>
              <w:t>(2)</w:t>
            </w:r>
          </w:p>
        </w:tc>
        <w:tc>
          <w:tcPr>
            <w:tcW w:w="1000" w:type="dxa"/>
            <w:vAlign w:val="bottom"/>
            <w:tcBorders>
              <w:right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700,000</w:t>
            </w:r>
            <w:r>
              <w:rPr>
                <w:rFonts w:ascii="Times New Roman" w:cs="Times New Roman" w:eastAsia="Times New Roman" w:hAnsi="Times New Roman"/>
                <w:sz w:val="29"/>
                <w:szCs w:val="29"/>
                <w:color w:val="auto"/>
                <w:w w:val="93"/>
                <w:vertAlign w:val="superscript"/>
              </w:rPr>
              <w:t>(4)</w:t>
            </w:r>
          </w:p>
        </w:tc>
        <w:tc>
          <w:tcPr>
            <w:tcW w:w="8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$0.01</w:t>
            </w:r>
            <w:r>
              <w:rPr>
                <w:rFonts w:ascii="Times New Roman" w:cs="Times New Roman" w:eastAsia="Times New Roman" w:hAnsi="Times New Roman"/>
                <w:sz w:val="29"/>
                <w:szCs w:val="29"/>
                <w:color w:val="auto"/>
                <w:w w:val="88"/>
                <w:vertAlign w:val="superscript"/>
              </w:rPr>
              <w:t>(2)</w:t>
            </w:r>
          </w:p>
        </w:tc>
        <w:tc>
          <w:tcPr>
            <w:tcW w:w="10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$7,000.00</w:t>
            </w:r>
            <w:r>
              <w:rPr>
                <w:rFonts w:ascii="Times New Roman" w:cs="Times New Roman" w:eastAsia="Times New Roman" w:hAnsi="Times New Roman"/>
                <w:sz w:val="29"/>
                <w:szCs w:val="29"/>
                <w:color w:val="auto"/>
                <w:w w:val="93"/>
                <w:vertAlign w:val="superscript"/>
              </w:rPr>
              <w:t>(2)</w:t>
            </w: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$0.97</w:t>
            </w:r>
            <w:r>
              <w:rPr>
                <w:rFonts w:ascii="Times New Roman" w:cs="Times New Roman" w:eastAsia="Times New Roman" w:hAnsi="Times New Roman"/>
                <w:sz w:val="29"/>
                <w:szCs w:val="29"/>
                <w:color w:val="auto"/>
                <w:w w:val="91"/>
                <w:vertAlign w:val="superscript"/>
              </w:rPr>
              <w:t>(2)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880" w:type="dxa"/>
            <w:vAlign w:val="bottom"/>
            <w:tcBorders>
              <w:bottom w:val="single" w:sz="8" w:color="auto"/>
              <w:right w:val="single" w:sz="8" w:color="auto"/>
            </w:tcBorders>
            <w:vMerge w:val="continue"/>
          </w:tcPr>
          <w:p>
            <w:pPr>
              <w:spacing w:after="0"/>
              <w:rPr>
                <w:sz w:val="22"/>
                <w:szCs w:val="22"/>
                <w:color w:val="auto"/>
              </w:rPr>
            </w:pPr>
          </w:p>
        </w:tc>
        <w:tc>
          <w:tcPr>
            <w:tcW w:w="1000" w:type="dxa"/>
            <w:vAlign w:val="bottom"/>
            <w:tcBorders>
              <w:bottom w:val="single" w:sz="8" w:color="auto"/>
              <w:right w:val="single" w:sz="8" w:color="auto"/>
            </w:tcBorders>
            <w:gridSpan w:val="2"/>
            <w:vMerge w:val="continue"/>
          </w:tcPr>
          <w:p>
            <w:pPr>
              <w:spacing w:after="0"/>
              <w:rPr>
                <w:sz w:val="22"/>
                <w:szCs w:val="22"/>
                <w:color w:val="auto"/>
              </w:rPr>
            </w:pPr>
          </w:p>
        </w:tc>
        <w:tc>
          <w:tcPr>
            <w:tcW w:w="800" w:type="dxa"/>
            <w:vAlign w:val="bottom"/>
            <w:tcBorders>
              <w:bottom w:val="single" w:sz="8" w:color="auto"/>
              <w:right w:val="single" w:sz="8" w:color="auto"/>
            </w:tcBorders>
            <w:gridSpan w:val="2"/>
            <w:vMerge w:val="continue"/>
          </w:tcPr>
          <w:p>
            <w:pPr>
              <w:spacing w:after="0"/>
              <w:rPr>
                <w:sz w:val="22"/>
                <w:szCs w:val="22"/>
                <w:color w:val="auto"/>
              </w:rPr>
            </w:pPr>
          </w:p>
        </w:tc>
        <w:tc>
          <w:tcPr>
            <w:tcW w:w="1020" w:type="dxa"/>
            <w:vAlign w:val="bottom"/>
            <w:tcBorders>
              <w:bottom w:val="single" w:sz="8" w:color="auto"/>
              <w:right w:val="single" w:sz="8" w:color="auto"/>
            </w:tcBorders>
            <w:gridSpan w:val="4"/>
            <w:vMerge w:val="continue"/>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60" w:type="dxa"/>
            <w:vAlign w:val="bottom"/>
            <w:tcBorders>
              <w:bottom w:val="single" w:sz="8" w:color="auto"/>
              <w:right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right w:val="single" w:sz="8" w:color="CCEEFF"/>
            </w:tcBorders>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106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Carry</w:t>
            </w: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Forward</w:t>
            </w: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660" w:type="dxa"/>
            <w:vAlign w:val="bottom"/>
            <w:tcBorders>
              <w:right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8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660" w:type="dxa"/>
            <w:vAlign w:val="bottom"/>
            <w:tcBorders>
              <w:bottom w:val="single" w:sz="8" w:color="CCEEFF"/>
              <w:right w:val="single" w:sz="8" w:color="CCEEFF"/>
            </w:tcBorders>
            <w:shd w:val="clear" w:color="auto" w:fill="CCEEFF"/>
          </w:tcPr>
          <w:p>
            <w:pPr>
              <w:spacing w:after="0"/>
              <w:rPr>
                <w:sz w:val="22"/>
                <w:szCs w:val="22"/>
                <w:color w:val="auto"/>
              </w:rPr>
            </w:pPr>
          </w:p>
        </w:tc>
        <w:tc>
          <w:tcPr>
            <w:tcW w:w="2620" w:type="dxa"/>
            <w:vAlign w:val="bottom"/>
            <w:tcBorders>
              <w:bottom w:val="single" w:sz="8" w:color="CCEEFF"/>
              <w:right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auto"/>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$30,333.34</w:t>
            </w: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8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CCEEFF"/>
              <w:right w:val="single" w:sz="8" w:color="auto"/>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80" w:type="dxa"/>
            <w:vAlign w:val="bottom"/>
            <w:tcBorders>
              <w:top w:val="single" w:sz="8" w:color="auto"/>
              <w:left w:val="single" w:sz="8" w:color="auto"/>
              <w:right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20" w:type="dxa"/>
            <w:vAlign w:val="bottom"/>
            <w:tcBorders>
              <w:top w:val="single" w:sz="8" w:color="auto"/>
              <w:right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right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8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66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CCEEFF"/>
            </w:tcBorders>
            <w:shd w:val="clear" w:color="auto" w:fill="CCEEFF"/>
          </w:tcPr>
          <w:p>
            <w:pPr>
              <w:spacing w:after="0"/>
              <w:rPr>
                <w:sz w:val="22"/>
                <w:szCs w:val="22"/>
                <w:color w:val="auto"/>
              </w:rPr>
            </w:pPr>
          </w:p>
        </w:tc>
        <w:tc>
          <w:tcPr>
            <w:tcW w:w="1880" w:type="dxa"/>
            <w:vAlign w:val="bottom"/>
            <w:tcBorders>
              <w:bottom w:val="single" w:sz="8" w:color="CCEEFF"/>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8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CCEEFF"/>
              <w:right w:val="single" w:sz="8" w:color="auto"/>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80" w:type="dxa"/>
            <w:vAlign w:val="bottom"/>
            <w:tcBorders>
              <w:top w:val="single" w:sz="8" w:color="auto"/>
              <w:left w:val="single" w:sz="8" w:color="auto"/>
              <w:right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80" w:type="dxa"/>
            <w:vAlign w:val="bottom"/>
            <w:tcBorders>
              <w:top w:val="single" w:sz="8" w:color="auto"/>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right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3: Combined Prospectus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8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Amount of</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Maximum</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 Offering</w:t>
            </w: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Initial Effective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2420" w:type="dxa"/>
            <w:vAlign w:val="bottom"/>
            <w:tcBorders>
              <w:right w:val="single" w:sz="8" w:color="auto"/>
            </w:tcBorders>
            <w:gridSpan w:val="3"/>
            <w:vMerge w:val="restart"/>
          </w:tcPr>
          <w:p>
            <w:pPr>
              <w:jc w:val="center"/>
              <w:ind w:right="16"/>
              <w:spacing w:after="0"/>
              <w:rPr>
                <w:sz w:val="20"/>
                <w:szCs w:val="20"/>
                <w:color w:val="auto"/>
              </w:rPr>
            </w:pPr>
            <w:r>
              <w:rPr>
                <w:rFonts w:ascii="Times New Roman" w:cs="Times New Roman" w:eastAsia="Times New Roman" w:hAnsi="Times New Roman"/>
                <w:sz w:val="18"/>
                <w:szCs w:val="18"/>
                <w:color w:val="auto"/>
                <w:w w:val="98"/>
              </w:rPr>
              <w:t>Security Class Title</w:t>
            </w:r>
          </w:p>
        </w:tc>
        <w:tc>
          <w:tcPr>
            <w:tcW w:w="2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Price of Securities</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99"/>
              </w:rPr>
              <w:t>Form Type</w:t>
            </w: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2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40" w:type="dxa"/>
            <w:vAlign w:val="bottom"/>
            <w:tcBorders>
              <w:left w:val="single" w:sz="8" w:color="auto"/>
              <w:right w:val="single" w:sz="8" w:color="auto"/>
            </w:tcBorders>
            <w:gridSpan w:val="2"/>
            <w:vMerge w:val="continue"/>
          </w:tcPr>
          <w:p>
            <w:pPr>
              <w:spacing w:after="0"/>
              <w:rPr>
                <w:sz w:val="9"/>
                <w:szCs w:val="9"/>
                <w:color w:val="auto"/>
              </w:rPr>
            </w:pPr>
          </w:p>
        </w:tc>
        <w:tc>
          <w:tcPr>
            <w:tcW w:w="2420" w:type="dxa"/>
            <w:vAlign w:val="bottom"/>
            <w:tcBorders>
              <w:right w:val="single" w:sz="8" w:color="auto"/>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Previously</w:t>
            </w:r>
          </w:p>
        </w:tc>
        <w:tc>
          <w:tcPr>
            <w:tcW w:w="2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gridSpan w:val="3"/>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Previously</w:t>
            </w: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Registered</w:t>
            </w:r>
          </w:p>
        </w:tc>
        <w:tc>
          <w:tcPr>
            <w:tcW w:w="20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Registered</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right w:val="single" w:sz="8" w:color="CCEEFF"/>
            </w:tcBorders>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242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Borders>
              <w:right w:val="single" w:sz="8" w:color="CCEEFF"/>
            </w:tcBorders>
            <w:shd w:val="clear" w:color="auto" w:fill="CCEEFF"/>
          </w:tcPr>
          <w:p>
            <w:pPr>
              <w:spacing w:after="0"/>
              <w:rPr>
                <w:sz w:val="19"/>
                <w:szCs w:val="19"/>
                <w:color w:val="auto"/>
              </w:rPr>
            </w:pPr>
          </w:p>
        </w:tc>
        <w:tc>
          <w:tcPr>
            <w:tcW w:w="10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3,275,035</w:t>
            </w:r>
            <w:r>
              <w:rPr>
                <w:rFonts w:ascii="Times New Roman" w:cs="Times New Roman" w:eastAsia="Times New Roman" w:hAnsi="Times New Roman"/>
                <w:sz w:val="29"/>
                <w:szCs w:val="29"/>
                <w:color w:val="auto"/>
                <w:w w:val="95"/>
                <w:vertAlign w:val="superscript"/>
              </w:rPr>
              <w:t>(8)</w:t>
            </w:r>
          </w:p>
        </w:tc>
        <w:tc>
          <w:tcPr>
            <w:tcW w:w="20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shd w:val="clear" w:color="auto" w:fill="CCEEFF"/>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(5)</w:t>
            </w: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gridSpan w:val="3"/>
            <w:vMerge w:val="continue"/>
            <w:shd w:val="clear" w:color="auto" w:fill="CCEEFF"/>
          </w:tcPr>
          <w:p>
            <w:pPr>
              <w:spacing w:after="0"/>
              <w:rPr>
                <w:sz w:val="24"/>
                <w:szCs w:val="24"/>
                <w:color w:val="auto"/>
              </w:rPr>
            </w:pP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8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$36,844,143.75</w:t>
            </w:r>
          </w:p>
        </w:tc>
        <w:tc>
          <w:tcPr>
            <w:tcW w:w="11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333-282971</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Pr>
          <w:p>
            <w:pPr>
              <w:spacing w:after="0"/>
              <w:rPr>
                <w:sz w:val="19"/>
                <w:szCs w:val="19"/>
                <w:color w:val="auto"/>
              </w:rPr>
            </w:pP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4,418,307</w:t>
            </w:r>
            <w:r>
              <w:rPr>
                <w:rFonts w:ascii="Times New Roman" w:cs="Times New Roman" w:eastAsia="Times New Roman" w:hAnsi="Times New Roman"/>
                <w:sz w:val="29"/>
                <w:szCs w:val="29"/>
                <w:color w:val="auto"/>
                <w:w w:val="95"/>
                <w:vertAlign w:val="superscript"/>
              </w:rPr>
              <w:t>(9)</w:t>
            </w:r>
          </w:p>
        </w:tc>
        <w:tc>
          <w:tcPr>
            <w:tcW w:w="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(5)</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vMerge w:val="continue"/>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$49,705,953.75</w:t>
            </w: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333-282971</w:t>
            </w:r>
          </w:p>
        </w:tc>
        <w:tc>
          <w:tcPr>
            <w:tcW w:w="2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right w:val="single" w:sz="8" w:color="CCEEFF"/>
            </w:tcBorders>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242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Borders>
              <w:right w:val="single" w:sz="8" w:color="CCEEFF"/>
            </w:tcBorders>
            <w:shd w:val="clear" w:color="auto" w:fill="CCEEFF"/>
          </w:tcPr>
          <w:p>
            <w:pPr>
              <w:spacing w:after="0"/>
              <w:rPr>
                <w:sz w:val="19"/>
                <w:szCs w:val="19"/>
                <w:color w:val="auto"/>
              </w:rPr>
            </w:pPr>
          </w:p>
        </w:tc>
        <w:tc>
          <w:tcPr>
            <w:tcW w:w="10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5,770,000</w:t>
            </w:r>
            <w:r>
              <w:rPr>
                <w:rFonts w:ascii="Times New Roman" w:cs="Times New Roman" w:eastAsia="Times New Roman" w:hAnsi="Times New Roman"/>
                <w:sz w:val="29"/>
                <w:szCs w:val="29"/>
                <w:color w:val="auto"/>
                <w:w w:val="92"/>
                <w:vertAlign w:val="superscript"/>
              </w:rPr>
              <w:t>(10)</w:t>
            </w:r>
          </w:p>
        </w:tc>
        <w:tc>
          <w:tcPr>
            <w:tcW w:w="20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shd w:val="clear" w:color="auto" w:fill="CCEEFF"/>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(5)</w:t>
            </w: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gridSpan w:val="3"/>
            <w:vMerge w:val="continue"/>
            <w:shd w:val="clear" w:color="auto" w:fill="CCEEFF"/>
          </w:tcPr>
          <w:p>
            <w:pPr>
              <w:spacing w:after="0"/>
              <w:rPr>
                <w:sz w:val="24"/>
                <w:szCs w:val="24"/>
                <w:color w:val="auto"/>
              </w:rPr>
            </w:pP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8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$64,912,500.00</w:t>
            </w:r>
          </w:p>
        </w:tc>
        <w:tc>
          <w:tcPr>
            <w:tcW w:w="11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333-282971</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Pr>
          <w:p>
            <w:pPr>
              <w:spacing w:after="0"/>
              <w:rPr>
                <w:sz w:val="19"/>
                <w:szCs w:val="19"/>
                <w:color w:val="auto"/>
              </w:rPr>
            </w:pP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1,000,000</w:t>
            </w:r>
            <w:r>
              <w:rPr>
                <w:rFonts w:ascii="Times New Roman" w:cs="Times New Roman" w:eastAsia="Times New Roman" w:hAnsi="Times New Roman"/>
                <w:sz w:val="29"/>
                <w:szCs w:val="29"/>
                <w:color w:val="auto"/>
                <w:w w:val="92"/>
                <w:vertAlign w:val="superscript"/>
              </w:rPr>
              <w:t>(11)</w:t>
            </w:r>
          </w:p>
        </w:tc>
        <w:tc>
          <w:tcPr>
            <w:tcW w:w="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(5)</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vMerge w:val="continue"/>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333-282971</w:t>
            </w:r>
          </w:p>
        </w:tc>
        <w:tc>
          <w:tcPr>
            <w:tcW w:w="2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80" w:type="dxa"/>
            <w:vAlign w:val="bottom"/>
            <w:tcBorders>
              <w:left w:val="single" w:sz="8" w:color="auto"/>
              <w:right w:val="single" w:sz="8" w:color="CCEEFF"/>
            </w:tcBorders>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242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54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(6)</w:t>
            </w: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gridSpan w:val="3"/>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92"/>
              </w:rPr>
              <w:t>8,480,518</w:t>
            </w:r>
            <w:r>
              <w:rPr>
                <w:rFonts w:ascii="Times New Roman" w:cs="Times New Roman" w:eastAsia="Times New Roman" w:hAnsi="Times New Roman"/>
                <w:sz w:val="29"/>
                <w:szCs w:val="29"/>
                <w:color w:val="auto"/>
                <w:w w:val="92"/>
                <w:vertAlign w:val="superscript"/>
              </w:rPr>
              <w:t>(12)</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8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$29,257,787.10</w:t>
            </w:r>
          </w:p>
        </w:tc>
        <w:tc>
          <w:tcPr>
            <w:tcW w:w="11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333-286558</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23,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5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tcPr>
          <w:p>
            <w:pPr>
              <w:jc w:val="center"/>
              <w:spacing w:after="0" w:line="296"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(6)</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spacing w:after="0" w:line="296" w:lineRule="exact"/>
              <w:rPr>
                <w:sz w:val="20"/>
                <w:szCs w:val="20"/>
                <w:color w:val="auto"/>
              </w:rPr>
            </w:pPr>
            <w:r>
              <w:rPr>
                <w:rFonts w:ascii="Times New Roman" w:cs="Times New Roman" w:eastAsia="Times New Roman" w:hAnsi="Times New Roman"/>
                <w:sz w:val="18"/>
                <w:szCs w:val="18"/>
                <w:color w:val="auto"/>
                <w:w w:val="95"/>
              </w:rPr>
              <w:t>4,100,000</w:t>
            </w:r>
            <w:r>
              <w:rPr>
                <w:rFonts w:ascii="Times New Roman" w:cs="Times New Roman" w:eastAsia="Times New Roman" w:hAnsi="Times New Roman"/>
                <w:sz w:val="29"/>
                <w:szCs w:val="29"/>
                <w:color w:val="auto"/>
                <w:w w:val="95"/>
                <w:vertAlign w:val="superscript"/>
              </w:rPr>
              <w:t>(9)</w:t>
            </w:r>
          </w:p>
        </w:tc>
        <w:tc>
          <w:tcPr>
            <w:tcW w:w="2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$14,145,000.00</w:t>
            </w: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333-286558</w:t>
            </w:r>
          </w:p>
        </w:tc>
        <w:tc>
          <w:tcPr>
            <w:tcW w:w="2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April 23,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80" w:type="dxa"/>
            <w:vAlign w:val="bottom"/>
            <w:tcBorders>
              <w:left w:val="single" w:sz="8" w:color="auto"/>
              <w:right w:val="single" w:sz="8" w:color="CCEEFF"/>
            </w:tcBorders>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242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54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(6)</w:t>
            </w: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gridSpan w:val="3"/>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92"/>
              </w:rPr>
              <w:t>300,000</w:t>
            </w:r>
            <w:r>
              <w:rPr>
                <w:rFonts w:ascii="Times New Roman" w:cs="Times New Roman" w:eastAsia="Times New Roman" w:hAnsi="Times New Roman"/>
                <w:sz w:val="29"/>
                <w:szCs w:val="29"/>
                <w:color w:val="auto"/>
                <w:w w:val="92"/>
                <w:vertAlign w:val="superscript"/>
              </w:rPr>
              <w:t>(13)</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right w:val="single" w:sz="8" w:color="auto"/>
            </w:tcBorders>
            <w:gridSpan w:val="2"/>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$3,000.00</w:t>
            </w:r>
          </w:p>
        </w:tc>
        <w:tc>
          <w:tcPr>
            <w:tcW w:w="11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333-286558</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23,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5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tcPr>
          <w:p>
            <w:pPr>
              <w:jc w:val="center"/>
              <w:spacing w:after="0" w:line="296"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(6)</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spacing w:after="0" w:line="296" w:lineRule="exact"/>
              <w:rPr>
                <w:sz w:val="20"/>
                <w:szCs w:val="20"/>
                <w:color w:val="auto"/>
              </w:rPr>
            </w:pPr>
            <w:r>
              <w:rPr>
                <w:rFonts w:ascii="Times New Roman" w:cs="Times New Roman" w:eastAsia="Times New Roman" w:hAnsi="Times New Roman"/>
                <w:sz w:val="18"/>
                <w:szCs w:val="18"/>
                <w:color w:val="auto"/>
                <w:w w:val="91"/>
              </w:rPr>
              <w:t>18,386,688</w:t>
            </w:r>
            <w:r>
              <w:rPr>
                <w:rFonts w:ascii="Times New Roman" w:cs="Times New Roman" w:eastAsia="Times New Roman" w:hAnsi="Times New Roman"/>
                <w:sz w:val="29"/>
                <w:szCs w:val="29"/>
                <w:color w:val="auto"/>
                <w:w w:val="91"/>
                <w:vertAlign w:val="superscript"/>
              </w:rPr>
              <w:t>(14)</w:t>
            </w:r>
          </w:p>
        </w:tc>
        <w:tc>
          <w:tcPr>
            <w:tcW w:w="2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$211,446,912.00</w:t>
            </w: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333-286558</w:t>
            </w:r>
          </w:p>
        </w:tc>
        <w:tc>
          <w:tcPr>
            <w:tcW w:w="2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April 23,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right w:val="single" w:sz="8" w:color="CCEEFF"/>
            </w:tcBorders>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242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Borders>
              <w:right w:val="single" w:sz="8" w:color="CCEEFF"/>
            </w:tcBorders>
            <w:shd w:val="clear" w:color="auto" w:fill="CCEEFF"/>
          </w:tcPr>
          <w:p>
            <w:pPr>
              <w:spacing w:after="0"/>
              <w:rPr>
                <w:sz w:val="19"/>
                <w:szCs w:val="19"/>
                <w:color w:val="auto"/>
              </w:rPr>
            </w:pPr>
          </w:p>
        </w:tc>
        <w:tc>
          <w:tcPr>
            <w:tcW w:w="10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9,000,000</w:t>
            </w:r>
            <w:r>
              <w:rPr>
                <w:rFonts w:ascii="Times New Roman" w:cs="Times New Roman" w:eastAsia="Times New Roman" w:hAnsi="Times New Roman"/>
                <w:sz w:val="29"/>
                <w:szCs w:val="29"/>
                <w:color w:val="auto"/>
                <w:w w:val="95"/>
                <w:vertAlign w:val="superscript"/>
              </w:rPr>
              <w:t>(9)</w:t>
            </w:r>
          </w:p>
        </w:tc>
        <w:tc>
          <w:tcPr>
            <w:tcW w:w="20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shd w:val="clear" w:color="auto" w:fill="CCEEFF"/>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(7)</w:t>
            </w: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gridSpan w:val="3"/>
            <w:vMerge w:val="continue"/>
            <w:shd w:val="clear" w:color="auto" w:fill="CCEEFF"/>
          </w:tcPr>
          <w:p>
            <w:pPr>
              <w:spacing w:after="0"/>
              <w:rPr>
                <w:sz w:val="24"/>
                <w:szCs w:val="24"/>
                <w:color w:val="auto"/>
              </w:rPr>
            </w:pP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8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$27,022,500.00</w:t>
            </w:r>
          </w:p>
        </w:tc>
        <w:tc>
          <w:tcPr>
            <w:tcW w:w="11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333-291034</w:t>
            </w:r>
          </w:p>
        </w:tc>
        <w:tc>
          <w:tcPr>
            <w:tcW w:w="20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Pr>
          <w:p>
            <w:pPr>
              <w:spacing w:after="0"/>
              <w:rPr>
                <w:sz w:val="19"/>
                <w:szCs w:val="19"/>
                <w:color w:val="auto"/>
              </w:rPr>
            </w:pP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1,625,235</w:t>
            </w:r>
            <w:r>
              <w:rPr>
                <w:rFonts w:ascii="Times New Roman" w:cs="Times New Roman" w:eastAsia="Times New Roman" w:hAnsi="Times New Roman"/>
                <w:sz w:val="29"/>
                <w:szCs w:val="29"/>
                <w:color w:val="auto"/>
                <w:w w:val="92"/>
                <w:vertAlign w:val="superscript"/>
              </w:rPr>
              <w:t>(15)</w:t>
            </w:r>
          </w:p>
        </w:tc>
        <w:tc>
          <w:tcPr>
            <w:tcW w:w="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bottom w:val="single" w:sz="8" w:color="auto"/>
              <w:right w:val="single" w:sz="8" w:color="auto"/>
            </w:tcBorders>
            <w:gridSpan w:val="3"/>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(7)</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vMerge w:val="continue"/>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$4,879,768.09</w:t>
            </w: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333-291034</w:t>
            </w:r>
          </w:p>
        </w:tc>
        <w:tc>
          <w:tcPr>
            <w:tcW w:w="2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540" w:type="dxa"/>
            <w:vAlign w:val="bottom"/>
            <w:tcBorders>
              <w:left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2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200" w:type="dxa"/>
            <w:vAlign w:val="bottom"/>
            <w:tcBorders>
              <w:righ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jc w:val="center"/>
              <w:spacing w:after="0" w:line="309" w:lineRule="exact"/>
              <w:rPr>
                <w:sz w:val="20"/>
                <w:szCs w:val="20"/>
                <w:color w:val="auto"/>
              </w:rPr>
            </w:pPr>
            <w:r>
              <w:rPr>
                <w:rFonts w:ascii="Times New Roman" w:cs="Times New Roman" w:eastAsia="Times New Roman" w:hAnsi="Times New Roman"/>
                <w:sz w:val="18"/>
                <w:szCs w:val="18"/>
                <w:color w:val="auto"/>
                <w:w w:val="92"/>
              </w:rPr>
              <w:t>1,625,235</w:t>
            </w:r>
            <w:r>
              <w:rPr>
                <w:rFonts w:ascii="Times New Roman" w:cs="Times New Roman" w:eastAsia="Times New Roman" w:hAnsi="Times New Roman"/>
                <w:sz w:val="29"/>
                <w:szCs w:val="29"/>
                <w:color w:val="auto"/>
                <w:w w:val="92"/>
                <w:vertAlign w:val="superscript"/>
              </w:rPr>
              <w:t>(16)</w:t>
            </w:r>
          </w:p>
        </w:tc>
        <w:tc>
          <w:tcPr>
            <w:tcW w:w="200" w:type="dxa"/>
            <w:vAlign w:val="bottom"/>
            <w:tcBorders>
              <w:right w:val="single" w:sz="8" w:color="auto"/>
            </w:tcBorders>
            <w:shd w:val="clear" w:color="auto" w:fill="CCEEFF"/>
          </w:tcPr>
          <w:p>
            <w:pPr>
              <w:spacing w:after="0"/>
              <w:rPr>
                <w:sz w:val="24"/>
                <w:szCs w:val="24"/>
                <w:color w:val="auto"/>
              </w:rPr>
            </w:pPr>
          </w:p>
        </w:tc>
        <w:tc>
          <w:tcPr>
            <w:tcW w:w="1480" w:type="dxa"/>
            <w:vAlign w:val="bottom"/>
            <w:tcBorders>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$13,001,880.00</w:t>
            </w:r>
          </w:p>
        </w:tc>
        <w:tc>
          <w:tcPr>
            <w:tcW w:w="1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340" w:type="dxa"/>
            <w:vAlign w:val="bottom"/>
            <w:tcBorders>
              <w:right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333-291034</w:t>
            </w:r>
          </w:p>
        </w:tc>
        <w:tc>
          <w:tcPr>
            <w:tcW w:w="200" w:type="dxa"/>
            <w:vAlign w:val="bottom"/>
            <w:tcBorders>
              <w:right w:val="single" w:sz="8" w:color="auto"/>
            </w:tcBorders>
            <w:shd w:val="clear" w:color="auto" w:fill="CCEEFF"/>
          </w:tcPr>
          <w:p>
            <w:pPr>
              <w:spacing w:after="0"/>
              <w:rPr>
                <w:sz w:val="24"/>
                <w:szCs w:val="24"/>
                <w:color w:val="auto"/>
              </w:rPr>
            </w:pPr>
          </w:p>
        </w:tc>
        <w:tc>
          <w:tcPr>
            <w:tcW w:w="14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305" w:right="239" w:bottom="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3"/>
        </w:trPr>
        <w:tc>
          <w:tcPr>
            <w:tcW w:w="150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(7)</w:t>
            </w:r>
          </w:p>
        </w:tc>
        <w:tc>
          <w:tcPr>
            <w:tcW w:w="1460" w:type="dxa"/>
            <w:vAlign w:val="bottom"/>
            <w:tcBorders>
              <w:bottom w:val="single" w:sz="8" w:color="auto"/>
              <w:right w:val="single" w:sz="8" w:color="auto"/>
            </w:tcBorders>
            <w:shd w:val="clear" w:color="auto" w:fill="CCEEFF"/>
          </w:tcPr>
          <w:p>
            <w:pPr>
              <w:spacing w:after="0"/>
              <w:rPr>
                <w:sz w:val="24"/>
                <w:szCs w:val="24"/>
                <w:color w:val="auto"/>
              </w:rPr>
            </w:pPr>
          </w:p>
        </w:tc>
        <w:tc>
          <w:tcPr>
            <w:tcW w:w="148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shd w:val="clear" w:color="auto" w:fill="CCEEFF"/>
          </w:tcPr>
          <w:p>
            <w:pPr>
              <w:spacing w:after="0"/>
              <w:rPr>
                <w:sz w:val="24"/>
                <w:szCs w:val="24"/>
                <w:color w:val="auto"/>
              </w:rPr>
            </w:pPr>
          </w:p>
        </w:tc>
        <w:tc>
          <w:tcPr>
            <w:tcW w:w="1440" w:type="dxa"/>
            <w:vAlign w:val="bottom"/>
            <w:tcBorders>
              <w:bottom w:val="single" w:sz="8" w:color="auto"/>
              <w:right w:val="single" w:sz="8" w:color="auto"/>
            </w:tcBorders>
            <w:shd w:val="clear" w:color="auto" w:fill="CCEEFF"/>
          </w:tcPr>
          <w:p>
            <w:pPr>
              <w:spacing w:after="0"/>
              <w:rPr>
                <w:sz w:val="24"/>
                <w:szCs w:val="24"/>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22"/>
        </w:trPr>
        <w:tc>
          <w:tcPr>
            <w:tcW w:w="1500" w:type="dxa"/>
            <w:vAlign w:val="bottom"/>
            <w:tcBorders>
              <w:left w:val="single" w:sz="8" w:color="auto"/>
              <w:right w:val="single" w:sz="8" w:color="auto"/>
            </w:tcBorders>
          </w:tcPr>
          <w:p>
            <w:pPr>
              <w:spacing w:after="0"/>
              <w:rPr>
                <w:sz w:val="19"/>
                <w:szCs w:val="19"/>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w:t>
            </w:r>
          </w:p>
        </w:tc>
        <w:tc>
          <w:tcPr>
            <w:tcW w:w="14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12,000,000</w:t>
            </w:r>
            <w:r>
              <w:rPr>
                <w:rFonts w:ascii="Times New Roman" w:cs="Times New Roman" w:eastAsia="Times New Roman" w:hAnsi="Times New Roman"/>
                <w:sz w:val="29"/>
                <w:szCs w:val="29"/>
                <w:color w:val="auto"/>
                <w:vertAlign w:val="superscript"/>
              </w:rPr>
              <w:t>(17)</w:t>
            </w: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96"/>
        </w:trPr>
        <w:tc>
          <w:tcPr>
            <w:tcW w:w="150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460" w:type="dxa"/>
            <w:vAlign w:val="bottom"/>
            <w:tcBorders>
              <w:bottom w:val="single" w:sz="8" w:color="auto"/>
              <w:right w:val="single" w:sz="8" w:color="auto"/>
            </w:tcBorders>
          </w:tcPr>
          <w:p>
            <w:pPr>
              <w:jc w:val="center"/>
              <w:spacing w:after="0" w:line="295" w:lineRule="exact"/>
              <w:rPr>
                <w:sz w:val="20"/>
                <w:szCs w:val="20"/>
                <w:color w:val="auto"/>
              </w:rPr>
            </w:pPr>
            <w:r>
              <w:rPr>
                <w:rFonts w:ascii="Times New Roman" w:cs="Times New Roman" w:eastAsia="Times New Roman" w:hAnsi="Times New Roman"/>
                <w:sz w:val="18"/>
                <w:szCs w:val="18"/>
                <w:color w:val="auto"/>
                <w:w w:val="96"/>
              </w:rPr>
              <w:t>$0.0001 per share</w:t>
            </w:r>
            <w:r>
              <w:rPr>
                <w:rFonts w:ascii="Times New Roman" w:cs="Times New Roman" w:eastAsia="Times New Roman" w:hAnsi="Times New Roman"/>
                <w:sz w:val="29"/>
                <w:szCs w:val="29"/>
                <w:color w:val="auto"/>
                <w:w w:val="96"/>
                <w:vertAlign w:val="superscript"/>
              </w:rPr>
              <w:t>(7)</w:t>
            </w:r>
          </w:p>
        </w:tc>
        <w:tc>
          <w:tcPr>
            <w:tcW w:w="1460" w:type="dxa"/>
            <w:vAlign w:val="bottom"/>
            <w:tcBorders>
              <w:bottom w:val="single" w:sz="8" w:color="auto"/>
              <w:right w:val="single" w:sz="8" w:color="auto"/>
            </w:tcBorders>
            <w:vMerge w:val="continue"/>
          </w:tcPr>
          <w:p>
            <w:pPr>
              <w:spacing w:after="0"/>
              <w:rPr>
                <w:sz w:val="24"/>
                <w:szCs w:val="24"/>
                <w:color w:val="auto"/>
              </w:rPr>
            </w:pPr>
          </w:p>
        </w:tc>
        <w:tc>
          <w:tcPr>
            <w:tcW w:w="148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$36,030,000.00</w:t>
            </w:r>
          </w:p>
        </w:tc>
        <w:tc>
          <w:tcPr>
            <w:tcW w:w="14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Form S-1</w:t>
            </w:r>
          </w:p>
        </w:tc>
        <w:tc>
          <w:tcPr>
            <w:tcW w:w="144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333-291034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20" w:right="140" w:hanging="313"/>
        <w:spacing w:after="0" w:line="253"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common stock, par value $0.0001 per share (“Common Stock”), of Innventure, Inc. (the “Company”) that will be offered for sale by the selling stockholders (the “Selling Stockholders”) named in the prospectus that forms a part of the Company’s registration statement on Form S-3 (the “Registration Statement”) to which this exhibit relates. Pursuant to Rule 416(a) under the Securities Act of 1933, as amended (the “Securities Act”), the Common Stock being registered under the Registration Statement includes such indeterminate number of additional Common Stock as may be issuable as a result of stock splits, stock dividends or similar transactions with respect to the Common Stock being registered under the Registration Statement. Additionally, pursuant to Rule 416(b) under the Securities Act, if prior to the completion of the distribution of the Common Stock registered under the Registration Statement all shares of Common Stock are combined by a reverse stock split into a lesser number of Common Stock, the number of undistributed Common Stock covered by the Registration Statement shall be proportionately reduced.</w:t>
      </w:r>
    </w:p>
    <w:p>
      <w:pPr>
        <w:spacing w:after="0" w:line="68" w:lineRule="exact"/>
        <w:rPr>
          <w:rFonts w:ascii="Times New Roman" w:cs="Times New Roman" w:eastAsia="Times New Roman" w:hAnsi="Times New Roman"/>
          <w:sz w:val="18"/>
          <w:szCs w:val="18"/>
          <w:color w:val="auto"/>
        </w:rPr>
      </w:pPr>
    </w:p>
    <w:p>
      <w:pPr>
        <w:ind w:left="320" w:right="260" w:hanging="313"/>
        <w:spacing w:after="0" w:line="25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457(g) under the Securities Act and solely for the purpose of calculating the registration fee with respect to the shares of Common Stock issuable upon exercise of each of the 2024 WTI Warrants (as defined below) and the 2025 WTI Warrants (as defined below), each expiring March 31, 2035, the proposed maximum offering price per unit and proposed maximum aggregate offering price are based upon the exercise price of each of the 2024 WTI Warrants and 2025 WTI Warrants of $0.01 per share.</w:t>
      </w:r>
    </w:p>
    <w:p>
      <w:pPr>
        <w:spacing w:after="0" w:line="60" w:lineRule="exact"/>
        <w:rPr>
          <w:rFonts w:ascii="Times New Roman" w:cs="Times New Roman" w:eastAsia="Times New Roman" w:hAnsi="Times New Roman"/>
          <w:sz w:val="18"/>
          <w:szCs w:val="18"/>
          <w:color w:val="auto"/>
        </w:rPr>
      </w:pPr>
    </w:p>
    <w:p>
      <w:pPr>
        <w:ind w:left="320" w:right="240" w:hanging="313"/>
        <w:spacing w:after="0" w:line="280"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2,333,334 shares of Common Stock that may be issued upon exercise of warrants (the “2024 WTI Warrants”) to purchase Common Stock held by WTI Fund X, LLC and WTI Fund XI, LLC.</w:t>
      </w:r>
    </w:p>
    <w:p>
      <w:pPr>
        <w:spacing w:after="0" w:line="41" w:lineRule="exact"/>
        <w:rPr>
          <w:rFonts w:ascii="Times New Roman" w:cs="Times New Roman" w:eastAsia="Times New Roman" w:hAnsi="Times New Roman"/>
          <w:sz w:val="18"/>
          <w:szCs w:val="18"/>
          <w:color w:val="auto"/>
        </w:rPr>
      </w:pPr>
    </w:p>
    <w:p>
      <w:pPr>
        <w:ind w:left="320" w:right="380" w:hanging="313"/>
        <w:spacing w:after="0" w:line="280"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700,000 shares of Common Stock that may be issued upon exercise of warrants (the “2025 WTI Warrants”) to purchase Common Stock held by WTI Fund X, LLC and WTI Fund XI, LLC.</w:t>
      </w:r>
    </w:p>
    <w:p>
      <w:pPr>
        <w:spacing w:after="0" w:line="41" w:lineRule="exact"/>
        <w:rPr>
          <w:rFonts w:ascii="Times New Roman" w:cs="Times New Roman" w:eastAsia="Times New Roman" w:hAnsi="Times New Roman"/>
          <w:sz w:val="18"/>
          <w:szCs w:val="18"/>
          <w:color w:val="auto"/>
        </w:rPr>
      </w:pPr>
    </w:p>
    <w:p>
      <w:pPr>
        <w:ind w:left="320" w:right="180" w:hanging="313"/>
        <w:spacing w:after="0" w:line="254"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registration fee is payable in connection with the securities that were previously registered on the Company’s registration statement on Form S-1 (File No. 333-282971), which was originally filed by the Company with the U.S. Securities and Exchange Commission (the “SEC”) on November 4, 2024, declared effective on November 12, 2024, subsequently amended on a post-effective basis on April 15, 2025 and declared effective on April 23, 2025 (“Registration Statement I”), because such shares are being transferred from Registration Statement I to this Registration Statement pursuant to Rule 429 under the Securities Act. Pursuant to Rule 429(b) under the Securities Act, this Registration Statement, upon effectiveness, will constitute a post-effective amendment to Registration Statement I, which post-effective amendment will become effective concurrently with the effectiveness of this Registration Statement in accordance with Section 8(c) of the Securities Act.</w:t>
      </w:r>
    </w:p>
    <w:p>
      <w:pPr>
        <w:spacing w:after="0" w:line="65" w:lineRule="exact"/>
        <w:rPr>
          <w:rFonts w:ascii="Times New Roman" w:cs="Times New Roman" w:eastAsia="Times New Roman" w:hAnsi="Times New Roman"/>
          <w:sz w:val="18"/>
          <w:szCs w:val="18"/>
          <w:color w:val="auto"/>
        </w:rPr>
      </w:pPr>
    </w:p>
    <w:p>
      <w:pPr>
        <w:ind w:left="320" w:right="180" w:hanging="313"/>
        <w:spacing w:after="0" w:line="255"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registration fee is payable in connection with the securities that were previously registered on the Company’s registration statement on Form S-1 (File No. 333-286558), which was originally filed by the Company with the SEC on April 15, 2025 and declared effective on April 23, 2025 (“Registration Statement II”), because such shares are being transferred from Registration Statement II to this Registration Statement pursuant to Rule 429 under the Securities Act. Pursuant to Rule 429(b) under the Securities Act, this Registration Statement, upon effectiveness, will constitute a post-effective amendment to Registration Statement II, which post-effective amendment will become effective concurrently with the effectiveness of this Registration Statement in accordance with Section 8(c) of the Securities Act.</w:t>
      </w:r>
    </w:p>
    <w:p>
      <w:pPr>
        <w:spacing w:after="0" w:line="64" w:lineRule="exact"/>
        <w:rPr>
          <w:rFonts w:ascii="Times New Roman" w:cs="Times New Roman" w:eastAsia="Times New Roman" w:hAnsi="Times New Roman"/>
          <w:sz w:val="18"/>
          <w:szCs w:val="18"/>
          <w:color w:val="auto"/>
        </w:rPr>
      </w:pPr>
    </w:p>
    <w:p>
      <w:pPr>
        <w:ind w:left="320" w:right="220" w:hanging="313"/>
        <w:spacing w:after="0" w:line="255"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registration fee is payable in connection with the securities that were previously registered on the Company’s registration statement on Form S-1 (File No. 333-291034), which was originally filed by the Company with the SEC on October 23, 2025 and became effective on November 12, 2025 (“Registration Statement III”), because such shares are being transferred from Registration Statement III to this Registration Statement pursuant to Rule 429 under the Securities Act. Pursuant to Rule 429(b) under the Securities Act, this Registration Statement, upon effectiveness, will constitute a post-effective amendment to Registration Statement III, which post-effective amendment will become effective concurrently with the effectiveness of this Registration Statement in accordance with Section 8(c) of the Securities Act.</w:t>
      </w:r>
    </w:p>
    <w:p>
      <w:pPr>
        <w:spacing w:after="0" w:line="64" w:lineRule="exact"/>
        <w:rPr>
          <w:rFonts w:ascii="Times New Roman" w:cs="Times New Roman" w:eastAsia="Times New Roman" w:hAnsi="Times New Roman"/>
          <w:sz w:val="18"/>
          <w:szCs w:val="18"/>
          <w:color w:val="auto"/>
        </w:rPr>
      </w:pPr>
    </w:p>
    <w:p>
      <w:pPr>
        <w:ind w:left="320" w:right="160" w:hanging="313"/>
        <w:spacing w:after="0" w:line="25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3,275,035 shares of Common Stock issued and issuable upon conversion of Series B Preferred Stock, par value $0.0001 per share (the “Series B Preferred Stock”), which Series B Preferred Stock was issued pursuant to an investment agreement, dated September 24, 2024, between the Company and Commonwealth Asset Management LP, and an investment agreement, dated September 27, 2024, among the Company and certain purchasers party thereto.</w:t>
      </w:r>
    </w:p>
    <w:p>
      <w:pPr>
        <w:spacing w:after="0" w:line="60" w:lineRule="exact"/>
        <w:rPr>
          <w:rFonts w:ascii="Times New Roman" w:cs="Times New Roman" w:eastAsia="Times New Roman" w:hAnsi="Times New Roman"/>
          <w:sz w:val="18"/>
          <w:szCs w:val="18"/>
          <w:color w:val="auto"/>
        </w:rPr>
      </w:pPr>
    </w:p>
    <w:p>
      <w:pPr>
        <w:ind w:left="320" w:right="140" w:hanging="313"/>
        <w:spacing w:after="0" w:line="25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16,244,741 shares of Common Stock that the Company may issue and sell to YA II PN, Ltd., a Cayman Islands exempted company (“Yorkville”), from time to time pursuant to the Standby Equity Purchase Agreement, dated October 24, 2023, between the Company and Yorkville (the “SEPA”). As of the date hereof, 1,273,566 shares of Common Stock previously registered have been issued by the Company to Yorkville pursuant to the terms of the SEPA.</w:t>
      </w:r>
    </w:p>
    <w:p>
      <w:pPr>
        <w:spacing w:after="0" w:line="60" w:lineRule="exact"/>
        <w:rPr>
          <w:rFonts w:ascii="Times New Roman" w:cs="Times New Roman" w:eastAsia="Times New Roman" w:hAnsi="Times New Roman"/>
          <w:sz w:val="18"/>
          <w:szCs w:val="18"/>
          <w:color w:val="auto"/>
        </w:rPr>
      </w:pPr>
    </w:p>
    <w:p>
      <w:pPr>
        <w:ind w:left="420" w:right="820" w:hanging="413"/>
        <w:spacing w:after="0" w:line="280"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5,770,000 shares of Common Stock held by certain stockholders party to that certain Amended and Restated Registration Rights Agreement, dated October 2, 2024.</w:t>
      </w:r>
    </w:p>
    <w:p>
      <w:pPr>
        <w:spacing w:after="0" w:line="41" w:lineRule="exact"/>
        <w:rPr>
          <w:rFonts w:ascii="Times New Roman" w:cs="Times New Roman" w:eastAsia="Times New Roman" w:hAnsi="Times New Roman"/>
          <w:sz w:val="18"/>
          <w:szCs w:val="18"/>
          <w:color w:val="auto"/>
        </w:rPr>
      </w:pPr>
    </w:p>
    <w:p>
      <w:pPr>
        <w:ind w:left="400" w:right="140" w:hanging="393"/>
        <w:spacing w:after="0" w:line="280"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1,000,000 shares of Common Stock that may be issued upon exercise of the 2024 WTI Warrants to purchase Common Stock held by WTI Fund X, LLC and WTI Fund XI, LLC.</w:t>
      </w:r>
    </w:p>
    <w:p>
      <w:pPr>
        <w:spacing w:after="0" w:line="41" w:lineRule="exact"/>
        <w:rPr>
          <w:rFonts w:ascii="Times New Roman" w:cs="Times New Roman" w:eastAsia="Times New Roman" w:hAnsi="Times New Roman"/>
          <w:sz w:val="18"/>
          <w:szCs w:val="18"/>
          <w:color w:val="auto"/>
        </w:rPr>
      </w:pPr>
    </w:p>
    <w:p>
      <w:pPr>
        <w:ind w:left="420" w:right="320" w:hanging="413"/>
        <w:spacing w:after="0" w:line="264"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8,480,518 shares of Common Stock issued and issuable upon conversion of Series C Preferred Stock, par value $0.0001 per share (the “Series C Preferred Stock”), which Series C Preferred Stock was issued pursuant to those certain preferred stock purchase agreements, dated March 24, 2025, among the Company and certain purchasers party thereto.</w:t>
      </w:r>
    </w:p>
    <w:p>
      <w:pPr>
        <w:spacing w:after="0" w:line="55"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300,000 shares of Common Stock that may be issued upon exercise of the 2025 WTI Warrants.</w:t>
      </w:r>
    </w:p>
    <w:p>
      <w:pPr>
        <w:spacing w:after="0" w:line="102" w:lineRule="exact"/>
        <w:rPr>
          <w:rFonts w:ascii="Times New Roman" w:cs="Times New Roman" w:eastAsia="Times New Roman" w:hAnsi="Times New Roman"/>
          <w:sz w:val="18"/>
          <w:szCs w:val="18"/>
          <w:color w:val="auto"/>
        </w:rPr>
      </w:pPr>
    </w:p>
    <w:p>
      <w:pPr>
        <w:ind w:left="420" w:right="200" w:hanging="413"/>
        <w:spacing w:after="0" w:line="256"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up to 18,386,688 shares of Common Stock that may be issued upon the exercise of 18,386,688 warrants (the “Innventure Warrants” and, such shares of Common Stock, the “Innventure Warrant Shares”) to purchase shares of Common Stock at an exercise price of $11.50 per share. The issuance of the Innventure Warrant Shares upon exercise of the Innventure Warrants was previously registered pursuant to the Company’s registration statement on Form S-4 (File No. 333-276714), originally filed by the Company with the SEC on January 26, 2024 and declared effective on September 10, 2024, and subsequently re-registered on Registration Statement II.</w:t>
      </w:r>
    </w:p>
    <w:p>
      <w:pPr>
        <w:spacing w:after="0" w:line="65" w:lineRule="exact"/>
        <w:rPr>
          <w:rFonts w:ascii="Times New Roman" w:cs="Times New Roman" w:eastAsia="Times New Roman" w:hAnsi="Times New Roman"/>
          <w:sz w:val="18"/>
          <w:szCs w:val="18"/>
          <w:color w:val="auto"/>
        </w:rPr>
      </w:pPr>
    </w:p>
    <w:p>
      <w:pPr>
        <w:ind w:left="420" w:right="340" w:hanging="413"/>
        <w:spacing w:after="0" w:line="280"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1,625,235 shares of Common Stock issued to certain subscribers (the “Subscribers”) pursuant to the terms of those certain subscription agreements, dated as of October 3, 2025, between the Company and the Subscribers.</w:t>
      </w:r>
    </w:p>
    <w:p>
      <w:pPr>
        <w:spacing w:after="0" w:line="41" w:lineRule="exact"/>
        <w:rPr>
          <w:rFonts w:ascii="Times New Roman" w:cs="Times New Roman" w:eastAsia="Times New Roman" w:hAnsi="Times New Roman"/>
          <w:sz w:val="18"/>
          <w:szCs w:val="18"/>
          <w:color w:val="auto"/>
        </w:rPr>
      </w:pPr>
    </w:p>
    <w:p>
      <w:pPr>
        <w:ind w:left="420" w:right="280" w:hanging="413"/>
        <w:spacing w:after="0" w:line="280"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1,625,235 shares of Common Stock that may be issued upon exercise of warrants (the “Series A Warrants”) to purchase Common Stock held by the Subscribers.</w:t>
      </w:r>
    </w:p>
    <w:p>
      <w:pPr>
        <w:spacing w:after="0" w:line="41" w:lineRule="exact"/>
        <w:rPr>
          <w:rFonts w:ascii="Times New Roman" w:cs="Times New Roman" w:eastAsia="Times New Roman" w:hAnsi="Times New Roman"/>
          <w:sz w:val="18"/>
          <w:szCs w:val="18"/>
          <w:color w:val="auto"/>
        </w:rPr>
      </w:pPr>
    </w:p>
    <w:p>
      <w:pPr>
        <w:ind w:left="420" w:right="140" w:hanging="413"/>
        <w:spacing w:after="0" w:line="259"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12,000,000 shares of Common Stock that may have been issued to Yorkville upon conversion of convertible debentures (“Convertible Debentures”) issued to Yorkville pursuant to the securities purchase agreement, dated March 25, 2025, and the securities purchase agreement, dated September 15, 2025, each entered into with Yorkville. As of the date hereof, 65,000 shares of Common Stock previously registered remain beneficially owned by Yorkville and will be offered for sale by Yorkville pursuant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sectPr>
      <w:pgSz w:w="11900" w:h="16838" w:orient="portrait"/>
      <w:cols w:equalWidth="0" w:num="1">
        <w:col w:w="11260"/>
      </w:cols>
      <w:pgMar w:left="320" w:top="88" w:right="3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Letter"/>
      <w:start w:val="1"/>
    </w:lvl>
  </w:abstractNum>
  <w:abstractNum w:abstractNumId="1">
    <w:nsid w:val="519B500D"/>
    <w:multiLevelType w:val="hybridMultilevel"/>
    <w:lvl w:ilvl="0">
      <w:lvlJc w:val="left"/>
      <w:lvlText w:val="(%1)"/>
      <w:numFmt w:val="lowerRoman"/>
      <w:start w:val="2"/>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1"/>
    </w:lvl>
  </w:abstractNum>
  <w:abstractNum w:abstractNumId="11">
    <w:nsid w:val="2443A858"/>
    <w:multiLevelType w:val="hybridMultilevel"/>
    <w:lvl w:ilvl="0">
      <w:lvlJc w:val="left"/>
      <w:lvlText w:val="(%1)"/>
      <w:numFmt w:val="decimal"/>
      <w:start w:val="23"/>
    </w:lvl>
  </w:abstractNum>
  <w:abstractNum w:abstractNumId="12">
    <w:nsid w:val="2D1D5AE9"/>
    <w:multiLevelType w:val="hybridMultilevel"/>
    <w:lvl w:ilvl="0">
      <w:lvlJc w:val="left"/>
      <w:lvlText w:val="(%1)"/>
      <w:numFmt w:val="decimal"/>
      <w:start w:val="35"/>
    </w:lvl>
  </w:abstractNum>
  <w:abstractNum w:abstractNumId="13">
    <w:nsid w:val="6763845E"/>
    <w:multiLevelType w:val="hybridMultilevel"/>
    <w:lvl w:ilvl="0">
      <w:lvlJc w:val="left"/>
      <w:lvlText w:val="(%1)"/>
      <w:numFmt w:val="decimal"/>
      <w:start w:val="49"/>
    </w:lvl>
  </w:abstractNum>
  <w:abstractNum w:abstractNumId="14">
    <w:nsid w:val="75A2A8D4"/>
    <w:multiLevelType w:val="hybridMultilevel"/>
    <w:lvl w:ilvl="0">
      <w:lvlJc w:val="left"/>
      <w:lvlText w:val="(%1)"/>
      <w:numFmt w:val="lowerRoman"/>
      <w:start w:val="4"/>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1)"/>
      <w:numFmt w:val="lowerRoman"/>
      <w:start w:val="3"/>
    </w:lvl>
  </w:abstractNum>
  <w:abstractNum w:abstractNumId="19">
    <w:nsid w:val="189A769B"/>
    <w:multiLevelType w:val="hybridMultilevel"/>
    <w:lvl w:ilvl="0">
      <w:lvlJc w:val="left"/>
      <w:lvlText w:val="(%1)"/>
      <w:numFmt w:val="decimal"/>
      <w:start w:val="2"/>
    </w:lvl>
    <w:lvl w:ilvl="1">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lvl w:ilvl="1">
      <w:lvlJc w:val="left"/>
      <w:lvlText w:val="(%2)"/>
      <w:numFmt w:val="lowerRoman"/>
      <w:start w:val="1"/>
    </w:lvl>
  </w:abstractNum>
  <w:abstractNum w:abstractNumId="26">
    <w:nsid w:val="8138641"/>
    <w:multiLevelType w:val="hybridMultilevel"/>
    <w:lvl w:ilvl="0">
      <w:lvlJc w:val="left"/>
      <w:lvlText w:val="(%1)"/>
      <w:numFmt w:val="decimal"/>
      <w:start w:val="2"/>
    </w:lvl>
  </w:abstractNum>
  <w:abstractNum w:abstractNumId="27">
    <w:nsid w:val="1E7FF521"/>
    <w:multiLevelType w:val="hybridMultilevel"/>
    <w:lvl w:ilvl="0">
      <w:lvlJc w:val="left"/>
      <w:lvlText w:val="(%1)"/>
      <w:numFmt w:val="decimal"/>
      <w:start w:val="4"/>
    </w:lvl>
    <w:lvl w:ilvl="1">
      <w:lvlJc w:val="left"/>
      <w:lvlText w:val="(%2)"/>
      <w:numFmt w:val="upperLetter"/>
      <w:start w:val="1"/>
    </w:lvl>
  </w:abstractNum>
  <w:abstractNum w:abstractNumId="28">
    <w:nsid w:val="7C3DBD3D"/>
    <w:multiLevelType w:val="hybridMultilevel"/>
    <w:lvl w:ilvl="0">
      <w:lvlJc w:val="left"/>
      <w:lvlText w:val="%1"/>
      <w:numFmt w:val="decimal"/>
      <w:start w:val="1"/>
    </w:lvl>
    <w:lvl w:ilvl="1">
      <w:lvlJc w:val="left"/>
      <w:lvlText w:val="(%2)"/>
      <w:numFmt w:val="lowerRoman"/>
      <w:start w:val="1"/>
    </w:lvl>
  </w:abstractNum>
  <w:abstractNum w:abstractNumId="29">
    <w:nsid w:val="737B8DDC"/>
    <w:multiLevelType w:val="hybridMultilevel"/>
    <w:lvl w:ilvl="0">
      <w:lvlJc w:val="left"/>
      <w:lvlText w:val="(%1)"/>
      <w:numFmt w:val="decimal"/>
      <w:start w:val="6"/>
    </w:lvl>
    <w:lvl w:ilvl="1">
      <w:lvlJc w:val="left"/>
      <w:lvlText w:val="%2"/>
      <w:numFmt w:val="lowerRoman"/>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97" Type="http://schemas.openxmlformats.org/officeDocument/2006/relationships/image" Target="media/image56.png"/><Relationship Id="rId100" Type="http://schemas.openxmlformats.org/officeDocument/2006/relationships/image" Target="media/image57.png"/><Relationship Id="rId101" Type="http://schemas.openxmlformats.org/officeDocument/2006/relationships/image" Target="media/image58.png"/><Relationship Id="rId102" Type="http://schemas.openxmlformats.org/officeDocument/2006/relationships/image" Target="media/image59.png"/><Relationship Id="rId103" Type="http://schemas.openxmlformats.org/officeDocument/2006/relationships/image" Target="media/image60.png"/><Relationship Id="rId104" Type="http://schemas.openxmlformats.org/officeDocument/2006/relationships/image" Target="media/image61.jpeg"/><Relationship Id="rId105" Type="http://schemas.openxmlformats.org/officeDocument/2006/relationships/image" Target="media/image62.png"/><Relationship Id="rId106" Type="http://schemas.openxmlformats.org/officeDocument/2006/relationships/image" Target="media/image63.jpe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59" Type="http://schemas.openxmlformats.org/officeDocument/2006/relationships/hyperlink" Target="https://www.sec.gov/ix?doc=/Archives/edgar/data/2001557/000162828025017614/innv-20241231.htm" TargetMode="External"/><Relationship Id="rId60" Type="http://schemas.openxmlformats.org/officeDocument/2006/relationships/hyperlink" Target="https://www.sec.gov/ix?doc=/Archives/edgar/data/2001557/000162828025025892/innv-20250331.htm" TargetMode="External"/><Relationship Id="rId61" Type="http://schemas.openxmlformats.org/officeDocument/2006/relationships/hyperlink" Target="https://www.sec.gov/ix?doc=/Archives/edgar/data/2001557/000162828025040379/innv-20250630.htm" TargetMode="External"/><Relationship Id="rId62" Type="http://schemas.openxmlformats.org/officeDocument/2006/relationships/hyperlink" Target="https://www.sec.gov/ix?doc=/Archives/edgar/data/2001557/000162828025052035/innv-20250930.htm" TargetMode="External"/><Relationship Id="rId63" Type="http://schemas.openxmlformats.org/officeDocument/2006/relationships/hyperlink" Target="https://www.sec.gov/ix?doc=/Archives/edgar/data/2001557/000114036125010344/ef20045913_8k.htm" TargetMode="External"/><Relationship Id="rId64" Type="http://schemas.openxmlformats.org/officeDocument/2006/relationships/hyperlink" Target="https://www.sec.gov/ix?doc=/Archives/edgar/data/2001557/000162828025017703/inv-20250414.htm" TargetMode="External"/><Relationship Id="rId65" Type="http://schemas.openxmlformats.org/officeDocument/2006/relationships/hyperlink" Target="https://www.sec.gov/ix?doc=/Archives/edgar/data/2001557/000162828025025932/inv-20250515.htm" TargetMode="External"/><Relationship Id="rId66" Type="http://schemas.openxmlformats.org/officeDocument/2006/relationships/hyperlink" Target="https://www.sec.gov/ix?doc=/Archives/edgar/data/2001557/000162828025029330/inv-20250414.htm" TargetMode="External"/><Relationship Id="rId67" Type="http://schemas.openxmlformats.org/officeDocument/2006/relationships/hyperlink" Target="https://www.sec.gov/ix?doc=/Archives/edgar/data/2001557/000162828025033614/inv-20250625.htm" TargetMode="External"/><Relationship Id="rId68" Type="http://schemas.openxmlformats.org/officeDocument/2006/relationships/hyperlink" Target="https://www.sec.gov/ix?doc=/Archives/edgar/data/2001557/000162828025033968/inv-20250630.htm" TargetMode="External"/><Relationship Id="rId69" Type="http://schemas.openxmlformats.org/officeDocument/2006/relationships/hyperlink" Target="https://www.sec.gov/ix?doc=/Archives/edgar/data/2001557/000162828025040919/innv-20250818.htm" TargetMode="External"/><Relationship Id="rId70" Type="http://schemas.openxmlformats.org/officeDocument/2006/relationships/hyperlink" Target="https://www.sec.gov/ix?doc=/Archives/edgar/data/2001557/000200155725000007/innv-20250915.htm" TargetMode="External"/><Relationship Id="rId71" Type="http://schemas.openxmlformats.org/officeDocument/2006/relationships/hyperlink" Target="https://www.sec.gov/ix?doc=/Archives/edgar/data/2001557/000114036125037342/ef20056646_8k.htm" TargetMode="External"/><Relationship Id="rId72" Type="http://schemas.openxmlformats.org/officeDocument/2006/relationships/hyperlink" Target="https://www.sec.gov/ix?doc=/Archives/edgar/data/2001557/000162828025051586/innv-20251112.htm" TargetMode="External"/><Relationship Id="rId73" Type="http://schemas.openxmlformats.org/officeDocument/2006/relationships/hyperlink" Target="https://www.sec.gov/ix?doc=/Archives/edgar/data/2001557/000162828025052929/innv-20251118.htm" TargetMode="External"/><Relationship Id="rId74" Type="http://schemas.openxmlformats.org/officeDocument/2006/relationships/hyperlink" Target="https://www.sec.gov/ix?doc=/Archives/edgar/data/2001557/000200155726000026/innv-20260216.htm" TargetMode="External"/><Relationship Id="rId75" Type="http://schemas.openxmlformats.org/officeDocument/2006/relationships/hyperlink" Target="https://www.sec.gov/ix?doc=/Archives/edgar/data/2001557/000200155726000047/innv-20260303.htm" TargetMode="External"/><Relationship Id="rId76" Type="http://schemas.openxmlformats.org/officeDocument/2006/relationships/hyperlink" Target="https://www.sec.gov/Archives/edgar/data/2001557/000162828025017614/exhibit41to2024description.htm" TargetMode="External"/><Relationship Id="rId81" Type="http://schemas.openxmlformats.org/officeDocument/2006/relationships/hyperlink" Target="https://www.sec.gov/Archives/edgar/data/2001557/000114036124040480/ny20012992x29_s4a.htm#tANNEXA" TargetMode="External"/><Relationship Id="rId82" Type="http://schemas.openxmlformats.org/officeDocument/2006/relationships/hyperlink" Target="https://www.sec.gov/Archives/edgar/data/2001557/000114036124043179/ef20036737_ex3-1.htm" TargetMode="External"/><Relationship Id="rId83" Type="http://schemas.openxmlformats.org/officeDocument/2006/relationships/hyperlink" Target="https://www.sec.gov/Archives/edgar/data/2001557/000114036124043179/ef20036737_ex3-3.htm" TargetMode="External"/><Relationship Id="rId84" Type="http://schemas.openxmlformats.org/officeDocument/2006/relationships/hyperlink" Target="https://www.sec.gov/Archives/edgar/data/2001557/000114036125010165/ef20045914_ex3-1.htm" TargetMode="External"/><Relationship Id="rId85" Type="http://schemas.openxmlformats.org/officeDocument/2006/relationships/hyperlink" Target="https://www.sec.gov/Archives/edgar/data/2001557/000114036124025505/ny20012992x12_ex4-3.htm" TargetMode="External"/><Relationship Id="rId86" Type="http://schemas.openxmlformats.org/officeDocument/2006/relationships/hyperlink" Target="https://www.sec.gov/Archives/edgar/data/2001557/000114036124025505/ny20012992x12_ex4-4.htm" TargetMode="External"/><Relationship Id="rId87" Type="http://schemas.openxmlformats.org/officeDocument/2006/relationships/hyperlink" Target="https://www.sec.gov/Archives/edgar/data/2001557/000114036124025505/ny20012992x12_ex4-5.htm" TargetMode="External"/><Relationship Id="rId88" Type="http://schemas.openxmlformats.org/officeDocument/2006/relationships/hyperlink" Target="https://www.sec.gov/Archives/edgar/data/2001557/000114036124025505/ny20012992x12_ex4-6.htm" TargetMode="External"/><Relationship Id="rId89" Type="http://schemas.openxmlformats.org/officeDocument/2006/relationships/hyperlink" Target="https://www.sec.gov/Archives/edgar/data/2001557/000114036124025505/ny20012992x12_ex4-8.htm" TargetMode="External"/><Relationship Id="rId90" Type="http://schemas.openxmlformats.org/officeDocument/2006/relationships/hyperlink" Target="https://www.sec.gov/Archives/edgar/data/2001557/000114036124044030/ef20037576_ex4-1.htm" TargetMode="External"/><Relationship Id="rId91" Type="http://schemas.openxmlformats.org/officeDocument/2006/relationships/hyperlink" Target="https://www.sec.gov/Archives/edgar/data/2001557/000114036124044030/ef20037576_ex4-2.htm" TargetMode="External"/><Relationship Id="rId92" Type="http://schemas.openxmlformats.org/officeDocument/2006/relationships/hyperlink" Target="https://www.sec.gov/Archives/edgar/data/2001557/000162828025017703/exhibit42-wtifundxllcwar.htm" TargetMode="External"/><Relationship Id="rId93" Type="http://schemas.openxmlformats.org/officeDocument/2006/relationships/hyperlink" Target="https://www.sec.gov/Archives/edgar/data/2001557/000162828025017703/exhibit43-wtifundxillcwa.htm" TargetMode="External"/><Relationship Id="rId94" Type="http://schemas.openxmlformats.org/officeDocument/2006/relationships/hyperlink" Target="https://www.sec.gov/Archives/edgar/data/1847577/000114036121034554/nt10022269x10_ex10-4.htm" TargetMode="External"/><Relationship Id="rId95" Type="http://schemas.openxmlformats.org/officeDocument/2006/relationships/hyperlink" Target="https://www.sec.gov/Archives/edgar/data/2001557/000114036125037342/ef20056646_ex4-1.htm" TargetMode="External"/><Relationship Id="rId96" Type="http://schemas.openxmlformats.org/officeDocument/2006/relationships/hyperlink" Target="https://www.sec.gov/Archives/edgar/data/2001557/000162828025017889/exhibit51-resaleposam.htm" TargetMode="External"/><Relationship Id="rId98" Type="http://schemas.openxmlformats.org/officeDocument/2006/relationships/hyperlink" Target="https://www.sec.gov/Archives/edgar/data/2001557/000162828025017890/exhibit51-sx1.htm" TargetMode="External"/><Relationship Id="rId99" Type="http://schemas.openxmlformats.org/officeDocument/2006/relationships/hyperlink" Target="https://www.sec.gov/Archives/edgar/data/2001557/000114036125039085/ny20057508x1_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2026-03-18T15:58:18Z</dcterms:created>
  <dcterms:modified xsi:type="dcterms:W3CDTF">2026-03-18T15:58:18Z</dcterms:modified>
</cp:coreProperties>
</file>