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20" w:space="720"/>
            <w:col w:w="322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b w:val="1"/>
          <w:bCs w:val="1"/>
          <w:i w:val="1"/>
          <w:iCs w:val="1"/>
          <w:color w:val="auto"/>
        </w:rPr>
        <w:t>see</w:t>
      </w:r>
      <w:r>
        <w:rPr>
          <w:rFonts w:ascii="Times New Roman" w:cs="Times New Roman" w:eastAsia="Times New Roman" w:hAnsi="Times New Roman"/>
          <w:sz w:val="18"/>
          <w:szCs w:val="18"/>
          <w:b w:val="1"/>
          <w:bCs w:val="1"/>
          <w:color w:val="auto"/>
        </w:rPr>
        <w:t xml:space="preserve"> General Instruction A.2. below):</w:t>
      </w:r>
    </w:p>
    <w:p>
      <w:pPr>
        <w:spacing w:after="0" w:line="15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10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5"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Convertible Debentures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25, 2025 (the “Agreement Date”), Innventure, Inc., a Delaware corporation (the “Company”), entered into a securities purchase agreement (the “Purchase Agreement”) with YA II PN, Ltd. (“Yorkville”), in connection with the issuance and sale by the Company of convertible debentures (the “Convertible Debentures”) issuable in an aggregate principal amount of up to $30,000,000 (the “Subscription Amount”), which Convertible Debentures will be convertible into shares of the Company’s common stock, par value $0.0001 per share (the “Common Stock”) (as converted, the “Conversion Shares”). Pursuant to the Purchase Agreement, Yorkville will purchase, and the Company will issue, $20,000,000 in aggregate principal amount of Convertible Debentures on the first business day after certain closing conditions are satisfied (the “First Closing Date”), including the timely filing of its Annual Report on Form 10-K for the year ended December 31, 2024 (the “First Closing”). Yorkville will purchase and the Company will issue an additional $10,000,000 in aggregate principal amount of Convertible Debentures after both (i) the registration statement is filed with the Securities and Exchange Commission (the “SEC”) registering the resale of the Conversion Shares is declared effective by the SEC and (ii) the Company has received stockholder approval either through affirmative votes in the Company’s annual meeting or irrevocable proxies to do the same by a majority of the voting power of the Company (“Stockholder Approval”) of the issuance of Conversion Shares and shares issuable pursuant to the Company’s Standby Equity Purchase Agreement, dated October 24, 2023, with Yorkville in excess of the Exchange Cap (as defined below) (the “Second Closing”). If the First Closing does not occur by April 17, 2025, the parties may terminate their obligations under the Purchase Agreement.</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Convertible Debentures will not bear interest unless an event of default occurs and remains uncured, upon which the Convertible Debentures will bear interest at an annual rate of 18.0%. The Convertible Debentures will mature on the date that is 15 months from the First Closing Date (the “Maturity Date”) and, upon completion of the Second Closing, will result in gross proceeds to the Company of approximately $27,000,000. The Convertible Debentures will be issued at an original issue discount of 10%. The Company will be required to make monthly cash payments of principal in amounts between $1,000,000 and $3,000,000 (as per the schedule set forth in the Convertible Debentures) plus a payment premium of 5% and all accrued and unpaid interest as of the date of such installment. Such payments will commence 30 days following the First Closing and will continue on a monthly basis thereafter until the Convertible Debentures are repaid in full.</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Convertible Debentures are convertible at the option of the holder into Common Stock equal to the applicable Conversion Amount (as defined below) divided by the Conversion Price (as defined below). The conversion price for the Convertible Debentures will initially be $10.00, and will be adjusted on the six-month anniversary of the First Closing Date (the “First Reset Date”) and the nine-month anniversary of the First 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Convertible Debentures may be converted at any time and from time to time, subject to the Exchange Cap (as defined below). The Conversion Amount with respect to any requested conversion will equal the principal amount requested to be converted plus all accrued and unpaid interest on the Convertible Debentures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194" w:lineRule="exact"/>
        <w:rPr>
          <w:sz w:val="20"/>
          <w:szCs w:val="20"/>
          <w:color w:val="auto"/>
        </w:rPr>
      </w:pPr>
    </w:p>
    <w:p>
      <w:pPr>
        <w:ind w:right="420" w:firstLine="648"/>
        <w:spacing w:after="0" w:line="256"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Nasdaq Stock Market (the “Exchange Cap”). The Exchange Cap will not apply under certain circumstances, including if the Company obtains the approval of its stockholders as required by the applicable rules of the Nasdaq Stock Market for issuances of Common Stock in excess of such amount, including the Stockholder Approval, or if the Company obtains a written opinion from outside counsel to the Company that such stockholder approval is not required.</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Convertible Debentures provide the Company, subject to certain conditions, with an optional redemption right pursuant to which the Company, upon 10 trading days’ prior written notice to Yorkville (the “Redemption Notice”), may redeem in cash, in whole or in part, all amounts outstanding under the Convertible Debentures prior to the Maturity Date. The redemption amount shall be equal to the outstanding principal balance being redeemed by the Company, plus the redemption premium of 5% of the principal amount being redeemed if completed on or before the twelve-month anniversary of the issuance date, or 10% of the principal amount being redeemed if completed after the twelve-month anniversary of the issuance date, plus all accrued and unpaid interest as of the date of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Purchase Agreement, prior to the Company loaning, investing, transferring or downstreaming any cash proceeds, or assets or property acquired with cash proceeds from the issuance and sale of the Convertible Debentures to Innventure LLC (“Innventure LLC”), a wholly-owned subsidiary of the Company, Innventure LLC shall be obligated to enter into a global guaranty agreement (the “Guaranty”) in favor of Yorkville with respect to the Company’s obligations under the Purchase Agreement and the Convertible Debentures.</w:t>
      </w:r>
    </w:p>
    <w:p>
      <w:pPr>
        <w:spacing w:after="0" w:line="180"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Guaranty, and the Convertible Debentures do not purport to be complete and are qualified in their entirety by reference to the full text of such documents, which are filed herewith as Exhibits 10.1, 10.2 and 4.1, respectively,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on the First Closing Date, the Company will enter into a registration rights agreement (the “Registration Rights Agreement”) with Yorkville pursuant to which Yorkville will be entitled to certain registration rights under the Securities Act of 1933, as amended (the “Securities Act”). Pursuant to the Registration Rights Agreement, the Company will be required to, on the 15th calendar day following the date the Company files its Annual Report on Form 10-K for the year ended December 31, 2024, file with the SEC (at its sole cost and expense) a registration statement (the “Registration Statement”) registering the resale by Yorkville of all Conversion Shares. Under the Registration Rights Agreement, Yorkville will also be granted demand registration rights and piggyback registration rights under certain conditions as described in the Registration Rights Agreement.</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will agree to use its best reasonable efforts to ensure that the Registration Statement is declared effective by the earlier of the date that is 60 calendar days following the filing of filing such Registration Statement or the fifth business day after the date the Company is notified by the SEC that the Registration Statement will not be reviewed or will not be subject to further review. The Company will also agree that, with respect to any additional registration statements filed pursuant to the Registration Rights Agreement, it will use its reasonable best efforts to ensure that such registration statement is declared effective by the earlier of the date that is 75 calendar days following the date on which the Company was required to file such registration statement and the fifth business day after the date the Company is notified by the SEC that such registration statement will not be reviewed or will not be subject to further review.</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such document, which is filed herewith as Exhibit 10.3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also agreed to issue two warrants to purchase up to an aggregate total of 300,000 shares of Common Stock (the “WTI Warrants”) to WTI Fund X, LLC and WTI Fund XI, LLC (the “WTI Holders”), respectively, as consideration for WTI Fund X, Inc., WTI Fund XI, Inc., WTI Fund X, LLC and WTI Fund XI, LLC (collectively, the “WTI Entities”) entering into a consent with the Company and Innventure LLC, dated March 21, 2025, pursuant to which, among other things, the WTI Entities consented to (i) the Company entering into the Purchase Agreement and the transactions contemplated thereby and (ii) to the Company’s issuance of its Series C Preferred Stock, par value $0.0001 per share, and the payoffs of certain related party loans (each as described in the Company’s Current Report on Form 8-K filed with the SEC on March 25, 2025). Each WTI Warrant will be exercisable into one share of Common Stock at a price of $0.01 per share (subject to certain limitations, adjustment and certain other rights to possible future financings in accordance with terms of the WTI Warrants) through March 31, 2035. The WTI Warrants include customary registration rights and change-of-control adjustments. The WTI Holders will also have the option to purchase up to $1.5 million (in the aggregate) or such amount as is necessary for each of the WTI Holders to maintain its pro rata ownership in certain future financings conducted by the Company, subject to customary exclusions.</w:t>
      </w:r>
    </w:p>
    <w:p>
      <w:pPr>
        <w:spacing w:after="0" w:line="1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WTI Warrants are qualified in their entirety by the terms and conditions of each of the WTI Warrants, the forms of which are filed herewith as Exhibits 4.2 and 4.3, respectively, and are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tab/>
        <w:t>Unregistered Sales of Equity Securities.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 The issuance of the WTI Warrants, the Convertible Debentures and the Conversion Shares will be exempt from registration pursuant to Section 4(a)(2) of the Securities Act. Yorkville represented to the Company that it is an “accredited investor” as defined in Rule 501 of the Securities Act and that each of the Convertible Debentures and the Conversion Shares will be acquired for investment purposes and not with a view to, or for sale in connection with, any distribution thereof. The Company has also agreed to register the sale of the shares of Common Stock underlying the WTI Warrants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Exhibits and Financial Statements</w:t>
            </w:r>
          </w:p>
        </w:tc>
      </w:tr>
      <w:tr>
        <w:trPr>
          <w:trHeight w:val="432"/>
        </w:trPr>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 Exhibits.</w:t>
            </w:r>
          </w:p>
        </w:tc>
        <w:tc>
          <w:tcPr>
            <w:tcW w:w="7780" w:type="dxa"/>
            <w:vAlign w:val="bottom"/>
          </w:tcPr>
          <w:p>
            <w:pPr>
              <w:spacing w:after="0"/>
              <w:rPr>
                <w:sz w:val="24"/>
                <w:szCs w:val="24"/>
                <w:color w:val="auto"/>
              </w:rPr>
            </w:pPr>
          </w:p>
        </w:tc>
      </w:tr>
      <w:tr>
        <w:trPr>
          <w:trHeight w:val="41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78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w:t>
            </w:r>
          </w:p>
        </w:tc>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4.</w:t>
            </w:r>
            <w:r>
              <w:rPr>
                <w:rFonts w:ascii="Times New Roman" w:cs="Times New Roman" w:eastAsia="Times New Roman" w:hAnsi="Times New Roman"/>
                <w:sz w:val="18"/>
                <w:szCs w:val="18"/>
                <w:u w:val="single" w:color="auto"/>
                <w:color w:val="0000EE"/>
                <w:w w:val="96"/>
              </w:rPr>
              <w:t>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Form of Convertible Debenture.</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4.</w:t>
            </w:r>
            <w:r>
              <w:rPr>
                <w:rFonts w:ascii="Times New Roman" w:cs="Times New Roman" w:eastAsia="Times New Roman" w:hAnsi="Times New Roman"/>
                <w:sz w:val="18"/>
                <w:szCs w:val="18"/>
                <w:u w:val="single" w:color="auto"/>
                <w:color w:val="0000EE"/>
                <w:w w:val="96"/>
              </w:rPr>
              <w:t>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Warrant to Acquire Securities of Innventure, Inc., to be issued to WTI Fund X, LLC.</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4.</w:t>
            </w:r>
            <w:r>
              <w:rPr>
                <w:rFonts w:ascii="Times New Roman" w:cs="Times New Roman" w:eastAsia="Times New Roman" w:hAnsi="Times New Roman"/>
                <w:sz w:val="18"/>
                <w:szCs w:val="18"/>
                <w:u w:val="single" w:color="auto"/>
                <w:color w:val="0000EE"/>
                <w:w w:val="96"/>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Warrant to Acquire Securities of Innventure, Inc., to be issued to WTI Fund XI, LLC.</w:t>
            </w:r>
          </w:p>
        </w:tc>
      </w:tr>
      <w:tr>
        <w:trPr>
          <w:trHeight w:val="196"/>
        </w:trPr>
        <w:tc>
          <w:tcPr>
            <w:tcW w:w="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Securities Purchase Agreement, by and between Innventure, Inc. and YA II PN, Ltd., dated March 25, 2025.</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Global Guaranty Agreement, by Innventure, LLC.</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Disclaimers and 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 forward-looking statements are based on the current expectations of the Company’s management and are inherently subject to uncertainties and changes in circumstances and their potential effects and speak only as of the date of this Form 8-K.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including the Company’s most recent Quarterly Report on Form 10-Q, which is available on the Company’s Investor Relations website at www.ir.innventure.com and on the Securities and Exchange Commission website at www.sec.gov. All forward-looking statements reflect the Company’s beliefs and assumptions only as of the date of this Current Report on Form 8-K. The Company undertakes no obligation to update forward-looking statements to reflect future events or circumstances. Capitalized terms shall have the meanings ascribed to such terms in the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60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45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2025</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198"/>
        </w:trPr>
        <w:tc>
          <w:tcPr>
            <w:tcW w:w="3540" w:type="dxa"/>
            <w:vAlign w:val="bottom"/>
          </w:tcPr>
          <w:p>
            <w:pPr>
              <w:spacing w:after="0"/>
              <w:rPr>
                <w:sz w:val="17"/>
                <w:szCs w:val="17"/>
                <w:color w:val="auto"/>
              </w:rPr>
            </w:pPr>
          </w:p>
        </w:tc>
        <w:tc>
          <w:tcPr>
            <w:tcW w:w="276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David Yablunosky</w:t>
            </w:r>
          </w:p>
        </w:tc>
      </w:tr>
      <w:tr>
        <w:trPr>
          <w:trHeight w:val="234"/>
        </w:trPr>
        <w:tc>
          <w:tcPr>
            <w:tcW w:w="3540" w:type="dxa"/>
            <w:vAlign w:val="bottom"/>
          </w:tcPr>
          <w:p>
            <w:pPr>
              <w:spacing w:after="0"/>
              <w:rPr>
                <w:sz w:val="20"/>
                <w:szCs w:val="20"/>
                <w:color w:val="auto"/>
              </w:rPr>
            </w:pP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INTO WHICH THIS SECURITY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Principal Amount: $[20,000,000][10,000,000]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Date: [_________]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INV-[1][2]</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 VALUE RECEIVED, INNVENTURE, INC., </w:t>
      </w:r>
      <w:r>
        <w:rPr>
          <w:rFonts w:ascii="Times New Roman" w:cs="Times New Roman" w:eastAsia="Times New Roman" w:hAnsi="Times New Roman"/>
          <w:sz w:val="18"/>
          <w:szCs w:val="18"/>
          <w:color w:val="auto"/>
        </w:rPr>
        <w:t>a company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promises to pay to the order of YA II PN, LTD.,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Original Principal Amount (or such lesser amount as reduced pursuant to the terms hereof pursuant to repayment,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and the Payment Premium or the Redemption Premium, as applicable, in each case when due,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(as defined below) from the date it commences to accrue pursuant to the terms hereof, until the same becomes due and payable, whether upon the Maturity Date or acceleration, conversion, redemption or otherwise (in each case in accordance with the terms hereof). The Issuance Date (set forth above) is the date of the first issuance of this Convertible Debenture (as amended, amended and restated, extended, supplemented or otherwise modified in writing from time to time, this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regardless of the number of transfers and regardless of the number of instruments, which may be issued to evidence such Debenture. This Debenture was originally issued pursuant to the Securities Purchase Agreement dated as of [____________], 2025,</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between the Company and the Buyers listed on the Schedule of Buyers attached thereto (as it may be amended from time to time, the “</w:t>
      </w:r>
      <w:r>
        <w:rPr>
          <w:rFonts w:ascii="Times New Roman" w:cs="Times New Roman" w:eastAsia="Times New Roman" w:hAnsi="Times New Roman"/>
          <w:sz w:val="18"/>
          <w:szCs w:val="18"/>
          <w:u w:val="single" w:color="auto"/>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Certain capitalized terms used herein are defined in Section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w:t>
      </w:r>
    </w:p>
    <w:p>
      <w:pPr>
        <w:spacing w:after="0" w:line="225" w:lineRule="exact"/>
        <w:rPr>
          <w:rFonts w:ascii="Times New Roman" w:cs="Times New Roman" w:eastAsia="Times New Roman" w:hAnsi="Times New Roman"/>
          <w:sz w:val="18"/>
          <w:szCs w:val="18"/>
          <w:color w:val="auto"/>
        </w:rPr>
      </w:pPr>
    </w:p>
    <w:p>
      <w:pPr>
        <w:jc w:val="both"/>
        <w:ind w:firstLine="1952"/>
        <w:spacing w:after="0" w:line="221" w:lineRule="auto"/>
        <w:tabs>
          <w:tab w:leader="none" w:pos="2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together with the Payment Premium in respect of such Principal amount, and all interest and other amounts owing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[________], 202[__]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as may be extended at the option of the Holder. Other than as specifically permitted by this Debenture, the Company may not prepay or redeem any portion of the outstanding Principal and accrued and unpaid Interest.</w:t>
      </w:r>
    </w:p>
    <w:p>
      <w:pPr>
        <w:spacing w:after="0" w:line="20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0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0%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the occurrence of an Event of Default (for so long as such event remains uncured). Interest shall be calculated based on a 365-day year and the actual number of days elapsed, to the extent permitted by applicable law.</w:t>
      </w:r>
    </w:p>
    <w:p>
      <w:pPr>
        <w:spacing w:after="0" w:line="179" w:lineRule="exact"/>
        <w:rPr>
          <w:rFonts w:ascii="Times New Roman" w:cs="Times New Roman" w:eastAsia="Times New Roman" w:hAnsi="Times New Roman"/>
          <w:sz w:val="18"/>
          <w:szCs w:val="18"/>
          <w:color w:val="auto"/>
        </w:rPr>
      </w:pPr>
    </w:p>
    <w:p>
      <w:pPr>
        <w:jc w:val="both"/>
        <w:ind w:firstLine="1952"/>
        <w:spacing w:after="0" w:line="252" w:lineRule="auto"/>
        <w:tabs>
          <w:tab w:leader="none" w:pos="275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Installment Payments</w:t>
      </w:r>
      <w:r>
        <w:rPr>
          <w:rFonts w:ascii="Times New Roman" w:cs="Times New Roman" w:eastAsia="Times New Roman" w:hAnsi="Times New Roman"/>
          <w:sz w:val="18"/>
          <w:szCs w:val="18"/>
          <w:color w:val="auto"/>
        </w:rPr>
        <w:t>. On or before each date (each, an “</w:t>
      </w:r>
      <w:r>
        <w:rPr>
          <w:rFonts w:ascii="Times New Roman" w:cs="Times New Roman" w:eastAsia="Times New Roman" w:hAnsi="Times New Roman"/>
          <w:sz w:val="18"/>
          <w:szCs w:val="18"/>
          <w:u w:val="single" w:color="auto"/>
          <w:color w:val="auto"/>
        </w:rPr>
        <w:t>Installment Date</w:t>
      </w:r>
      <w:r>
        <w:rPr>
          <w:rFonts w:ascii="Times New Roman" w:cs="Times New Roman" w:eastAsia="Times New Roman" w:hAnsi="Times New Roman"/>
          <w:sz w:val="18"/>
          <w:szCs w:val="18"/>
          <w:color w:val="auto"/>
        </w:rPr>
        <w:t xml:space="preserve">”) set forth on the repayment schedule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Repayment Schedule</w:t>
      </w:r>
      <w:r>
        <w:rPr>
          <w:rFonts w:ascii="Times New Roman" w:cs="Times New Roman" w:eastAsia="Times New Roman" w:hAnsi="Times New Roman"/>
          <w:sz w:val="18"/>
          <w:szCs w:val="18"/>
          <w:color w:val="auto"/>
        </w:rPr>
        <w:t>”), the Company shall repay a portion of the outstanding balance of this Debenture in an amount equal (i) the installment principal amount set forth on the Repayment Schedule as of such Installment Date (or the outstanding Principal if less than such amount (the “</w:t>
      </w:r>
      <w:r>
        <w:rPr>
          <w:rFonts w:ascii="Times New Roman" w:cs="Times New Roman" w:eastAsia="Times New Roman" w:hAnsi="Times New Roman"/>
          <w:sz w:val="18"/>
          <w:szCs w:val="18"/>
          <w:u w:val="single" w:color="auto"/>
          <w:color w:val="auto"/>
        </w:rPr>
        <w:t>Installment Principal Amount</w:t>
      </w:r>
      <w:r>
        <w:rPr>
          <w:rFonts w:ascii="Times New Roman" w:cs="Times New Roman" w:eastAsia="Times New Roman" w:hAnsi="Times New Roman"/>
          <w:sz w:val="18"/>
          <w:szCs w:val="18"/>
          <w:color w:val="auto"/>
        </w:rPr>
        <w:t>”)), plus (ii) the Payment Premium in respect of such Installment Principal Amount, and (iii) accrued and unpaid interest hereunder as of each Installment Date (collectively, the “</w:t>
      </w:r>
      <w:r>
        <w:rPr>
          <w:rFonts w:ascii="Times New Roman" w:cs="Times New Roman" w:eastAsia="Times New Roman" w:hAnsi="Times New Roman"/>
          <w:sz w:val="18"/>
          <w:szCs w:val="18"/>
          <w:u w:val="single" w:color="auto"/>
          <w:color w:val="auto"/>
        </w:rPr>
        <w:t>Installment Amount</w:t>
      </w:r>
      <w:r>
        <w:rPr>
          <w:rFonts w:ascii="Times New Roman" w:cs="Times New Roman" w:eastAsia="Times New Roman" w:hAnsi="Times New Roman"/>
          <w:sz w:val="18"/>
          <w:szCs w:val="18"/>
          <w:color w:val="auto"/>
        </w:rPr>
        <w:t>”). With respect to the payment of any Installment Amount by the Company hereunder, the Company shall, at its own option, repay each Installment Amount either (i) in cash on or before the Installment Date, or (ii) by submitting an Advance Notice (an “</w:t>
      </w:r>
      <w:r>
        <w:rPr>
          <w:rFonts w:ascii="Times New Roman" w:cs="Times New Roman" w:eastAsia="Times New Roman" w:hAnsi="Times New Roman"/>
          <w:sz w:val="18"/>
          <w:szCs w:val="18"/>
          <w:u w:val="single" w:color="auto"/>
          <w:color w:val="auto"/>
        </w:rPr>
        <w:t>Advance Repayment</w:t>
      </w:r>
      <w:r>
        <w:rPr>
          <w:rFonts w:ascii="Times New Roman" w:cs="Times New Roman" w:eastAsia="Times New Roman" w:hAnsi="Times New Roman"/>
          <w:sz w:val="18"/>
          <w:szCs w:val="18"/>
          <w:color w:val="auto"/>
        </w:rPr>
        <w:t>”), or a series of Advance Notices, each with an Advance Date on or before the applicable Installment Date, or any combination of (i) or (ii) as determined by the Company. In respect of any Installment Amount, or portion thereof, to be repaid by the Company in cash, the Company shall pay such Installment Amount to the Holder by wire transfer of immediately available funds in cash on or before such Installment Date. If the Company elects (or is deemed to have elected, as set forth below) an Advance Repayment in accordance with this Section for all or a portion of an Installment Amount, then the Company shall deliver an Advance Notice to the Holder in accordance with the terms and conditions of the SEPA, that will have an Advance Date on or before the applicable Installment Date. Upon the closing of such Advance Notice in accordance with the SEPA, the Holder shall offset the amount due to be paid by the Holder to the Company under the SEPA against an equal amount of the Installment Amount to be paid by the Advance Repayment. If, on the Installment Date any portion of the Installment Amount remains unpaid, the Company shall repay such outstanding Payment Amount as a cash repayment in accordance with this Section.</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so long as this Debenture is outstanding, subject to the provisions of Section 4(j)(iii) of the Securities Purchase Agreement, or unless otherwise agreed by the Holder, if the Company delivers an Advance Notice under the SEPA, the Company shall be deemed to have elected an Advance Repayment in respect of such Advance Notice up to the Installment Amount due on such upcoming Installment Date, or subsequent Installment Dates, until this Debenture is fully repaid. Any conversion of this Debenture made by the Holder shall have the effect of reducing the amount due on any Installment Date</w:t>
      </w:r>
    </w:p>
    <w:p>
      <w:pPr>
        <w:spacing w:after="0" w:line="3" w:lineRule="exact"/>
        <w:rPr>
          <w:sz w:val="20"/>
          <w:szCs w:val="20"/>
          <w:color w:val="auto"/>
        </w:rPr>
      </w:pPr>
    </w:p>
    <w:p>
      <w:pPr>
        <w:ind w:firstLine="8"/>
        <w:spacing w:after="0" w:line="260" w:lineRule="auto"/>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with respect to the amount due on the next Installment Date, and (ii) second, in reverse chronological order, starting with the last Installment Date in time, by the amount of such conversion.</w:t>
      </w:r>
    </w:p>
    <w:p>
      <w:pPr>
        <w:spacing w:after="0" w:line="98"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date 15 months from the First Closing Date (as defined in the SEPA).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1952"/>
        <w:spacing w:after="0"/>
        <w:tabs>
          <w:tab w:leader="none" w:pos="273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provides the Holder with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which Redemption Notice (i) shall be delivered to the Holder after the close of regular trading hours on a Trading Day, and (ii) may only be given if the VWAP of the Common Shares was less than the Conversion Price on the date such Redemption Notice is delivered, unless otherwise agreed by the Holder. Each Redemption Notice shall be irrevocable and shall specify the outstanding balance of the Debenture to be redeemed and the Redemption Amount.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xml:space="preserve">” shall be an amount equal to (a) the outstanding Principal balance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Redemption Premium in respect of such Principal balance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all accrued and unpaid interest hereunder as of the date of such redemption. After receipt of a Redemption Notice, the Holder shall have ten (10) Trading Days (beginning with the Trading Day immediately following the date such Redemption Notice is delivered to the Holder in accordance with this term of this Section 1(d)) to elect to convert all or any portion of this Debenture. On the eleventh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delivery of the applicable Redemption Notice, the Company shall deliver to the Holder the Redemption Amount with respect to the Principal amount redeemed to the extent not converted and otherwise after giving effect to conversions or other payments made during such ten (10) Trading Day period.</w:t>
      </w:r>
    </w:p>
    <w:p>
      <w:pPr>
        <w:spacing w:after="0" w:line="197" w:lineRule="exact"/>
        <w:rPr>
          <w:rFonts w:ascii="Times New Roman" w:cs="Times New Roman" w:eastAsia="Times New Roman" w:hAnsi="Times New Roman"/>
          <w:sz w:val="18"/>
          <w:szCs w:val="18"/>
          <w:color w:val="auto"/>
        </w:rPr>
      </w:pPr>
    </w:p>
    <w:p>
      <w:pPr>
        <w:ind w:firstLine="1952"/>
        <w:spacing w:after="0" w:line="282" w:lineRule="auto"/>
        <w:tabs>
          <w:tab w:leader="none" w:pos="27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this Debenture, the Company shall not have the ability to make any early repayments without the consent of or at the request of the Holder.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Dates</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 shall have occurred:</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1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to the Holder any amount of Principal, Redemption Amount, Payment Premium, Interest, or other amounts when and as due under this Debenture or any other Transaction Document within seven (7) Trading Days after such payment is due;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firstLine="2600"/>
        <w:spacing w:after="0" w:line="254" w:lineRule="auto"/>
        <w:tabs>
          <w:tab w:leader="none" w:pos="3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shall commence, or there shall be commenced against the Company, any proceeding under any applicable bankruptcy or insolvency laws as now or hereafter in effect or any successor thereto, or the Company commences any other proceeding under any reorganization, arrangement, adjustment of debt, relief of debtors, dissolution, insolvency or liquidation or similar law of any jurisdiction whether now or hereafter in effect relating to the Company, in any such bankruptcy, insolvency or other proceeding which remains undismissed for a period of sixty one (61) days; (B) the Company is adjudicated insolvent or bankrupt; (C) any order of relief or other order approving any such case or proceeding is entered; (D) the Company suffers any appointment of any custodian, private or court appointed receiver or the like for it or all or substantially all of its property which continues undischarged or unstayed for a period of sixty one (61) days; (E) the Company makes a general assignment of all or substantially all of its assets for the benefit of creditors; (F) the Company shall fail to pay its debts generally as they become due; or (G) any corporate or other action is taken by the Company for the purpose of effecting any of the foregoing;</w:t>
      </w:r>
    </w:p>
    <w:p>
      <w:pPr>
        <w:spacing w:after="0" w:line="188" w:lineRule="exact"/>
        <w:rPr>
          <w:rFonts w:ascii="Times New Roman" w:cs="Times New Roman" w:eastAsia="Times New Roman" w:hAnsi="Times New Roman"/>
          <w:sz w:val="18"/>
          <w:szCs w:val="18"/>
          <w:color w:val="auto"/>
        </w:rPr>
      </w:pPr>
    </w:p>
    <w:p>
      <w:pPr>
        <w:jc w:val="both"/>
        <w:ind w:firstLine="2600"/>
        <w:spacing w:after="0" w:line="254" w:lineRule="auto"/>
        <w:tabs>
          <w:tab w:leader="none" w:pos="33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default in any of its obligations under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in an amount exceeding $500,000 (other than obligations under this Debenture or any other Transaction Document), whether such indebtedness now exists or shall hereafter be created and such default is not cured within the time prescribed by the documents governing such indebtedness, and as a result, such indebtedness becomes or is declared due and payable; provided, however, in no event shall this provision apply to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by and between the Company and any Subsidiary of the Company with an aggregate outstanding principal amount not exceeding $1,000,000;</w:t>
      </w:r>
    </w:p>
    <w:p>
      <w:pPr>
        <w:spacing w:after="0" w:line="188" w:lineRule="exact"/>
        <w:rPr>
          <w:rFonts w:ascii="Times New Roman" w:cs="Times New Roman" w:eastAsia="Times New Roman" w:hAnsi="Times New Roman"/>
          <w:sz w:val="18"/>
          <w:szCs w:val="18"/>
          <w:color w:val="auto"/>
        </w:rPr>
      </w:pPr>
    </w:p>
    <w:p>
      <w:pPr>
        <w:jc w:val="both"/>
        <w:ind w:firstLine="2600"/>
        <w:spacing w:after="0" w:line="255" w:lineRule="auto"/>
        <w:tabs>
          <w:tab w:leader="none" w:pos="3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singularly or in the aggregate in excess of $500,000 are rendered against the Company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will receive the proceeds of such insurance or indemnity within thirty (30) days of the issuance of such judgment;</w:t>
      </w:r>
    </w:p>
    <w:p>
      <w:pPr>
        <w:spacing w:after="0" w:line="188" w:lineRule="exact"/>
        <w:rPr>
          <w:rFonts w:ascii="Times New Roman" w:cs="Times New Roman" w:eastAsia="Times New Roman" w:hAnsi="Times New Roman"/>
          <w:sz w:val="18"/>
          <w:szCs w:val="18"/>
          <w:color w:val="auto"/>
        </w:rPr>
      </w:pPr>
    </w:p>
    <w:p>
      <w:pPr>
        <w:ind w:right="20" w:firstLine="2600"/>
        <w:spacing w:after="0" w:line="282" w:lineRule="auto"/>
        <w:tabs>
          <w:tab w:leader="none" w:pos="3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shall cease to be quoted or listed for trading, as applicable, on any Principal Market for a period of ten (10) consecutive Trading Days;</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3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a party to any Change of Control Transaction unless in connection with such Change of Control Transaction this Debenture is redeemed or retired;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2600"/>
        <w:spacing w:after="0" w:line="261" w:lineRule="auto"/>
        <w:tabs>
          <w:tab w:leader="none" w:pos="337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deliver the required number of Common Shares to the Holder within three (3) Trading Days after the applicable Share Delivery Date, which failure is not a result of any action or inaction of the Holder, or (B) notice, written or oral, to any holder of the Debenture, including by way of public announcement, at any time, of its intention not to comply with a request for conversion of all or a portion of this Debenture into Common Shares that is tendered in accordance with the provisions of this Debenture;</w:t>
      </w:r>
    </w:p>
    <w:p>
      <w:pPr>
        <w:spacing w:after="0" w:line="179" w:lineRule="exact"/>
        <w:rPr>
          <w:rFonts w:ascii="Times New Roman" w:cs="Times New Roman" w:eastAsia="Times New Roman" w:hAnsi="Times New Roman"/>
          <w:sz w:val="18"/>
          <w:szCs w:val="18"/>
          <w:color w:val="auto"/>
        </w:rPr>
      </w:pPr>
    </w:p>
    <w:p>
      <w:pPr>
        <w:ind w:firstLine="2600"/>
        <w:spacing w:after="0" w:line="282" w:lineRule="auto"/>
        <w:tabs>
          <w:tab w:leader="none" w:pos="33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for any reason to deliver the payment in cash pursuant to a Buy-In (as defined below) within five (5) Business Days after such payment is due;</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timely file with the Commission any Periodic Report in accordance with the laws and regulations of the Commission for the filing thereof on or before the due date of such filing as established by the Commission, it being understood, for the avoidance of doubt, that due date includes any permitted filing deadline extension under Rule 12b-25 under the Exchange Act;</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5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a materiality, such representation or warranty shall prove to have been incorrect) when made or deemed made;</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28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proceeds of the issuance of this Debenture,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 or</w:t>
      </w:r>
    </w:p>
    <w:p>
      <w:pPr>
        <w:spacing w:after="0" w:line="179" w:lineRule="exact"/>
        <w:rPr>
          <w:rFonts w:ascii="Times New Roman" w:cs="Times New Roman" w:eastAsia="Times New Roman" w:hAnsi="Times New Roman"/>
          <w:sz w:val="18"/>
          <w:szCs w:val="18"/>
          <w:color w:val="auto"/>
        </w:rPr>
      </w:pPr>
    </w:p>
    <w:p>
      <w:pPr>
        <w:ind w:firstLine="2600"/>
        <w:spacing w:after="0" w:line="282" w:lineRule="auto"/>
        <w:tabs>
          <w:tab w:leader="none" w:pos="344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with respect to any Other Debentures.</w:t>
      </w:r>
    </w:p>
    <w:p>
      <w:pPr>
        <w:spacing w:after="0" w:line="16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5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time that any portion of this Debenture is outstanding, if any Event of Default has occurred and is continuing (other than an event with respect to the Company described in Section (2)(a)(ii)), the full unpaid Principal amount of this Debenture, together with the Payment Premium(s) in respect of the Principal Amount that was due and payable on the date of the Event of Default, and all interest and other amounts owing in respect of this Debenture to the date of acceleration, shall become, at the Holder’s election given by notice pursuant to Section (6), immediately due and payable in cash; provided that, in the case of any event with respect to the Company described in Section (2)(a)(ii), the full unpaid Principal amount of this Debenture, together with the Payment Premium(s) in respect of the Principal Amount that was due and payable on the date of the Event of Default, and all accrued and unpaid interest and other amounts owing in respect of this Debenture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Debenture in accordance with Section (3) (and subject to the limitations set out in Section (3)(c)(i) and Section (3)(c)(ii)) at any time after an Event of Default has occurred and is continuing until all amounts outstanding under this Debenture have been repaid in full. The Holder need not provide, and the Company hereby waives, any presentment demand, protest or other notice of any kind (other than any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2000" w:hanging="696"/>
        <w:spacing w:after="0"/>
        <w:tabs>
          <w:tab w:leader="none" w:pos="2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DEBENTURE</w:t>
      </w:r>
      <w:r>
        <w:rPr>
          <w:rFonts w:ascii="Times New Roman" w:cs="Times New Roman" w:eastAsia="Times New Roman" w:hAnsi="Times New Roman"/>
          <w:sz w:val="18"/>
          <w:szCs w:val="18"/>
          <w:color w:val="auto"/>
        </w:rPr>
        <w:t>. This Debenture shall be convertible into Common Shares, on the terms and conditions set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this Section (3).</w:t>
      </w:r>
    </w:p>
    <w:p>
      <w:pPr>
        <w:spacing w:after="0" w:line="206"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0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limitations of Section (3)(c), at any time or times on or after the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Common Shares upon any conversion. All calculations under this Section (4) shall be rounded to the nearest $0.0001. If the issuance would result in the issuance of a fraction of a Common Share, the Company shall round such fraction of a Common Share up to the nearest whole share. The Company shall pay any and all transfer, stamp and similar taxes that may be payable with respect to the issuance and delivery of Common Shares upon conversion of any Conversion Amount.</w:t>
      </w:r>
    </w:p>
    <w:p>
      <w:pPr>
        <w:spacing w:after="0" w:line="19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67" w:lineRule="auto"/>
        <w:tabs>
          <w:tab w:leader="none" w:pos="3356" w:val="left"/>
        </w:tabs>
        <w:numPr>
          <w:ilvl w:val="3"/>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 To convert any Conversion Amount into Common Shares on any date (a “</w:t>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17"/>
          <w:szCs w:val="17"/>
          <w:u w:val="single" w:color="auto"/>
          <w:color w:val="auto"/>
        </w:rPr>
        <w:t>Exhibit 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Conversion Notice</w:t>
      </w:r>
      <w:r>
        <w:rPr>
          <w:rFonts w:ascii="Times New Roman" w:cs="Times New Roman" w:eastAsia="Times New Roman" w:hAnsi="Times New Roman"/>
          <w:sz w:val="17"/>
          <w:szCs w:val="17"/>
          <w:color w:val="auto"/>
        </w:rPr>
        <w:t>”) to the Company and (B) if required by Section (3)(b)(iii), surrender this Debenture to a nationally recognized overnight delivery service for delivery to the Company (or an indemnification undertaking reasonably satisfactory to the Company with respect to this Debenture in the case of its loss, theft or destruction). On or before the first (1st) Trading Day following the date of receipt of a Conversion Notice (the “</w:t>
      </w:r>
      <w:r>
        <w:rPr>
          <w:rFonts w:ascii="Times New Roman" w:cs="Times New Roman" w:eastAsia="Times New Roman" w:hAnsi="Times New Roman"/>
          <w:sz w:val="17"/>
          <w:szCs w:val="17"/>
          <w:u w:val="single" w:color="auto"/>
          <w:color w:val="auto"/>
        </w:rPr>
        <w:t>Share Delivery Date</w:t>
      </w:r>
      <w:r>
        <w:rPr>
          <w:rFonts w:ascii="Times New Roman" w:cs="Times New Roman" w:eastAsia="Times New Roman" w:hAnsi="Times New Roman"/>
          <w:sz w:val="17"/>
          <w:szCs w:val="17"/>
          <w:color w:val="auto"/>
        </w:rPr>
        <w:t>”), the Company shall (X) if legends are not required to be placed on certificates or the book-entry position of the Common Shares and provided that the Company’s transfer agent (the “</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is participating in the Depository Trust Company’s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w:t>
      </w:r>
    </w:p>
    <w:p>
      <w:pPr>
        <w:spacing w:after="0" w:line="5" w:lineRule="exact"/>
        <w:rPr>
          <w:rFonts w:ascii="Times New Roman" w:cs="Times New Roman" w:eastAsia="Times New Roman" w:hAnsi="Times New Roman"/>
          <w:sz w:val="17"/>
          <w:szCs w:val="17"/>
          <w:color w:val="auto"/>
        </w:rPr>
      </w:pPr>
    </w:p>
    <w:p>
      <w:pPr>
        <w:jc w:val="both"/>
        <w:ind w:firstLine="8"/>
        <w:spacing w:after="0" w:line="252" w:lineRule="auto"/>
        <w:tabs>
          <w:tab w:leader="none" w:pos="3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not participating in the DTC Fast Automated Securities Transfer Program, issue and deliver to the address as specified in the Conversion Notice, a certificate or book-entry position, registered in the name of the Holder or its designee, for the number of Common Shares to which the Holder shall be entitled.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Common Shares issuable upon a conversion of this Debenture shall be treated for all purposes as the record holder or holders of such Common Shares upon the transmission of a Conversion Notice.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2600"/>
        <w:spacing w:after="0" w:line="254" w:lineRule="auto"/>
        <w:tabs>
          <w:tab w:leader="none" w:pos="333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the Company shall fail, for any reason or for no reason, on or prior to the applicable Share Delivery Date to issue and deliver a certificate to the Holder or credit the Holder’s balance account with DTC for the number of Common Shares to which the Holder is entitled upon such Holder’s conversion of any Conversion Amount (a “</w:t>
      </w:r>
      <w:r>
        <w:rPr>
          <w:rFonts w:ascii="Times New Roman" w:cs="Times New Roman" w:eastAsia="Times New Roman" w:hAnsi="Times New Roman"/>
          <w:sz w:val="18"/>
          <w:szCs w:val="18"/>
          <w:u w:val="single" w:color="auto"/>
          <w:color w:val="auto"/>
        </w:rPr>
        <w:t>Conversion Failure</w:t>
      </w:r>
      <w:r>
        <w:rPr>
          <w:rFonts w:ascii="Times New Roman" w:cs="Times New Roman" w:eastAsia="Times New Roman" w:hAnsi="Times New Roman"/>
          <w:sz w:val="18"/>
          <w:szCs w:val="18"/>
          <w:color w:val="auto"/>
        </w:rPr>
        <w: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within three</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Conversion Notice and pay cash to the Holder in an amount equal to the excess (if any) of the Buy-In Price over the product of (A) such number of Common Shares,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(B) the Closing Price on the Conversion Date.</w:t>
      </w:r>
    </w:p>
    <w:p>
      <w:pPr>
        <w:spacing w:after="0" w:line="189" w:lineRule="exact"/>
        <w:rPr>
          <w:rFonts w:ascii="Times New Roman" w:cs="Times New Roman" w:eastAsia="Times New Roman" w:hAnsi="Times New Roman"/>
          <w:sz w:val="18"/>
          <w:szCs w:val="18"/>
          <w:color w:val="auto"/>
        </w:rPr>
      </w:pPr>
    </w:p>
    <w:p>
      <w:pPr>
        <w:jc w:val="both"/>
        <w:ind w:firstLine="2600"/>
        <w:spacing w:after="0" w:line="256" w:lineRule="auto"/>
        <w:tabs>
          <w:tab w:leader="none" w:pos="347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any conversion.</w:t>
      </w:r>
    </w:p>
    <w:p>
      <w:pPr>
        <w:spacing w:after="0" w:line="187"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2" w:lineRule="auto"/>
        <w:tabs>
          <w:tab w:leader="none" w:pos="3455"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Holder shall not have the right to convert any portion of this Debenture to the extent that after giving effect to such conversion, the Holder, together with any affiliate thereof, would beneficially own (as determined in accordance with Section 13(d) of the Exchange Act and the rules promulgated thereunder) in excess of 4.99% of the number of Common Shares outstanding immediately after giving effect to such conversion. Since the Holder will not be obligated to report to the Company the number of Common Shares it may hold at the time of a conversion hereunder, unless the conversion at issue would result in the issuance of Common Shares in excess of 4.99%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or under the rules and regulations of the Principal Market, the Company shall notify the Holder of this fact and shall honor the conversion for the maximum Principal amount permitted to be converted on such Conversion Date in accordance with Section (3)(a) and, any Principal amount tendered for conversion in excess of the permitted amount hereunder shall remain outstanding under this Debenture. The provisions of this Section may be waived by a Holder (but only as to itself and not to any other Holder) upon not less than 65 days prior notice to the Company. Other Holders shall be unaffected by any such waiver.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3400" w:hanging="800"/>
        <w:spacing w:after="0"/>
        <w:tabs>
          <w:tab w:leader="none" w:pos="34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0" w:hanging="800"/>
        <w:spacing w:after="0"/>
        <w:tabs>
          <w:tab w:leader="none" w:pos="3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under this Section (3) shall be rounded to the nearest $0.0001 or whole share.</w:t>
      </w:r>
    </w:p>
    <w:p>
      <w:pPr>
        <w:spacing w:after="0" w:line="225" w:lineRule="exact"/>
        <w:rPr>
          <w:sz w:val="20"/>
          <w:szCs w:val="20"/>
          <w:color w:val="auto"/>
        </w:rPr>
      </w:pPr>
    </w:p>
    <w:p>
      <w:pPr>
        <w:jc w:val="both"/>
        <w:ind w:firstLine="2600"/>
        <w:spacing w:after="0" w:line="253" w:lineRule="auto"/>
        <w:tabs>
          <w:tab w:leader="none" w:pos="34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this Debenture or any Other Debentures remain outstanding, the Company shall have reserved from its duly authorized share capital, and shall have instructed the Transfer Agent to irrevocably reserve, the maximum number of Common Shares issuable upon conversion of this Debenture and the Other Debentures (assuming for purposes hereof that (x) this Debenture and such Other Debentures are convertible at the Conversion Price as of the date of determination, and (y) any such conversion shall not take into account any limitations on the conversion of the Debenture or Other Debentures set forth herein or therein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Common Shares reserved pursuant to this Section (3)(d)(ii) be reduced other than pursuant to the conversion of this Debenture and the Other Debentures in accordance with their terms, and/or cancellation, or reverse stock split. If at any time while this Debenture or any Other Debentures remain outstanding, the Company does not have a sufficient number of authorized and unreserved Common Shares to satisfy its obligations for the conversion of this Debenture, the Company will promptly take all corporate action necessary to propose to a meeting of its stockholders an increase of its authorized share capital necessary to meet the Company’s obligations pursuant to this Debenture, and cause its board of directors to recommend to the stockholders that they approve such proposal.</w:t>
      </w:r>
    </w:p>
    <w:p>
      <w:pPr>
        <w:spacing w:after="0" w:line="191" w:lineRule="exact"/>
        <w:rPr>
          <w:rFonts w:ascii="Times New Roman" w:cs="Times New Roman" w:eastAsia="Times New Roman" w:hAnsi="Times New Roman"/>
          <w:sz w:val="18"/>
          <w:szCs w:val="18"/>
          <w:color w:val="auto"/>
        </w:rPr>
      </w:pPr>
    </w:p>
    <w:p>
      <w:pPr>
        <w:jc w:val="both"/>
        <w:ind w:firstLine="2600"/>
        <w:spacing w:after="0" w:line="258" w:lineRule="auto"/>
        <w:tabs>
          <w:tab w:leader="none" w:pos="33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2600"/>
        <w:spacing w:after="0" w:line="254" w:lineRule="auto"/>
        <w:tabs>
          <w:tab w:leader="none" w:pos="351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provided that the Holder shall provide to the Company and its counsel certificates and letters of representation, if any, that are reasonably required and customary under the circumstances to effect such legend removal. To the extent a legal opinion is not provided (either timely or at all), then the Company agrees to reimburse the Holder for all reasonable costs incurred by the Holder in connection with any legal opinions paid for by the Holder in connection with the removal of such legends in connection with a sale or transfer of the Underlying Shares. The Holder shall notify the Company of any such costs and expenses it incurs that are referred to in this section from time to time and all amounts owed hereunder shall be paid by the Company with reasonable promptness.</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Common Shares</w:t>
      </w:r>
      <w:r>
        <w:rPr>
          <w:rFonts w:ascii="Times New Roman" w:cs="Times New Roman" w:eastAsia="Times New Roman" w:hAnsi="Times New Roman"/>
          <w:sz w:val="18"/>
          <w:szCs w:val="18"/>
          <w:color w:val="auto"/>
        </w:rPr>
        <w:t>. If the Company, at any time while this Debenture is outstanding, shall (i) pay a stock dividend or otherwise make a distribution or distributions on its Common Shares or any other equity or equity equivalent securities payable in Common Shares, (ii) subdivide outstanding Common Shares into a larger number of shares, (iii) combine (including by way of reverse stock split) outstanding Common Shares into a smaller number of shares, or (iv) issue by reclassification of Common Shares any shares of capital stock of the Company, then the Conversion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 receive such dividend or distribution or, in the case of a subdivision, combination or re-classification, and shall become effective immediately after the effective date of such subdivision, combination or re-classification.</w:t>
      </w:r>
    </w:p>
    <w:p>
      <w:pPr>
        <w:spacing w:after="0" w:line="188"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Common Shares are entitled to receive securities or other assets with respect to or in exchange for Common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Debenture)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Debenture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redemption of this Debenture.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1952"/>
        <w:spacing w:after="0" w:line="266" w:lineRule="auto"/>
        <w:tabs>
          <w:tab w:leader="none" w:pos="273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is adjusted pursuant to the terms hereof, the Company shall promptly provide the Holder with a written notice setting forth the Conversion Price after such adjustment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4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(1) merger or consolidation of the Company with or into another Person, or (2) sale by the Company of substantially all of the assets of the Company in one or a series of related transactions, a Holder shall have the right to convert the aggregate amount of this Debenture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Debenture could have been converted immediately prior to such merger, consolidation or sales would have been entitled.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pacing w:after="0" w:line="19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DEBENTURE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4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(4)(d)),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(4)(d)) to the Holder representing the outstanding Principal not being transferred. The Holder and any assignee, by acceptance of this Debenture, acknowledge and agree that, by reason of the provisions of Section (3)(b)(iii) following conversion or redemption of any portion of this Debenture, the outstanding Principal represented by this Debenture may be less than the Principal stated on the face of this Debenture.</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substance and, in the case of mutilation, upon surrender and cancellation of this Debenture, the Company shall execute and deliver to the Holder a new Debenture (in accordance with Section (4)(d)) representing the outstanding Principal.</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3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(4)(d)) representing in the aggregate the outstanding Principal of this Debenture, and each such new Debenture will represent such portion of such outstanding Principal as is designated by the Holder at the time of such surrender.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1952"/>
        <w:spacing w:after="0" w:line="253" w:lineRule="auto"/>
        <w:tabs>
          <w:tab w:leader="none" w:pos="268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(4)(a) or Section (4)(c),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w:t>
      </w:r>
    </w:p>
    <w:p>
      <w:pPr>
        <w:spacing w:after="0" w:line="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accrued and unpaid Interest from the Issuance Date.</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each case of the foregoing clauses (i), (ii) and (iii), properly addressed to the party to receive the same. The addresses and e-mail addresses for such communications shall be: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 to:</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INNVENTURE, INC.</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6900 Tavistock Lakes Blvd, Suite 400</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Orlando, FL 32827</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Telephone: (610) 996-1767</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Attention: Suzanne Niemeyer, General Counsel</w:t>
            </w:r>
          </w:p>
        </w:tc>
      </w:tr>
      <w:tr>
        <w:trPr>
          <w:trHeight w:val="194"/>
        </w:trPr>
        <w:tc>
          <w:tcPr>
            <w:tcW w:w="3060" w:type="dxa"/>
            <w:vAlign w:val="bottom"/>
          </w:tcPr>
          <w:p>
            <w:pPr>
              <w:spacing w:after="0"/>
              <w:rPr>
                <w:sz w:val="16"/>
                <w:szCs w:val="16"/>
                <w:color w:val="auto"/>
              </w:rPr>
            </w:pPr>
          </w:p>
        </w:tc>
        <w:tc>
          <w:tcPr>
            <w:tcW w:w="8180" w:type="dxa"/>
            <w:vAlign w:val="bottom"/>
            <w:gridSpan w:val="3"/>
          </w:tcPr>
          <w:p>
            <w:pPr>
              <w:ind w:left="1000"/>
              <w:spacing w:after="0" w:line="194" w:lineRule="exact"/>
              <w:rPr>
                <w:sz w:val="20"/>
                <w:szCs w:val="20"/>
                <w:color w:val="auto"/>
              </w:rPr>
            </w:pPr>
            <w:r>
              <w:rPr>
                <w:rFonts w:ascii="Times New Roman" w:cs="Times New Roman" w:eastAsia="Times New Roman" w:hAnsi="Times New Roman"/>
                <w:sz w:val="18"/>
                <w:szCs w:val="18"/>
                <w:color w:val="auto"/>
              </w:rPr>
              <w:t>E-Mail: legalnotices@innventure.com</w:t>
            </w:r>
          </w:p>
        </w:tc>
      </w:tr>
      <w:tr>
        <w:trPr>
          <w:trHeight w:val="20"/>
        </w:trPr>
        <w:tc>
          <w:tcPr>
            <w:tcW w:w="3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Jones Day</w:t>
            </w:r>
          </w:p>
        </w:tc>
      </w:tr>
      <w:tr>
        <w:trPr>
          <w:trHeight w:val="216"/>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constitute notice) to:</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1221 Peachtree Street, N.E., Suite 400</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Atlanta, GA 30361</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Telephone: (404) 581-8967</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Attention: Joel T. May, Esq.</w:t>
            </w:r>
          </w:p>
        </w:tc>
      </w:tr>
      <w:tr>
        <w:trPr>
          <w:trHeight w:val="234"/>
        </w:trPr>
        <w:tc>
          <w:tcPr>
            <w:tcW w:w="3060" w:type="dxa"/>
            <w:vAlign w:val="bottom"/>
          </w:tcPr>
          <w:p>
            <w:pPr>
              <w:spacing w:after="0"/>
              <w:rPr>
                <w:sz w:val="20"/>
                <w:szCs w:val="20"/>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E-Mail: jtmay@jonesday.com</w:t>
            </w: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YA II PN, Ltd</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c/o Yorkville Advisors Global, LLC</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Attention: Mark Angelo</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Telephone: 201-985-8300</w:t>
            </w:r>
          </w:p>
        </w:tc>
      </w:tr>
      <w:tr>
        <w:trPr>
          <w:trHeight w:val="234"/>
        </w:trPr>
        <w:tc>
          <w:tcPr>
            <w:tcW w:w="3060" w:type="dxa"/>
            <w:vAlign w:val="bottom"/>
          </w:tcPr>
          <w:p>
            <w:pPr>
              <w:spacing w:after="0"/>
              <w:rPr>
                <w:sz w:val="20"/>
                <w:szCs w:val="20"/>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Email: Legal@yorkvilleadvisors.com</w:t>
            </w:r>
          </w:p>
        </w:tc>
      </w:tr>
      <w:tr>
        <w:trPr>
          <w:trHeight w:val="557"/>
        </w:trPr>
        <w:tc>
          <w:tcPr>
            <w:tcW w:w="3060" w:type="dxa"/>
            <w:vAlign w:val="bottom"/>
          </w:tcPr>
          <w:p>
            <w:pPr>
              <w:spacing w:after="0"/>
              <w:rPr>
                <w:sz w:val="24"/>
                <w:szCs w:val="24"/>
                <w:color w:val="auto"/>
              </w:rPr>
            </w:pPr>
          </w:p>
        </w:tc>
        <w:tc>
          <w:tcPr>
            <w:tcW w:w="3760" w:type="dxa"/>
            <w:vAlign w:val="bottom"/>
            <w:gridSpan w:val="2"/>
          </w:tcPr>
          <w:p>
            <w:pPr>
              <w:ind w:left="2500"/>
              <w:spacing w:after="0"/>
              <w:rPr>
                <w:sz w:val="20"/>
                <w:szCs w:val="20"/>
                <w:color w:val="auto"/>
              </w:rPr>
            </w:pPr>
            <w:r>
              <w:rPr>
                <w:rFonts w:ascii="Times New Roman" w:cs="Times New Roman" w:eastAsia="Times New Roman" w:hAnsi="Times New Roman"/>
                <w:sz w:val="14"/>
                <w:szCs w:val="14"/>
                <w:color w:val="auto"/>
              </w:rPr>
              <w:t>11</w:t>
            </w:r>
          </w:p>
        </w:tc>
        <w:tc>
          <w:tcPr>
            <w:tcW w:w="4420" w:type="dxa"/>
            <w:vAlign w:val="bottom"/>
          </w:tcPr>
          <w:p>
            <w:pPr>
              <w:spacing w:after="0"/>
              <w:rPr>
                <w:sz w:val="24"/>
                <w:szCs w:val="24"/>
                <w:color w:val="auto"/>
              </w:rPr>
            </w:pPr>
          </w:p>
        </w:tc>
      </w:tr>
      <w:tr>
        <w:trPr>
          <w:trHeight w:val="44"/>
        </w:trPr>
        <w:tc>
          <w:tcPr>
            <w:tcW w:w="30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 nationally recognized overnight delivery service, shall be rebuttable evidence of personal service, receipt from a nationally recognized overnight delivery service or receipt by e-mail in accordance with clause (i), (ii) or (iii) above, respectively.</w:t>
      </w:r>
    </w:p>
    <w:p>
      <w:pPr>
        <w:spacing w:after="0" w:line="187" w:lineRule="exact"/>
        <w:rPr>
          <w:sz w:val="20"/>
          <w:szCs w:val="20"/>
          <w:color w:val="auto"/>
        </w:rPr>
      </w:pPr>
    </w:p>
    <w:p>
      <w:pPr>
        <w:jc w:val="both"/>
        <w:ind w:firstLine="1304"/>
        <w:spacing w:after="0" w:line="256" w:lineRule="auto"/>
        <w:tabs>
          <w:tab w:leader="none" w:pos="19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no provision of this Debenture shall alter or impair the obligations of the Company, which are absolute and unconditional, to pay the Principal of, Interest and other charges (if any) on, this Debenture at the time, place, and rate, and in the currency, herein prescribed. This Debenture is a direct obligation of the Company. As long as this Debenture is outstanding, the Company shall not and shall cause each of its subsidiaries not to, without the consent of the Holder, enter into any agreement, arrangement or transaction in or of which the terms thereof would restrict, materially delay, conflict with or impair the ability of the Company to perform its obligations under the this Debenture, including, without limitation, the obligation of the Company to make cash payments hereunder.</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 WAIVER OF JURY TRIAL</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Debenture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18"/>
          <w:szCs w:val="18"/>
          <w:u w:val="single" w:color="auto"/>
          <w:color w:val="auto"/>
        </w:rPr>
        <w:t>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(including Section 5-1401 and Section 5-1402 of the General Obligations Law of the State of New York), including all matters of construction, validity and performance.</w:t>
      </w:r>
    </w:p>
    <w:p>
      <w:pPr>
        <w:spacing w:after="0" w:line="179"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Venue; Service.</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68"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6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venue shall be proper in any court of the Governing Jurisdiction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2600"/>
        <w:spacing w:after="0" w:line="252" w:lineRule="auto"/>
        <w:tabs>
          <w:tab w:leader="none" w:pos="333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claim, action, litigation or proceeding of any kind or description, whether in law or equity, whether in contract or tort or otherwise, brought by the Company against the Holder arising out of or based upon this Debenture or any matter relating to this Debenture,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Debenture or any matter relating to this Debenture,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193"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4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thirty (30) days after the date of such e-mail or mailing, as applicable.</w:t>
      </w:r>
    </w:p>
    <w:p>
      <w:pPr>
        <w:spacing w:after="0" w:line="179" w:lineRule="exact"/>
        <w:rPr>
          <w:rFonts w:ascii="Times New Roman" w:cs="Times New Roman" w:eastAsia="Times New Roman" w:hAnsi="Times New Roman"/>
          <w:sz w:val="18"/>
          <w:szCs w:val="18"/>
          <w:color w:val="auto"/>
        </w:rPr>
      </w:pPr>
    </w:p>
    <w:p>
      <w:pPr>
        <w:jc w:val="both"/>
        <w:ind w:firstLine="2600"/>
        <w:spacing w:after="0" w:line="282" w:lineRule="auto"/>
        <w:tabs>
          <w:tab w:leader="none" w:pos="342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MUTUALLY WAIVE ALL RIGHT TO TRIAL BY JURY OF ALL CLAIMS OF ANY KIND ARISING OUT OF OR BASED UPON THIS DEBENTURE OR ANY MATTER RELATING TO THIS DEBENTURE,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1304"/>
        <w:spacing w:after="0" w:line="258" w:lineRule="auto"/>
        <w:tabs>
          <w:tab w:leader="none" w:pos="18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strictly comply with the terms of this Debenture, then the Company shall reimburse the Holder promptly for all fees, costs and expenses, including, without limitation, attorneys’ fees and expenses incurred by the Holder in any action in connection with this Debenture,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Date</w:t>
      </w:r>
      <w:r>
        <w:rPr>
          <w:rFonts w:ascii="Times New Roman" w:cs="Times New Roman" w:eastAsia="Times New Roman" w:hAnsi="Times New Roman"/>
          <w:sz w:val="18"/>
          <w:szCs w:val="18"/>
          <w:color w:val="auto"/>
        </w:rPr>
        <w:t>” shall have the meaning set forth in the SEPA.</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shall have the meaning set forth in the SEPA.</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Repayment</w:t>
      </w:r>
      <w:r>
        <w:rPr>
          <w:rFonts w:ascii="Times New Roman" w:cs="Times New Roman" w:eastAsia="Times New Roman" w:hAnsi="Times New Roman"/>
          <w:sz w:val="18"/>
          <w:szCs w:val="18"/>
          <w:color w:val="auto"/>
        </w:rPr>
        <w:t>” shall have the meaning set forth in Section (1)(c).</w:t>
      </w:r>
    </w:p>
    <w:p>
      <w:pPr>
        <w:spacing w:after="0" w:line="225" w:lineRule="exact"/>
        <w:rPr>
          <w:sz w:val="20"/>
          <w:szCs w:val="20"/>
          <w:color w:val="auto"/>
        </w:rPr>
      </w:pPr>
    </w:p>
    <w:p>
      <w:pPr>
        <w:jc w:val="both"/>
        <w:ind w:firstLine="1952"/>
        <w:spacing w:after="0" w:line="266" w:lineRule="auto"/>
        <w:tabs>
          <w:tab w:leader="none" w:pos="27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Stock Plan</w:t>
      </w:r>
      <w:r>
        <w:rPr>
          <w:rFonts w:ascii="Times New Roman" w:cs="Times New Roman" w:eastAsia="Times New Roman" w:hAnsi="Times New Roman"/>
          <w:sz w:val="18"/>
          <w:szCs w:val="18"/>
          <w:color w:val="auto"/>
        </w:rPr>
        <w:t>” means any employee benefit plan or share incentive plan which has been approved by the Board of Directors of the Company, pursuant to which the Company’s securities may be issued to any employee, officer or director for services provided to the Company.</w:t>
      </w:r>
    </w:p>
    <w:p>
      <w:pPr>
        <w:spacing w:after="0" w:line="17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 (or if not available, a similar service provider of national recognized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74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in the State of New York are authorized or required by law or other government action to close.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2660" w:hanging="708"/>
        <w:spacing w:after="0"/>
        <w:tabs>
          <w:tab w:leader="none" w:pos="2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shall have the meaning set forth in Section (3)(b)(ii).</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shall have the meaning set forth in Section (3)(b)(ii).</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the closing of any privatization (i.e., a take-private transaction), (c)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(d) the closing of any sale, lease, license, transfer or other disposition or sale of all or substantially all of the assets of the Company in one or a series of related transactions, or (e) the execution by the Company of an agreement to which the Company is a party or by which it is bound, providing for any of the events set forth above in (a) or (b). No transfer to a wholly-owned Subsidiary shall be deemed a Change of Control Transaction under this provision.</w:t>
      </w:r>
    </w:p>
    <w:p>
      <w:pPr>
        <w:spacing w:after="0" w:line="194" w:lineRule="exact"/>
        <w:rPr>
          <w:rFonts w:ascii="Times New Roman" w:cs="Times New Roman" w:eastAsia="Times New Roman" w:hAnsi="Times New Roman"/>
          <w:sz w:val="18"/>
          <w:szCs w:val="18"/>
          <w:color w:val="auto"/>
        </w:rPr>
      </w:pPr>
    </w:p>
    <w:p>
      <w:pPr>
        <w:ind w:firstLine="1952"/>
        <w:spacing w:after="0" w:line="282" w:lineRule="auto"/>
        <w:tabs>
          <w:tab w:leader="none" w:pos="26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Common Shares on a Principal Market or on the exchange which the Common Shares is then listed as quoted by Bloomberg.</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9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the shares of common stock, par value $0.0001, of the Company and stock of any other class into which such shares may hereafter be changed or reclassified.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6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Interest, or other amounts outstanding under this Note to be converted, redeemed or otherwise with respect to which this determination is being made.</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set forth in Section (3)(b)(i).</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Failure</w:t>
      </w:r>
      <w:r>
        <w:rPr>
          <w:rFonts w:ascii="Times New Roman" w:cs="Times New Roman" w:eastAsia="Times New Roman" w:hAnsi="Times New Roman"/>
          <w:sz w:val="18"/>
          <w:szCs w:val="18"/>
          <w:color w:val="auto"/>
        </w:rPr>
        <w:t>” shall have the meaning set forth in Section (3)(b)(ii).</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shall have the meaning set forth in Section (3)(b)(i).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firstLine="1952"/>
        <w:spacing w:after="0" w:line="226" w:lineRule="auto"/>
        <w:tabs>
          <w:tab w:leader="none" w:pos="27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xml:space="preserve">” means, as of any Conversion Date or other date of determination, $10.00 per Common Share,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on each of [____]</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First Reset Date</w:t>
      </w:r>
      <w:r>
        <w:rPr>
          <w:rFonts w:ascii="Times New Roman" w:cs="Times New Roman" w:eastAsia="Times New Roman" w:hAnsi="Times New Roman"/>
          <w:sz w:val="18"/>
          <w:szCs w:val="18"/>
          <w:color w:val="auto"/>
        </w:rPr>
        <w:t>”) and [____]</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Second Reset Date</w:t>
      </w:r>
      <w:r>
        <w:rPr>
          <w:rFonts w:ascii="Times New Roman" w:cs="Times New Roman" w:eastAsia="Times New Roman" w:hAnsi="Times New Roman"/>
          <w:sz w:val="18"/>
          <w:szCs w:val="18"/>
          <w:color w:val="auto"/>
        </w:rPr>
        <w:t>” and collectively, a “</w:t>
      </w:r>
      <w:r>
        <w:rPr>
          <w:rFonts w:ascii="Times New Roman" w:cs="Times New Roman" w:eastAsia="Times New Roman" w:hAnsi="Times New Roman"/>
          <w:sz w:val="18"/>
          <w:szCs w:val="18"/>
          <w:u w:val="single" w:color="auto"/>
          <w:color w:val="auto"/>
        </w:rPr>
        <w:t>Reset Date</w:t>
      </w:r>
      <w:r>
        <w:rPr>
          <w:rFonts w:ascii="Times New Roman" w:cs="Times New Roman" w:eastAsia="Times New Roman" w:hAnsi="Times New Roman"/>
          <w:sz w:val="18"/>
          <w:szCs w:val="18"/>
          <w:color w:val="auto"/>
        </w:rPr>
        <w:t>”) the Conversion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adjusted (downwards only) to equal the lower of the Conversion Price then in effect or the average VWAP for the ten (10) Trading Days immediately prior to the applicable Reset Date. The Conversion Price shall be adjusted from time to time pursuant to the other terms and conditions of this Note.</w:t>
      </w:r>
    </w:p>
    <w:p>
      <w:pPr>
        <w:spacing w:after="0" w:line="202"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all of their shares for other securities, cash or property, or (4) the Company effects any reclassification of the Common Shares or any compulsory share exchange pursuant to which the Common Shares is effectively converted into or exchanged for other securities, cash or property.</w:t>
      </w:r>
    </w:p>
    <w:p>
      <w:pPr>
        <w:spacing w:after="0" w:line="188"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Amount</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Date</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Principal Amount</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shall have the meaning set forth in (1)(d).</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any other debentures issued pursuant to the Securities Purchase Agreement and any other debentures, notes, or other instruments issued in exchange, replacement, or modification of the foregoing.</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Premium</w:t>
      </w:r>
      <w:r>
        <w:rPr>
          <w:rFonts w:ascii="Times New Roman" w:cs="Times New Roman" w:eastAsia="Times New Roman" w:hAnsi="Times New Roman"/>
          <w:sz w:val="18"/>
          <w:szCs w:val="18"/>
          <w:color w:val="auto"/>
        </w:rPr>
        <w:t>” means 5% of the Principal Amount being paid.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Report</w:t>
      </w:r>
      <w:r>
        <w:rPr>
          <w:rFonts w:ascii="Times New Roman" w:cs="Times New Roman" w:eastAsia="Times New Roman" w:hAnsi="Times New Roman"/>
          <w:sz w:val="18"/>
          <w:szCs w:val="18"/>
          <w:color w:val="auto"/>
        </w:rPr>
        <w:t>” shall mean each of the Company’s reports required to be filed by the Company with the Commission under applicable laws and regulations (including, without limitation, Regulation S-K), including annual reports (on Form 10-K) and quarterly reports (on Form 10-Q), for so long as any amounts are outstanding under this Debenture.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783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ind w:left="120" w:hanging="112"/>
        <w:spacing w:after="0"/>
        <w:tabs>
          <w:tab w:leader="none" w:pos="12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6-month anniversary of the First Closing Date.</w:t>
      </w:r>
    </w:p>
    <w:p>
      <w:pPr>
        <w:spacing w:after="0" w:line="87"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9-month anniversary of the First Closing Date.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firstLine="1952"/>
        <w:spacing w:after="0" w:line="282" w:lineRule="auto"/>
        <w:tabs>
          <w:tab w:leader="none" w:pos="26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Nasdaq Stock Market; provided however, that in the event the Company’s Common Shares are ever listed or traded on any of the New York Stock Exchange, the NYSE American, or any such successor thereto, the “Principal Market” shall mean that market on which the Common Shares are then listed or traded.</w:t>
      </w:r>
    </w:p>
    <w:p>
      <w:pPr>
        <w:spacing w:after="0" w:line="176" w:lineRule="exact"/>
        <w:rPr>
          <w:sz w:val="20"/>
          <w:szCs w:val="20"/>
          <w:color w:val="auto"/>
        </w:rPr>
      </w:pPr>
    </w:p>
    <w:p>
      <w:pPr>
        <w:ind w:left="2680" w:hanging="728"/>
        <w:spacing w:after="0"/>
        <w:tabs>
          <w:tab w:leader="none" w:pos="2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have the meaning set forth in Section (1)(d).</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shall have the meaning set forth in Section (1)(d).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 in respect of an Optional Redemption completed on or before the twelve-month anniversary of the Issuance Date, 5% of the Principal Amount being paid, and in respect of an Optional Redemption completed after the twelve-month anniversary of the Issuance Dat, 10% of the Principal Amount being paid.</w:t>
      </w:r>
    </w:p>
    <w:p>
      <w:pPr>
        <w:spacing w:after="0" w:line="17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covering among other things the resale of the Underlying Shares and naming the Holder as a “selling stockholder” thereunder.</w:t>
      </w:r>
    </w:p>
    <w:p>
      <w:pPr>
        <w:spacing w:after="0" w:line="161"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w:t>
      </w:r>
      <w:r>
        <w:rPr>
          <w:rFonts w:ascii="Times New Roman" w:cs="Times New Roman" w:eastAsia="Times New Roman" w:hAnsi="Times New Roman"/>
          <w:sz w:val="18"/>
          <w:szCs w:val="18"/>
          <w:color w:val="auto"/>
        </w:rPr>
        <w:t>” means the Standby Equity Distribution Agreement entered into between the Company and the Holder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24, 2023.</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shall have the meaning set forth in Section (3)(b)(i).</w:t>
      </w:r>
    </w:p>
    <w:p>
      <w:pPr>
        <w:spacing w:after="0" w:line="22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4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firstLine="1952"/>
        <w:spacing w:after="0" w:line="266" w:lineRule="auto"/>
        <w:tabs>
          <w:tab w:leader="none" w:pos="27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Shares are quoted or traded on a Principal Market on which the Common Shares are then quoted or listed; provided, that in the event that the Common Shares are not listed or quoted, then Trading Day shall mean a Business Day.</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Common Shares issuable upon conversion of this Debenture in accordance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hereof.</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5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Trading Day, the daily volume weighted average price of the Common Shares for such Trading Day on the Principal Market during regular trading hours as reported by Bloomberg L.P.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Convertible Debenture to be duly executed by a duly authorized officer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above.</w:t>
      </w:r>
    </w:p>
    <w:p>
      <w:pPr>
        <w:spacing w:after="0" w:line="15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-127635</wp:posOffset>
            </wp:positionV>
            <wp:extent cx="3377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77565" cy="17145"/>
                    </a:xfrm>
                    <a:prstGeom prst="rect">
                      <a:avLst/>
                    </a:prstGeom>
                    <a:noFill/>
                  </pic:spPr>
                </pic:pic>
              </a:graphicData>
            </a:graphic>
          </wp:anchor>
        </w:drawing>
      </w:r>
    </w:p>
    <w:p>
      <w:pPr>
        <w:spacing w:after="0" w:line="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REPAYMENT SCHEDULE FOR THE FIRST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5" w:name="page26"/>
    <w:bookmarkEnd w:id="25"/>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REPAYMENT SCHEDULE FOR THE SECOND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INNVENTURE,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w:t>
      </w:r>
      <w:r>
        <w:rPr>
          <w:rFonts w:ascii="Times New Roman" w:cs="Times New Roman" w:eastAsia="Times New Roman" w:hAnsi="Times New Roman"/>
          <w:sz w:val="18"/>
          <w:szCs w:val="18"/>
          <w:u w:val="single" w:color="auto"/>
          <w:color w:val="auto"/>
        </w:rPr>
        <w:t>INV-[1][2]</w:t>
      </w:r>
      <w:r>
        <w:rPr>
          <w:rFonts w:ascii="Times New Roman" w:cs="Times New Roman" w:eastAsia="Times New Roman" w:hAnsi="Times New Roman"/>
          <w:sz w:val="18"/>
          <w:szCs w:val="18"/>
          <w:color w:val="auto"/>
        </w:rPr>
        <w:t xml:space="preserve"> into Common Shares of </w:t>
      </w:r>
      <w:r>
        <w:rPr>
          <w:rFonts w:ascii="Times New Roman" w:cs="Times New Roman" w:eastAsia="Times New Roman" w:hAnsi="Times New Roman"/>
          <w:sz w:val="18"/>
          <w:szCs w:val="18"/>
          <w:b w:val="1"/>
          <w:bCs w:val="1"/>
          <w:color w:val="auto"/>
        </w:rPr>
        <w:t>INNVENTURE, INC.</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Interest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Conversion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Common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Common Shares in the following name and deliver them to the following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28575</wp:posOffset>
            </wp:positionV>
            <wp:extent cx="470598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28575</wp:posOffset>
            </wp:positionV>
            <wp:extent cx="470598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28575</wp:posOffset>
            </wp:positionV>
            <wp:extent cx="470598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059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ACQUIRE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certifies that WTI Fund X, LLC, a Delaware limited liability company, or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upon the terms and subject to the limitations on exercise and the conditions hereinafter set forth, to acquire from INNVENTURE, INC., a Delaware corporation formerly known as Learn SPAC Holdco,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at Holder’s option, either (i) the common stock of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(ii) any Subsequent Round Stock (hereinafter defined) of Company (the Common Stock and the Subsequent Round Stock, as applicable, are sometimes referred to herein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for cash, at a purchase price equal to $0.01 per share (the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Holder may also exercise this Warrant on a cashless or “net issuance” basis as described in Section 1(b) below. Capitalized terms used herein and not otherwise defined in this Warrant shall have the meaning(s) ascribed to them in the Loan and Security Agreement, dated as of October 22, 2024, by and between Company, WTI Fund X, Inc. and WTI Fund XI, Inc.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Warrant Stock acquirable hereunder obtained by dividing (A) $2,250,000 (the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by (B) the Exercise Price (hereinafter defined). If in any case the Applicable Number includes a fraction then the fraction shall be rounded down to the closest integral number.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means: (i) if Holder chooses for this Warrant to be exercisable for Common Stock, the VWAP (hereinafter defined) of the Company’s Common Stock over the thirty (30) Trading Days (hereinafter defined) ending on the Trading Day immediately preceeding the date of this Warrant (the “Initial Exercise Price”);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as of the date which is eighteen (18) months after the date of this Warrant, the VWAP of Company’s Common Stock over the five (5) Trading Days ending on the Trading Day immediately preceding such eighteen (18) month anniversary is less than the Initial Exercise Price then the Exercise Price shall be reduced to such lower VWAP; or (ii) if Holder chooses for this Warrant to be exercisable for Subsequent Round Stock, the corresponding Subsequent Round Price (hereinafter defined).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Company’s Common Stock for a specified period, the dollar volume-weighted average price for such Common Stock on the Principal Market (hereinafter defined), for such period, as reported by Bloomberg through its “AQR” function, subject to appropriate adjustments for any stock dividend, stock split, stock combination, recapitalization or other similar transaction during such period.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Principal Market is open for trading (regular way), including any day on which it is open for trading (regular way) for a period of time less than the customary time.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principal national securities exchange on which Company’s Common Stock is then listed or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Round Price</w:t>
      </w:r>
      <w:r>
        <w:rPr>
          <w:rFonts w:ascii="Times New Roman" w:cs="Times New Roman" w:eastAsia="Times New Roman" w:hAnsi="Times New Roman"/>
          <w:sz w:val="18"/>
          <w:szCs w:val="18"/>
          <w:color w:val="auto"/>
        </w:rPr>
        <w:t>” means the lowest price per share paid by any Person for Company’s equity securities (as applicable,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Round Stock</w:t>
      </w:r>
      <w:r>
        <w:rPr>
          <w:rFonts w:ascii="Times New Roman" w:cs="Times New Roman" w:eastAsia="Times New Roman" w:hAnsi="Times New Roman"/>
          <w:sz w:val="18"/>
          <w:szCs w:val="18"/>
          <w:color w:val="auto"/>
        </w:rPr>
        <w:t>”) issued in a corresponding Subsequent Round (hereinafter defined), including for this purpose the value of all consideration given by any Person for such equity securities and specifically including any discounts afforded to any Person upon conversion of any convertible security (e.g., a promissory note or a “simple agreement for future equity” (i.e., a SAFE)) held by any such Person in connection with the corresponding Subsequent Round or otherwise. “</w:t>
      </w:r>
      <w:r>
        <w:rPr>
          <w:rFonts w:ascii="Times New Roman" w:cs="Times New Roman" w:eastAsia="Times New Roman" w:hAnsi="Times New Roman"/>
          <w:sz w:val="18"/>
          <w:szCs w:val="18"/>
          <w:u w:val="single" w:color="auto"/>
          <w:color w:val="auto"/>
        </w:rPr>
        <w:t>Subsequent Round</w:t>
      </w:r>
      <w:r>
        <w:rPr>
          <w:rFonts w:ascii="Times New Roman" w:cs="Times New Roman" w:eastAsia="Times New Roman" w:hAnsi="Times New Roman"/>
          <w:sz w:val="18"/>
          <w:szCs w:val="18"/>
          <w:color w:val="auto"/>
        </w:rPr>
        <w:t>” means each and every round of equity financing after the date hereof where either (x) Company receives gross cash proceeds of at least $10,000,000 in a single transaction or series of related transactions, (y) there are punitive terms (e.g., a round of financing that effectuates a recapitalization of Company) or (z) the securities Company sells or issues have a liquidation preference, and in each case, includes (and Holder shall be entitled to receive (as calculated in relation to the Coverage Amount)) any options, warrants, or other convertible securities or similar consideration, if any, issued or delivered to any Person in connection with such Person’s acquisition of the corresponding Subsequent Round Stock. For the avoidance of doubt, Holder’s option to have this Warrant be exercisable for Subsequent Round Stock shall be a continuing option as to each and every Subsequent Round, provided that such option shall apply to the entire Warrant. Company and Holder acknowledge and agree that a Subsequent Round could include additional issuances of shares of Company’s Common Stock to investors primarily for the purpose of raising capital.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paragraphs, if prior to a corresponding Subsequent Round Company consummates a Bridge Financing (hereinafter defined) then Holder may elect to surrender this Warrant to Company at any time prior to the occurrence of a Trigger Event (hereinafter defined) and receive in exchange therefor (in lieu of all rights to purchase shares of either Common Stock or Subsequent Round Stock represented by this Warrant), all of the same consideration, securities, instruments (e.g., convertible promissory notes) and rights (collectively, the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Consideration</w:t>
      </w:r>
      <w:r>
        <w:rPr>
          <w:rFonts w:ascii="Times New Roman" w:cs="Times New Roman" w:eastAsia="Times New Roman" w:hAnsi="Times New Roman"/>
          <w:sz w:val="18"/>
          <w:szCs w:val="18"/>
          <w:color w:val="auto"/>
        </w:rPr>
        <w:t>”) that Holder would have received had it participated as a lender in such Bridge Financing with a loan in the notional principal amount equal to the Coverage Amount; provided, however, that (i) if Holder exercises its right set forth hereunder, Holder shall be required to enter into the same definitive documents executed by the other lenders in such Bridge Financing and (ii) if Holder exercises its right set forth hereunder, Holder shall be required to comply with the same timeline as the other lenders in such Bridge Financing. “</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means each and every round of debt financing effected by Company after the date hereof, whether the purpose of such financing is to bridge Company to a Subsequent Round or a Liquidity Event (as such term is defined in Section 4.3 hereof).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means the occurrence of an event that will trigger the conversion or repayment of the corresponding Bridge Financing Consideration. Company agrees to provide Holder with prior written notice of the occurrence of a Trigger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Company sells or issues any of its securities prior to the Expiration Date in a manner that would qualify as a “Subsequent Round,” Company shall provide Holder with written notice of such sale or issuance no later than five (5) Business Days (hereinafter defined) after the date of such sale or issuance, including the price and terms of such securities (the “</w:t>
      </w:r>
      <w:r>
        <w:rPr>
          <w:rFonts w:ascii="Times New Roman" w:cs="Times New Roman" w:eastAsia="Times New Roman" w:hAnsi="Times New Roman"/>
          <w:sz w:val="18"/>
          <w:szCs w:val="18"/>
          <w:u w:val="single" w:color="auto"/>
          <w:color w:val="auto"/>
        </w:rPr>
        <w:t>Subsequent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governmental action to close. In the event Holder determines, in its sole and absolute discretion, that any Subsequent Securities contain terms more favorable to the holder(s) thereof than the terms set forth in this Warrant and/or the Warrant Stock acquirable hereunder, Holder may elect to exchange this Warrant for the equivalent dollar value of such Subsequent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written notice shall not affect the rights of Holder to so exchange this Warrant as set forth herein.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after the occurrence or non-occurrence of the latest event or condition necessary to determine (i) the actual number and type of shares of Warrant Stock acquirable hereunder or (ii) the Exercise Price, if applicable, Company shall deliver a supplement to this Warrant (subsequent to a request by Holder therefor),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specifying the total number and (if applicable) series of shares of Warrant Stock acquirable hereunder after giving effect to the foregoing calculations, and otherwise completed with such quantity and price terms and other information as have been determined as a result of the occurrence or non-occurrence of such events or conditions. The provisions of such supplement, once completed and executed, shall control the interpretation and exercise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supplement shall not affect the rights of Holder to receive the number and type of shares of Warrant Stock as set forth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2035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6900 Tavistock Lakes Boulevard, Suite 400, Orlando, Florida 32827 (or at such other location as Company may advise Holder in writing) of this Warrant properly endorsed with the form of subscription attached hereto (the “</w:t>
      </w:r>
      <w:r>
        <w:rPr>
          <w:rFonts w:ascii="Times New Roman" w:cs="Times New Roman" w:eastAsia="Times New Roman" w:hAnsi="Times New Roman"/>
          <w:sz w:val="18"/>
          <w:szCs w:val="18"/>
          <w:u w:val="single" w:color="auto"/>
          <w:color w:val="auto"/>
        </w:rPr>
        <w:t>Form of Subscription</w:t>
      </w:r>
      <w:r>
        <w:rPr>
          <w:rFonts w:ascii="Times New Roman" w:cs="Times New Roman" w:eastAsia="Times New Roman" w:hAnsi="Times New Roman"/>
          <w:sz w:val="18"/>
          <w:szCs w:val="18"/>
          <w:color w:val="auto"/>
        </w:rPr>
        <w:t>”)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Warrant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Warrant Stock as may be requested by Holder and shall be registered in the name of such Holder or such other name as shall be designated by such Holder, subject to the limitations contained in Section 2.</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123190</wp:posOffset>
            </wp:positionV>
            <wp:extent cx="651510" cy="351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51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tabs>
          <w:tab w:leader="none" w:pos="1340" w:val="left"/>
          <w:tab w:leader="none" w:pos="1680" w:val="left"/>
          <w:tab w:leader="none" w:pos="2020"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w:t>
        <w:tab/>
        <w:t>=</w:t>
      </w:r>
      <w:r>
        <w:rPr>
          <w:sz w:val="20"/>
          <w:szCs w:val="20"/>
          <w:color w:val="auto"/>
        </w:rPr>
        <w:tab/>
      </w:r>
      <w:r>
        <w:rPr>
          <w:rFonts w:ascii="Times New Roman" w:cs="Times New Roman" w:eastAsia="Times New Roman" w:hAnsi="Times New Roman"/>
          <w:sz w:val="17"/>
          <w:szCs w:val="17"/>
          <w:color w:val="auto"/>
        </w:rPr>
        <w:t>the number of shares of Warrant Stock to be issued to Holder.</w:t>
      </w:r>
    </w:p>
    <w:p>
      <w:pPr>
        <w:spacing w:after="0" w:line="225" w:lineRule="exact"/>
        <w:rPr>
          <w:sz w:val="20"/>
          <w:szCs w:val="20"/>
          <w:color w:val="auto"/>
        </w:rPr>
      </w:pPr>
    </w:p>
    <w:p>
      <w:pPr>
        <w:ind w:left="2040" w:right="20" w:hanging="682"/>
        <w:spacing w:after="0" w:line="282" w:lineRule="auto"/>
        <w:tabs>
          <w:tab w:leader="none" w:pos="17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Warrant Stock that Holder would otherwise have been entitled to purchase hereunder pursuant to Section 1(a) (or such lesser number of shares as Holder may designate in the case of a partial exercise of this Warrant).</w:t>
      </w:r>
    </w:p>
    <w:p>
      <w:pPr>
        <w:spacing w:after="0" w:line="162" w:lineRule="exact"/>
        <w:rPr>
          <w:sz w:val="20"/>
          <w:szCs w:val="20"/>
          <w:color w:val="auto"/>
        </w:rPr>
      </w:pPr>
    </w:p>
    <w:p>
      <w:pPr>
        <w:ind w:left="2040" w:hanging="682"/>
        <w:spacing w:after="0" w:line="282" w:lineRule="auto"/>
        <w:tabs>
          <w:tab w:leader="none" w:pos="17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Per Share Price (as defined in Section 1(c) below) of one (1) share of Warrant Stock at the time the net issuance election under this Section 1(b) is made.</w:t>
      </w:r>
    </w:p>
    <w:p>
      <w:pPr>
        <w:spacing w:after="0" w:line="162" w:lineRule="exact"/>
        <w:rPr>
          <w:sz w:val="20"/>
          <w:szCs w:val="20"/>
          <w:color w:val="auto"/>
        </w:rPr>
      </w:pPr>
    </w:p>
    <w:p>
      <w:pPr>
        <w:ind w:left="1700" w:hanging="342"/>
        <w:spacing w:after="0"/>
        <w:tabs>
          <w:tab w:leader="none" w:pos="1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 Purchase Price then in effect.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or electronic mail, to be followed by delivery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1960" w:hanging="656"/>
        <w:spacing w:after="0"/>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1(b),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or actively traded over-the-counter: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29"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the Per Share Price shall be deemed to be the closing price of the Warrant Stock as quoted on any exchange, as published on Yahoo! Finance (or a successor thereto or equivalent publisher) for the trading day immediately prior to the date of Holder’s election hereunder.</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21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actively traded over-the-counter, the Per Share Price shall be deemed to be the closing bid or sales price, whichever is applicable, of the Warrant Stock for the trading day immediately prior to the date of the Holder’s election hereunder.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5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the Per Share Price shall be the price per share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based on relevant facts and circumstances at the time of the net exercise under Section 1(b), including in the case of a Liquidity Event the consideration receivable by the holders of the Warrant Stock in such Liquidity Event and the liquidation preference (including any declared but unpaid dividends), if any, then applicable to the corresponding Warrant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Company shall not issue to Holder any Warrant Stock to the extent such shares after giving effect to such issuance after exercise and when added to the number of shares of Common Stock (1) issued or issuable upon exercise of the Warrant to Acquire Securities of Innventure, Inc., dated October 22, 2024, by and between Company and WTI FUND X, LLC, (2) issued or issuable upon exercise of the Warrant to Acquire Securities of Innventure, Inc., dated October 22, 2024, by and between Company and WTI FUND XI, LLC, (3) issued and issuable upon conversion of any shares of Series B preferred stock issued pursuant to the Investment Agreement, dated September 27, 2024, by and among Learn SPAC Holdco, Inc. and the purchasers listed on Schedule I thereto, (4) issued or issuable upon exercise of the Warrant to Acquire Securities of Innventure, Inc., dated March 31, 2025, by and between Company and WTI Fund XI, LLC, and (5) issued and issuable in connection with any other transaction that would result in the number of shares of Common Stock issued in private offerings exceeding the aggregate number of Common Stock the Company is permitted to issue under the Nasdaq Stock Market rules without obtaining Stockholder Approval (hereinafter defined), would:</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Holder (together with Holder’s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or (b) controlling in excess of 19.99% of the total voting power of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unless and until Company obtains stockholder approval permitting such issuances in accordance with applicable Nasdaq Stock Market rules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right="20" w:firstLine="1952"/>
        <w:spacing w:after="0" w:line="282" w:lineRule="auto"/>
        <w:tabs>
          <w:tab w:leader="none" w:pos="256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Company obtains Stockholder Approval.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1(d), beneficial ownership shall be determined in accordance with Section 13(d) of the Securities Exchange Act of 1934, as amended, and the rules and regulations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1(d), in determining the number of outstanding shares of Common Stock, Holder may rely on the number of outstanding shares of Common Stock as reflected in (i) Company’s most recent Quarterly Report on Form 10-Q or Annual Report on Form 10-K, as the case may be,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a more recent public announcement by Company, or (iii) any other notice by Company or Company’s transfer agent setting forth the number of shares of Common Stock outstanding. Upon the written or oral request of Holder, Company shall within two Business Days confirm orally and in writing to such Holder the number of shares of Common Stock then outstanding.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on any attempted exercise of this Warrant, the issuance of the shares of Warrant Stock would exceed the Maximum Aggregate Ownership Amount, the Maximum Aggregate Voting Amount or the Issuance Cap, and Company shall not have previously obtained Stockholder Approval at the time of exercise, then Company shall issue to Holder requesting exercise such number of shares of Warrant Stock as may be issued below the Maximum Aggregate Ownership Amount, Maximum Aggregate Voting Amount or the Issuance Cap, as the case may be, and, with respect to the remainder of the aggregate number of shares of Warrant Stock, this Warrant shall not be convertible until and unless Stockholder Approval has been obtained. Company agrees to seek such Stockholder Approval as soon as reasonably practicable to enable Holder to exercise this Warrant and acquire the number of shares of Warrant Stock desired by Holder.</w:t>
      </w:r>
    </w:p>
    <w:p>
      <w:pPr>
        <w:spacing w:after="0" w:line="189" w:lineRule="exact"/>
        <w:rPr>
          <w:sz w:val="20"/>
          <w:szCs w:val="20"/>
          <w:color w:val="auto"/>
        </w:rPr>
      </w:pPr>
    </w:p>
    <w:p>
      <w:pPr>
        <w:ind w:left="1340" w:hanging="684"/>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6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Warrant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except as otherwise permitted by the federal securities laws and the rules and regulations thereunder. Each holder of this Warrant or the Warrant Stock issuable hereunder will cause any proposed transferee of the Warrant or Warrant Stock to (i) agree to take and hold such securities subject to the provisions and upon the conditions specified in this Section 2 and (ii) comply with the applicable provisions of the federal securities laws and the rules and regulations thereunder. Notwithstanding the foregoing and any other provision of this Section 2, Holder may freely transfer all or part of this Warrant or the shares issuable upon exercise of this Warrant (or the securities acquirable,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to the extent permitted by the federal securities laws and the rules and regulations thereunder.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Warrant Stock, (iii) shares of Company’s Common Stock issued upon conversion of the corresponding Subsequent Round Stock and (iv) any other securities issued in respect to the corresponding Subsequent Round Stock or Common Stock issued upon conversion of the corresponding Subsequent Round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3" w:lineRule="exact"/>
        <w:rPr>
          <w:sz w:val="20"/>
          <w:szCs w:val="20"/>
          <w:color w:val="auto"/>
        </w:rPr>
      </w:pPr>
    </w:p>
    <w:p>
      <w:pPr>
        <w:jc w:val="both"/>
        <w:ind w:firstLine="1304"/>
        <w:spacing w:after="0" w:line="256" w:lineRule="auto"/>
        <w:tabs>
          <w:tab w:leader="none" w:pos="188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and each person to whom this Warrant is subsequently transferred represents and warrants to Company (by acceptance of such transfer) that it will not transfer this Warrant (or securities acquirable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(iii) an opinion of counsel, reasonably satisfactory to counsel for Company, that an exemption from such registration is available, or (iv) Company otherwise satisfies itself that such transaction is exempt from registration.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1304"/>
        <w:spacing w:after="0" w:line="266" w:lineRule="auto"/>
        <w:tabs>
          <w:tab w:leader="none" w:pos="192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maintain a register for the recordation of the names and addresses of any Persons owning an interest in this Warrant pursuant to the terms hereof from time to time, and, in order for any transfer of this Warrant to become effective, shall amend such register to reflect any transfer otherwise properly affected pursuant to this Section 2.</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41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with commercially reasonable efforts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(as described in Section 4 hereof)</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number of shares of Warrant Stock issuable after such action upon exercise of all outstanding warrants, together with all shares of Warrant Stock then outstanding and 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(ii) if the total number of shares of Common Stock issuable after such action upon the conversion of all such shares of Warrant Stock together with all shares of Common Stock then outstanding and then issuable upon exercise of all options and upon the conversion of all convertible securities then outstanding would exceed the total number of shares of Common Stock then authorized by the Charter or (iii) if the par value per share of the Warrant Stock would exceed the Stock Purchase Price.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Warrant Stock</w:t>
      </w:r>
      <w:r>
        <w:rPr>
          <w:rFonts w:ascii="Times New Roman" w:cs="Times New Roman" w:eastAsia="Times New Roman" w:hAnsi="Times New Roman"/>
          <w:sz w:val="18"/>
          <w:szCs w:val="18"/>
          <w:color w:val="auto"/>
        </w:rPr>
        <w:t>. In case Company shall at any time subdivide its outstanding shares of Warrant Stock into a greater number of shares, the Stock Purchase Price in effect immediately prior to such subdivision shall be proportionately reduced, and conversely, in case the outstanding shares of Warrant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Warrant Stock (or any shares of stock or other securities at the time receivable upon the exercise of this Warrant) shall have received or become entitled to receive,</w:t>
      </w:r>
    </w:p>
    <w:p>
      <w:pPr>
        <w:spacing w:after="0" w:line="162" w:lineRule="exact"/>
        <w:rPr>
          <w:sz w:val="20"/>
          <w:szCs w:val="20"/>
          <w:color w:val="auto"/>
        </w:rPr>
      </w:pPr>
    </w:p>
    <w:p>
      <w:pPr>
        <w:jc w:val="both"/>
        <w:ind w:firstLine="1952"/>
        <w:spacing w:after="0" w:line="266" w:lineRule="auto"/>
        <w:tabs>
          <w:tab w:leader="none" w:pos="27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any shares of stock or other securities whether or not such securities are at any time directly or indirectly convertible into or exchangeable for Warrant Stock, or any rights or options to subscribe for, purchase or otherwise acquire any of the foregoing by way of dividend or other distribution,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2620" w:hanging="668"/>
        <w:spacing w:after="0"/>
        <w:tabs>
          <w:tab w:leader="none" w:pos="2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other or additional stock or other securities or property (including cash) by way of spin off, split-up, reclassification, combination of shares or similar corporate rearrangement, (other than shares of Warrant Stock issued as a stock split, adjustments in respect of which shall be covered by the terms of Section 4.1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and in each such case, Holder shall be entitled to receive, without being required to first exercise this Warrant and without payment of any additional consideration therefor, the amount of such securities and property (including cash in the cases referred to in clauses (b) and (c) above), which shall be determined as if Holder had been the holder of record of the shares of Warrant Stock acquirable hereunder as of the date on which the other holders of Company’s Warrant Stock received or became entitled to receive such shares and/or all other additional stock and other securities and property.</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Automatic Exchange upon a Liquidity Event; Expiration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266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the consummation of a Liquidity Event and the Expiration Date,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Liquidity Event or the Expiration Date, as applicable,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consideration for their issuance pursuant to the terms of the preceding sentence.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means the first to occur of: (i) the closing of any merger or consolidation (or similar transaction) of Company into or with another entity after which the stockholders of Company immediately prior to such transaction do not hold immediately following the consummation of such transaction by virtue of their shares in Company or securities received in exchange for such shares in connection with the transaction, more than fifty percent (50%) the voting power of the surviving entity; (ii) the closing of any privatization (i.e., a take-private transaction) of Company; (iii) the closing of any sale, lease, license, transfer or other disposition of all or substantially all of the assets of Company in a single transaction or series of related transactions; (iv) the closing of any sale or transfer by Company or its stockholders of fifty percent (50%) or more of the voting power of Company in a transaction or series of related transactions; (iv)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or (v) the closing of any transaction or series of related transactions deemed to be a liquidation, dissolution or winding up of Company pursuant to the provisions of Company’s charter documents. This Warrant shall terminate upon Holder’s receipt of the number of shares of Company’s equity securities described in this Section 4.3(a).</w:t>
      </w:r>
    </w:p>
    <w:p>
      <w:pPr>
        <w:spacing w:after="0" w:line="19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acknowledges and agrees that, notwithstanding anything to the contrary in the Warrant, on the Expiration Date, Holder shall have the option to exchange this Warrant for a cash payment in an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Holder shall provide Company with reasonable prior written notice of its intent to exercise the option set forth in this Section 4.3(b). If Holder exercises the option set forth in this Section 4.3(b) then Company shall make such payment to Holder by wire transfer on the Expiration Date, or within thirty days of the Expiration Date, pursuant to wire transfer instructions provided to Company by Holder.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“Pay-to-Play” Exemption</w:t>
      </w:r>
      <w:r>
        <w:rPr>
          <w:rFonts w:ascii="Times New Roman" w:cs="Times New Roman" w:eastAsia="Times New Roman" w:hAnsi="Times New Roman"/>
          <w:sz w:val="18"/>
          <w:szCs w:val="18"/>
          <w:color w:val="auto"/>
        </w:rPr>
        <w:t>. In the event that the rights, preferences or privileges of the shares of Warrant Stock issuable upon the exercise of this Warrant are amended or modified, or a recapitalization, reclassification, conversion or exchange of such outstanding shares of Warrant Stock is effected in connection with an equity or debt financing transaction which occurs after the date hereof (each, as applicable, a “</w:t>
      </w:r>
      <w:r>
        <w:rPr>
          <w:rFonts w:ascii="Times New Roman" w:cs="Times New Roman" w:eastAsia="Times New Roman" w:hAnsi="Times New Roman"/>
          <w:sz w:val="18"/>
          <w:szCs w:val="18"/>
          <w:u w:val="single" w:color="auto"/>
          <w:color w:val="auto"/>
        </w:rPr>
        <w:t>Pay-to-Play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this Warrant (and the shares of Warrant Stock issuable hereunder) shall be exempt from such Pay-to-Play Transaction, and shall automatically and without any action required by Holder become exercisable for the type of securities as would have been issued or exchanged, or would have remained outstanding or been purchasable, as the case may be, in respect of the shares of Warrant Stock issuable hereunder had Holder exercised this Warrant in full prior to such event and purchased all shares pursuant to the cash exercise provision set forth in Section 1(a) hereof, and participated in the equity or debt financing to the maximum extent permitted.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Stock Purchase Price, and/or any increase or decrease in the number of shares purchasable upon the exercise of this Warrant, Company shall give written notice thereof, by either (i) first class mail, postage prepaid or (ii) electronic mail, addressed to the registered holder of this Warrant at the address of such holder as shown on the books of Company or as otherwise known by Company. The notice,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signed by an officer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560" w:hanging="608"/>
        <w:spacing w:after="0"/>
        <w:tabs>
          <w:tab w:leader="none" w:pos="2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Warrant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Warrant Stock payable in stock or make any special dividend or other distribution to the holders of its Warrant Stock;</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Warrant Stock any additional shares of stock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or other rights;</w:t>
      </w:r>
    </w:p>
    <w:p>
      <w:pPr>
        <w:spacing w:after="0" w:line="206"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any other Liquidity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w:t>
      </w:r>
    </w:p>
    <w:p>
      <w:pPr>
        <w:spacing w:after="0" w:line="20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Warrant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any one or more of said cases, Company shall give, by first class mail, postage prepaid, addressed to Holder at the address of such Holder as shown on the books of Company,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Warrant Stock shall be entitled thereto. Any notice given in accordance with the foregoing clause (ii) shall also specify the date on which the holders of Warrant Stock shall be entitled to exchange their Warrant Stock for securities or other property deliverable upon such reorganization, reclassification, consolidation, merger, sale, dissolution, liquidation or winding-up, or other action as the case may be.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Warrant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acquirable under this Warrant, the Stock Purchase Price and/or the application of such provisions, in accordance with such essential intent and principles, so as to protect such purchase rights as aforesaid. The adjustment shall be such as will give Holder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firstLine="656"/>
        <w:spacing w:after="0" w:line="266" w:lineRule="auto"/>
        <w:tabs>
          <w:tab w:leader="none" w:pos="138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Warrant Stock upon the exercise of this Warrant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being exercised.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7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Warrant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3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the right to vote or to consent as a stockholder in respect of meetings of stockholders for the election of directors of Company or any other matters or any rights whatsoever as a stockholder of Company. If any dividends are due or paid at any time on the underlying securities for which this Warrant is exercisable then the securities acquirable hereunder shall be deemed to have accrued dividends and be paid identical dividends from the same time as the outstanding shares for which this Warrant is exercisable were first issued. No provisions hereof, in the absence of affirmative action by Holder to purchase shares of Warrant Stock, and no mere enumeration herein of the rights or privileges of Holder,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Holder (including any assignee) shall provide an IRS Form W-9 or applicable IRS Form W-8 to Company prior to becoming party to this Warrant and from time to time upon Company’s reasonable request and at the time or times prescribed by applicable law; provided, that if Holder (including any assignee) does not provide an IRS Form W-9 or an applicable IRS Form W-8 evidencing a complete exemption from U.S. federal income tax withholding on payments to be made pursuant to this Warrant, Company may deduct and withhold from any payments to be made to such Person pursuant to this Warrant any taxes required to be deducted or withheld pursuant to applicable law. To the extent that any taxes are so deducted or withheld and remitted to the applicable taxing authority, they will be treated for all purposes of this Warrant as being paid to the Person in respect of which such deduction or withholding has been made. Company acknowledges that initial Holder provided Company with an IRS Form W-9 prior to the date hereof and Company shall not be entitled to deduct and/or withhold from any payments to be made to initial Holder.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50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Holder shall be entitled, with respect to the shares of Warrant Stock issued upon exercise hereof to all of the registration rights set forth in the Registration Rights Agreement, dated as of October 22, 2024 (as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the same extent and on the same terms and conditions as possessed by the investors thereunder with the following exceptions and clarifications: (i) Holder will have no right to make a written request under the Rights Agreement that Company file a registration statement under Form S-1 of the Securities 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will be subject to the same provisions regarding indemnification as contained in the Rights Agreement; and (iii) the registration rights are freely assignable by Holder in connection with a permitted transfer of this Warrant or the shares acquirable upon exercise hereof. Company shall take such action as may be reasonably necessary to assure that the granting of such registration rights to Holder does not violate the provisions of the Rights Agreement or any of Company’s charter documents or rights of prior grantees of registration rights.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8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and of the holder of shares of Warrant Stock issued upon exercise of this Warrant, contained in Sections 6 and 9 shall survive the exercise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firstLine="656"/>
        <w:spacing w:after="0" w:line="282" w:lineRule="auto"/>
        <w:tabs>
          <w:tab w:leader="none" w:pos="145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72" w:lineRule="auto"/>
        <w:tabs>
          <w:tab w:leader="none" w:pos="1305"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Holder or Company shall be deemed to have been given (i) upon receipt if delivered personally or by courier, (ii) upon confirmation of receipt if by telecopy, (iii) upon receipt if delivered by electronic mail to the email listed below such party’s signature on the signature page to this Warrant at or before 5:00 p.m. Eastern Time on a Business Day,</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3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9:00 a.m. Eastern Time on the immediately succeeding Business Day if received by electronic mail at the email listed below such party’s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23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rights and obligations of Company relating to the Warrant Stock acquirable upon the exercise of this Warrant shall survive the exercise and termination of this Warrant. All of the covenants and agreements of Company shall inure to the benefit of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Warrant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All questions concerning the construction, validity, enforcement and interpretation of this Warrant shall be construed and enforced in accordance with, and the rights of the parties shall be governed by, the laws of the State of Delaware, without regard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represents and warrants to Holder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at its election either pay the holder entitled to such fraction a sum in cash equal to such fraction multiplied by the then effective Stock Purchase Price or round up to the next whole share.</w:t>
      </w:r>
    </w:p>
    <w:p>
      <w:pPr>
        <w:spacing w:after="0" w:line="17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and financial risk of that investment.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It is acquiring this Warrant for investment for its own account and not with a view to, or for resale in connection with, any distribution thereof. It understands that this Warrant and the shares of Warrant Stock issuable upon the exercise hereof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It acknowledges that this Warrant and the Warrant Stock acquirable hereunder must be held indefinitely, unless they are subsequently registered under the Securities Act or an exemption from such registration is available. It has been advised or is aware of the provisions of Rule 144 promulgated under the Securities Act, and understands the resale limitations imposed thereby and by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It is an “accredited investor” within the meaning of Regulation D promulgated under the Securities Act.</w:t>
      </w:r>
    </w:p>
    <w:p>
      <w:pPr>
        <w:spacing w:after="0" w:line="225" w:lineRule="exact"/>
        <w:rPr>
          <w:sz w:val="20"/>
          <w:szCs w:val="20"/>
          <w:color w:val="auto"/>
        </w:rPr>
      </w:pPr>
    </w:p>
    <w:p>
      <w:pPr>
        <w:ind w:left="1340" w:hanging="684"/>
        <w:spacing w:after="0"/>
        <w:tabs>
          <w:tab w:leader="none" w:pos="1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Company hereby represents, warrants and agrees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Company is a company duly incorporated and validly existing in good standing under the laws of the jurisdiction of its incorporation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 Validity and Enforceability</w:t>
      </w:r>
      <w:r>
        <w:rPr>
          <w:rFonts w:ascii="Times New Roman" w:cs="Times New Roman" w:eastAsia="Times New Roman" w:hAnsi="Times New Roman"/>
          <w:sz w:val="18"/>
          <w:szCs w:val="18"/>
          <w:color w:val="auto"/>
        </w:rPr>
        <w:t>. The execution, delivery and performance of the Warrant are within Company’s powers, have been duly authorized, and are not in conflict with the Charter or Company’s Bylaws. The Warrant constitutes a valid and binding obligation of Company, enforceable in accordance with its terms (except as may be limited by bankruptcy, insolvency and similar laws affecting the enforcement of creditors’ rights in general, and subject to general principles of equity).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Subject in part to the truth and accuracy of Holder’s representations set forth in Section 17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Company of this Warrant is not in conflict with any law, rule, regulation, order or directive, or any indenture, agreement, or undertaking to which Company is a party or by which Company may be bound or affected except, in each case, to the extent any such conflict would not reasonably be expected to have a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Company has provided Holder with true and complete copies of its Charter and Bylaws, and each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From time to time up to the earlier of: (a) the consummation of a Liquidity Event; (b) the Expiration Date and (c) such date as Holder’s auditors no longer require such information, Company shall furnish to Holder (i) within 180 days after the close of each fiscal year of Company, an audited balance sheet and cash flow statement at and as of the end of such fiscal year, together with an audited statement of income for such fiscal year; provided that if Company’s Board of Directors does not require Company’s financial statements to be audited for a particular fiscal year, then Company shall deliver such financial statements to Holder unaudited, and (ii) within 45 days after the close of each fiscal quarter of Company, an unaudited balance sheet, income statement and cash flow statement, each at and as of the end of such quarter, together with an up-to-date summary capitalization table, provided that such capitalization table shall be provided to Holder only if Company’s securities are not publicly traded; and (iii) promptly after the closing of each equity financing and convertible debt financing consummated by Company after the date this Warrant has been issued, a copy of the term sheet for such financing (if any), a post-closing, summary capitalization table and other information relating to the then-current valuation of Company. In addition, Company agrees to provide Holder at any time and from time to time with such information as Holder may reasonably request for purposes of Holder’s valuation of Company and Holder’s compliance (as determined by Holder in its reasonable discretion) with regulatory, accounting and reporting requirements applicable to Holder; provided, however, that in no event shall Company be obligated to (i) provide Holder with information that is not in Company’s possession or (ii) take any action with a third party or otherwise engage a third party in connection with such request. Notwithstanding the foregoing, Company shall not be required to furnish to Holder the financial information described in this Section 18.7 in the event such financial information has been previously delivered pursuant to the Loan Agreement. Further notwithstanding anything in this Section 18.7 to the contrary, if in connection with a Liquidity Event Holder receives securities of a privately held company then the rights described in this Section 18.7 shall be deemed to continue to apply to such company in order to enable Holder to comply with regulatory, accounting and reporting requirements applicable to Holder. Further notwithstanding anything in this Section 18.7 or this Warrant to the contrary, Company shall not be required to provide information in respect of which disclosure is prohibited by law, which is subject to attorney-client or similar privilege or constitutes attorney work-product, in respect of which Company owes confidentiality obligations to any third party, which constitutes non-financial trade secrets or non-financial proprietary information or which has been previously made publicly available as part of Company’s filings with the SEC.</w:t>
      </w:r>
    </w:p>
    <w:p>
      <w:pPr>
        <w:spacing w:after="0" w:line="188" w:lineRule="exact"/>
        <w:rPr>
          <w:sz w:val="20"/>
          <w:szCs w:val="20"/>
          <w:color w:val="auto"/>
        </w:rPr>
      </w:pPr>
    </w:p>
    <w:p>
      <w:pPr>
        <w:jc w:val="both"/>
        <w:ind w:firstLine="656"/>
        <w:spacing w:after="0" w:line="25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Purchase Securities in Future Financings</w:t>
      </w:r>
      <w:r>
        <w:rPr>
          <w:rFonts w:ascii="Times New Roman" w:cs="Times New Roman" w:eastAsia="Times New Roman" w:hAnsi="Times New Roman"/>
          <w:sz w:val="18"/>
          <w:szCs w:val="18"/>
          <w:color w:val="auto"/>
        </w:rPr>
        <w:t>. In connection with any equity or convertible debt securities that Company may from time to time propose to offer or sell after the date of issuance of this Warrant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Company hereby grants to Holder the right to invest up to the greater of (i) $1,125,000 and (ii)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Holder shall not have any obligation to purchase Company’s securities in any such Future Financings. In the event Holder exercises its purchase right set forth hereunder, Holder shall not have any obligation to purchase such securities, except pursuant to those definitive purchase documents executed by other purchasers in connection with the applicable offering. For avoidance of doubt, the right granted herein shall apply to all future sales of Company’s equity and convertible debt securities consummated by Company after the date hereof until the Expiration Date. The right to purchase securities in future sales by Company thereof described in this Section 19 shall survive the payment and satisfaction of all of the Company’s Obligations to Lender until the Expiration Date, notwithstanding anything to the contrary set forth in any other Loan Document executed or delivered by Company or Lender after the date hereof. Holder shall be entitled to apportion the rights hereby granted to it among itself and any affiliate of Holder in such proportions as Holder deems appropriate. For the further avoidance of doubt, (i) if the amount raised in any Future Financing is less than $5,000,000, then the Holder’s right to invest in such Future Financing shall be limited to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(ii) if Holder exercises its purchase right set forth hereunder, Holder shall be required to enter into the same definitive purchase documents executed by other purchasers in connection with the applicable offering; and (iii) if Holder exercises its purchase right set forth hereunder, Holder shall be required to comply with the same timeline as the other purchasers in connection with the applicable offering.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firstLine="656"/>
        <w:spacing w:after="0" w:line="254" w:lineRule="auto"/>
        <w:tabs>
          <w:tab w:leader="none" w:pos="13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Holder may not Transfer (hereinafter defined) this Warrant or the Warrant Stock until the end of the period beginning on the date hereof and ending on the date of the opening of the first trading window at least 180 days after the date hereof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provided such Transfer restriction shall be applicable to Holder so long as all of Company’s other stockholders are subject to the same restriction. As used in this Section 20,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138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Unit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acknowledge and agree that this Warrant is intended to constitute an investment unit within the meaning of Section 1273(c)(2) of the Internal Revenue Code of 1986, as amended.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192849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WTI FUND X,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Fund X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Westech Investment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92849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83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18516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 Rothschild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California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jklugman@foxrothschild.com and TPaikedayLeDuc@foxrothschild.com</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15684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57" w:lineRule="auto"/>
        <w:tabs>
          <w:tab w:leader="none" w:pos="340" w:val="left"/>
        </w:tabs>
        <w:numPr>
          <w:ilvl w:val="0"/>
          <w:numId w:val="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See Below ________________ (_____)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Warrant Stock of __________ and herewith makes payment of _____________ Dollars ($________) therefor, and requests that the certificates for such shares be issued in the name of, and delivered to,</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 whose address is ___________.</w:t>
      </w:r>
    </w:p>
    <w:p>
      <w:pPr>
        <w:spacing w:after="0" w:line="166" w:lineRule="exact"/>
        <w:rPr>
          <w:sz w:val="20"/>
          <w:szCs w:val="20"/>
          <w:color w:val="auto"/>
        </w:rPr>
      </w:pPr>
    </w:p>
    <w:p>
      <w:pPr>
        <w:spacing w:after="0" w:line="207" w:lineRule="exact"/>
        <w:tabs>
          <w:tab w:leader="none" w:pos="320" w:val="left"/>
          <w:tab w:leader="none" w:pos="38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The undersigned hereby elects to convert</w:t>
      </w:r>
      <w:r>
        <w:rPr>
          <w:sz w:val="20"/>
          <w:szCs w:val="20"/>
          <w:color w:val="auto"/>
        </w:rPr>
        <w:tab/>
      </w:r>
      <w:r>
        <w:rPr>
          <w:rFonts w:ascii="Times New Roman" w:cs="Times New Roman" w:eastAsia="Times New Roman" w:hAnsi="Times New Roman"/>
          <w:sz w:val="17"/>
          <w:szCs w:val="17"/>
          <w:color w:val="auto"/>
        </w:rPr>
        <w:t>percent (__%) of the value of the Warrant pursuant to the provisions of Section 1(b)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17780</wp:posOffset>
            </wp:positionV>
            <wp:extent cx="314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291465</wp:posOffset>
            </wp:positionV>
            <wp:extent cx="21602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60270" cy="1714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582930</wp:posOffset>
            </wp:positionV>
            <wp:extent cx="21602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66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acquirable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62" w:lineRule="exact"/>
        <w:rPr>
          <w:sz w:val="20"/>
          <w:szCs w:val="20"/>
          <w:color w:val="auto"/>
        </w:rPr>
      </w:pPr>
    </w:p>
    <w:p>
      <w:pPr>
        <w:spacing w:after="0"/>
        <w:tabs>
          <w:tab w:leader="none" w:pos="3740" w:val="left"/>
          <w:tab w:leader="none" w:pos="754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056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4.3</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ACQUIRE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certifies that WTI Fund XI, LLC, a Delaware limited liability company, or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upon the terms and subject to the limitations on exercise and the conditions hereinafter set forth, to acquire from INNVENTURE, INC., a Delaware corporation formerly known as Learn SPAC Holdco,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at Holder’s option, either (i) the common stock of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(ii) any Subsequent Round Stock (hereinafter defined) of Company (the Common Stock and the Subsequent Round Stock, as applicable, are sometimes referred to herein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for cash, at a purchase price equal to $0.01 per share (the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Holder may also exercise this Warrant on a cashless or “net issuance” basis as described in Section 1(b) below. Capitalized terms used herein and not otherwise defined in this Warrant shall have the meaning(s) ascribed to them in the Loan and Security Agreement, dated as of October 22, 2024, by and between Company, WTI Fund X, Inc. and WTI Fund XI, Inc.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Warrant Stock acquirable hereunder obtained by dividing (A) $750,000 (the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by (B) the Exercise Price (hereinafter defined). If in any case the Applicable Number includes a fraction then the fraction shall be rounded down to the closest integral number.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means: (i) if Holder chooses for this Warrant to be exercisable for Common Stock, the VWAP (hereinafter defined) of the Company’s Common Stock over the thirty (30) Trading Days (hereinafter defined) ending on the Trading Day immediately preceding the date of this Warrant (the “Initial Exercise Price”);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as of the date which is eighteen (18) months after the date of this Warrant, the VWAP of Company’s Common Stock over the five (5) Trading Days ending on the Trading Day immediately preceding such eighteen (18) month anniversary is less than the Initial Exercise Price then the Exercise Price shall be reduced to such lower VWAP; or (ii) if Holder chooses for this Warrant to be exercisable for Subsequent Round Stock, the corresponding Subsequent Round Price (hereinafter defined).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Company’s Common Stock for a specified period, the dollar volume-weighted average price for such Common Stock on the Principal Market (hereinafter defined), for such period, as reported by Bloomberg through its “AQR” function, subject to appropriate adjustments for any stock dividend, stock split, stock combination, recapitalization or other similar transaction during such period.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Principal Market is open for trading (regular way), including any day on which it is open for trading (regular way) for a period of time less than the customary time.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principal national securities exchange on which Company’s Common Stock is then listed or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5" w:name="page46"/>
    <w:bookmarkEnd w:id="4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Round Price</w:t>
      </w:r>
      <w:r>
        <w:rPr>
          <w:rFonts w:ascii="Times New Roman" w:cs="Times New Roman" w:eastAsia="Times New Roman" w:hAnsi="Times New Roman"/>
          <w:sz w:val="18"/>
          <w:szCs w:val="18"/>
          <w:color w:val="auto"/>
        </w:rPr>
        <w:t>” means the lowest price per share paid by any Person for Company’s equity securities (as applicable,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Round Stock</w:t>
      </w:r>
      <w:r>
        <w:rPr>
          <w:rFonts w:ascii="Times New Roman" w:cs="Times New Roman" w:eastAsia="Times New Roman" w:hAnsi="Times New Roman"/>
          <w:sz w:val="18"/>
          <w:szCs w:val="18"/>
          <w:color w:val="auto"/>
        </w:rPr>
        <w:t>”) issued in a corresponding Subsequent Round (hereinafter defined), including for this purpose the value of all consideration given by any Person for such equity securities and specifically including any discounts afforded to any Person upon conversion of any convertible security (e.g., a promissory note or a “simple agreement for future equity” (i.e., a SAFE)) held by any such Person in connection with the corresponding Subsequent Round or otherwise. “</w:t>
      </w:r>
      <w:r>
        <w:rPr>
          <w:rFonts w:ascii="Times New Roman" w:cs="Times New Roman" w:eastAsia="Times New Roman" w:hAnsi="Times New Roman"/>
          <w:sz w:val="18"/>
          <w:szCs w:val="18"/>
          <w:u w:val="single" w:color="auto"/>
          <w:color w:val="auto"/>
        </w:rPr>
        <w:t>Subsequent Round</w:t>
      </w:r>
      <w:r>
        <w:rPr>
          <w:rFonts w:ascii="Times New Roman" w:cs="Times New Roman" w:eastAsia="Times New Roman" w:hAnsi="Times New Roman"/>
          <w:sz w:val="18"/>
          <w:szCs w:val="18"/>
          <w:color w:val="auto"/>
        </w:rPr>
        <w:t>” means each and every round of equity financing after the date hereof where either (x) Company receives gross cash proceeds of at least $10,000,000 in a single transaction or series of related transactions, (y) there are punitive terms (e.g., a round of financing that effectuates a recapitalization of Company) or (z) the securities Company sells or issues have a liquidation preference, and in each case, includes (and Holder shall be entitled to receive (as calculated in relation to the Coverage Amount)) any options, warrants, or other convertible securities or similar consideration, if any, issued or delivered to any Person in connection with such Person’s acquisition of the corresponding Subsequent Round Stock. For the avoidance of doubt, Holder’s option to have this Warrant be exercisable for Subsequent Round Stock shall be a continuing option as to each and every Subsequent Round, provided that such option shall apply to the entire Warrant. Company and Holder acknowledge and agree that a Subsequent Round could include additional issuances of shares of Company’s Common Stock to investors primarily for the purpose of raising capital.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paragraphs, if prior to a corresponding Subsequent Round Company consummates a Bridge Financing (hereinafter defined) then Holder may elect to surrender this Warrant to Company at any time prior to the occurrence of a Trigger Event (hereinafter defined) and receive in exchange therefor (in lieu of all rights to purchase shares of either Common Stock or Subsequent Round Stock represented by this Warrant), all of the same consideration, securities, instruments (e.g., convertible promissory notes) and rights (collectively, the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Consideration</w:t>
      </w:r>
      <w:r>
        <w:rPr>
          <w:rFonts w:ascii="Times New Roman" w:cs="Times New Roman" w:eastAsia="Times New Roman" w:hAnsi="Times New Roman"/>
          <w:sz w:val="18"/>
          <w:szCs w:val="18"/>
          <w:color w:val="auto"/>
        </w:rPr>
        <w:t>”) that Holder would have received had it participated as a lender in such Bridge Financing with a loan in the notional principal amount equal to the Coverage Amount; provided, however, that (i) if Holder exercises its right set forth hereunder, Holder shall be required to enter into the same definitive documents executed by the other lenders in such Bridge Financing and (ii) if Holder exercises its right set forth hereunder, Holder shall be required to comply with the same timeline as the other lenders in such Bridge Financing. “</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means each and every round of debt financing effected by Company after the date hereof, whether the purpose of such financing is to bridge Company to a Subsequent Round or a Liquidity Event (as such term is defined in Section 4.3 hereof).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means the occurrence of an event that will trigger the conversion or repayment of the corresponding Bridge Financing Consideration. Company agrees to provide Holder with prior written notice of the occurrence of a Trigger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Company sells or issues any of its securities prior to the Expiration Date in a manner that would qualify as a “Subsequent Round,” Company shall provide Holder with written notice of such sale or issuance no later than five (5) Business Days (hereinafter defined) after the date of such sale or issuance, including the price and terms of such securities (the “</w:t>
      </w:r>
      <w:r>
        <w:rPr>
          <w:rFonts w:ascii="Times New Roman" w:cs="Times New Roman" w:eastAsia="Times New Roman" w:hAnsi="Times New Roman"/>
          <w:sz w:val="18"/>
          <w:szCs w:val="18"/>
          <w:u w:val="single" w:color="auto"/>
          <w:color w:val="auto"/>
        </w:rPr>
        <w:t>Subsequent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governmental action to close. In the event Holder determines, in its sole and absolute discretion, that any Subsequent Securities contain terms more favorable to the holder(s) thereof than the terms set forth in this Warrant and/or the Warrant Stock acquirable hereunder, Holder may elect to exchange this Warrant for the equivalent dollar value of such Subsequent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written notice shall not affect the rights of Holder to so exchange this Warrant as set forth herein.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after the occurrence or non-occurrence of the latest event or condition necessary to determine (i) the actual number and type of shares of Warrant Stock acquirable hereunder or (ii) the Exercise Price, if applicable, Company shall deliver a supplement to this Warrant (subsequent to a request by Holder therefor),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specifying the total number and (if applicable) series of shares of Warrant Stock acquirable hereunder after giving effect to the foregoing calculations, and otherwise completed with such quantity and price terms and other information as have been determined as a result of the occurrence or non-occurrence of such events or conditions. The provisions of such supplement, once completed and executed, shall control the interpretation and exercise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supplement shall not affect the rights of Holder to receive the number and type of shares of Warrant Stock as set forth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2035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6900 Tavistock Lakes Boulevard, Suite 400, Orlando, Florida 32827 (or at such other location as Company may advise Holder in writing) of this Warrant properly endorsed with the form of subscription attached hereto (the “</w:t>
      </w:r>
      <w:r>
        <w:rPr>
          <w:rFonts w:ascii="Times New Roman" w:cs="Times New Roman" w:eastAsia="Times New Roman" w:hAnsi="Times New Roman"/>
          <w:sz w:val="18"/>
          <w:szCs w:val="18"/>
          <w:u w:val="single" w:color="auto"/>
          <w:color w:val="auto"/>
        </w:rPr>
        <w:t>Form of Subscription</w:t>
      </w:r>
      <w:r>
        <w:rPr>
          <w:rFonts w:ascii="Times New Roman" w:cs="Times New Roman" w:eastAsia="Times New Roman" w:hAnsi="Times New Roman"/>
          <w:sz w:val="18"/>
          <w:szCs w:val="18"/>
          <w:color w:val="auto"/>
        </w:rPr>
        <w:t>”)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Warrant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Warrant Stock as may be requested by Holder and shall be registered in the name of such Holder or such other name as shall be designated by such Holder, subject to the limitations contained in Section 2.</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123190</wp:posOffset>
            </wp:positionV>
            <wp:extent cx="651510" cy="351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15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tabs>
          <w:tab w:leader="none" w:pos="1340" w:val="left"/>
          <w:tab w:leader="none" w:pos="1680" w:val="left"/>
          <w:tab w:leader="none" w:pos="2020"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w:t>
        <w:tab/>
        <w:t>=</w:t>
      </w:r>
      <w:r>
        <w:rPr>
          <w:sz w:val="20"/>
          <w:szCs w:val="20"/>
          <w:color w:val="auto"/>
        </w:rPr>
        <w:tab/>
      </w:r>
      <w:r>
        <w:rPr>
          <w:rFonts w:ascii="Times New Roman" w:cs="Times New Roman" w:eastAsia="Times New Roman" w:hAnsi="Times New Roman"/>
          <w:sz w:val="17"/>
          <w:szCs w:val="17"/>
          <w:color w:val="auto"/>
        </w:rPr>
        <w:t>the number of shares of Warrant Stock to be issued to Holder.</w:t>
      </w:r>
    </w:p>
    <w:p>
      <w:pPr>
        <w:spacing w:after="0" w:line="225" w:lineRule="exact"/>
        <w:rPr>
          <w:sz w:val="20"/>
          <w:szCs w:val="20"/>
          <w:color w:val="auto"/>
        </w:rPr>
      </w:pPr>
    </w:p>
    <w:p>
      <w:pPr>
        <w:ind w:left="2120" w:right="20" w:hanging="803"/>
        <w:spacing w:after="0" w:line="282" w:lineRule="auto"/>
        <w:tabs>
          <w:tab w:leader="none" w:pos="17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Warrant Stock that Holder would otherwise have been entitled to purchase hereunder pursuant to Section 1(a) (or such lesser number of shares as Holder may designate in the case of a partial exercise of this Warrant).</w:t>
      </w:r>
    </w:p>
    <w:p>
      <w:pPr>
        <w:spacing w:after="0" w:line="162" w:lineRule="exact"/>
        <w:rPr>
          <w:sz w:val="20"/>
          <w:szCs w:val="20"/>
          <w:color w:val="auto"/>
        </w:rPr>
      </w:pPr>
    </w:p>
    <w:p>
      <w:pPr>
        <w:ind w:left="2120" w:hanging="803"/>
        <w:spacing w:after="0" w:line="282" w:lineRule="auto"/>
        <w:tabs>
          <w:tab w:leader="none" w:pos="17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Per Share Price (as defined in Section 1(c) below) of one (1) share of Warrant Stock at the time the net issuance election under this Section 1(b) is made.</w:t>
      </w:r>
    </w:p>
    <w:p>
      <w:pPr>
        <w:spacing w:after="0" w:line="162" w:lineRule="exact"/>
        <w:rPr>
          <w:sz w:val="20"/>
          <w:szCs w:val="20"/>
          <w:color w:val="auto"/>
        </w:rPr>
      </w:pPr>
    </w:p>
    <w:p>
      <w:pPr>
        <w:ind w:left="1700" w:hanging="342"/>
        <w:spacing w:after="0"/>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 Purchase Price then in effect.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or electronic mail, to be followed by delivery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1960" w:hanging="656"/>
        <w:spacing w:after="0"/>
        <w:tabs>
          <w:tab w:leader="none" w:pos="1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1(b),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or actively traded over-the-counter: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05"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the Per Share Price shall be deemed to be the closing price of the Warrant Stock as quoted on any exchange, as published on Yahoo! Finance (or a successor thereto or equivalent publisher) for the trading day immediately prior to the date of Holder’s election hereunder.</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292"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actively traded over-the-counter, the Per Share Price shall be deemed to be the closing bid or sales price, whichever is applicable, of the Warrant Stock for the trading day immediately prior to the date of the Holder’s election hereunder.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5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the Per Share Price shall be the price per share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based on relevant facts and circumstances at the time of the net exercise under Section 1(b), including in the case of a Liquidity Event the consideration receivable by the holders of the Warrant Stock in such Liquidity Event and the liquidation preference (including any declared but unpaid dividends), if any, then applicable to the corresponding Warrant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Company shall not issue to Holder any Warrant Stock to the extent such shares after giving effect to such issuance after exercise and when added to the number of shares of Common Stock (1) issued or issuable upon exercise of the Warrant to Acquire Securities of Innventure, Inc., dated October 22, 2024, by and between Company and WTI FUND X, LLC, (2) issued or issuable upon exercise of the Warrant to Acquire Securities of Innventure, Inc., dated October 22, 2024, by and between Company and WTI FUND XI, LLC, (3) issued and issuable upon conversion of any shares of Series B preferred stock issued pursuant to the Investment Agreement, dated September 27, 2024, by and among Learn SPAC Holdco, Inc. and the purchasers listed on Schedule I thereto, (4) issued or issuable upon exercise of the Warrant to Acquire Securities of Innventure, Inc., dated March 31, 2025, by and between Company and WTI Fund X, LLC, and (5) issued and issuable in connection with any other transaction that would result in the number of shares of Common Stock issued in private offerings exceeding the aggregate number of Common Stock the Company is permitted to issue under the Nasdaq Stock Market rules without obtaining Stockholder Approval (hereinafter defined), would:</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Holder (together with Holder’s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or (b) controlling in excess of 19.99% of the total voting power of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unless and until Company obtains stockholder approval permitting such issuances in accordance with applicable Nasdaq Stock Market rules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right="20" w:firstLine="1952"/>
        <w:spacing w:after="0" w:line="282" w:lineRule="auto"/>
        <w:tabs>
          <w:tab w:leader="none" w:pos="256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Company obtains Stockholder Approval.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1(d), beneficial ownership shall be determined in accordance with Section 13(d) of the Securities Exchange Act of 1934, as amended, and the rules and regulations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1(d), in determining the number of outstanding shares of Common Stock, Holder may rely on the number of outstanding shares of Common Stock as reflected in (i) Company’s most recent Quarterly Report on Form 10-Q or Annual Report on Form 10-K, as the case may be,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a more recent public announcement by Company, or (iii) any other notice by Company or Company’s transfer agent setting forth the number of shares of Common Stock outstanding. Upon the written or oral request of Holder, Company shall within two Business Days confirm orally and in writing to such Holder the number of shares of Common Stock then outstanding.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on any attempted exercise of this Warrant, the issuance of the shares of Warrant Stock would exceed the Maximum Aggregate Ownership Amount, the Maximum Aggregate Voting Amount or the Issuance Cap, and Company shall not have previously obtained Stockholder Approval at the time of exercise, then Company shall issue to Holder requesting exercise such number of shares of Warrant Stock as may be issued below the Maximum Aggregate Ownership Amount, Maximum Aggregate Voting Amount or the Issuance Cap, as the case may be, and, with respect to the remainder of the aggregate number of shares of Warrant Stock, this Warrant shall not be convertible until and unless Stockholder Approval has been obtained. Company agrees to seek such Stockholder Approval as soon as reasonably practicable to enable Holder to exercise this Warrant and acquire the number of shares of Warrant Stock desired by Holder.</w:t>
      </w:r>
    </w:p>
    <w:p>
      <w:pPr>
        <w:spacing w:after="0" w:line="189" w:lineRule="exact"/>
        <w:rPr>
          <w:sz w:val="20"/>
          <w:szCs w:val="20"/>
          <w:color w:val="auto"/>
        </w:rPr>
      </w:pPr>
    </w:p>
    <w:p>
      <w:pPr>
        <w:ind w:left="1340" w:hanging="684"/>
        <w:spacing w:after="0"/>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Warrant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except as otherwise permitted by the federal securities laws and the rules and regulations thereunder. Each holder of this Warrant or the Warrant Stock issuable hereunder will cause any proposed transferee of the Warrant or Warrant Stock to (i) agree to take and hold such securities subject to the provisions and upon the conditions specified in this Section 2 and (ii) comply with the applicable provisions of the federal securities laws and the rules and regulations thereunder. Notwithstanding the foregoing and any other provision of this Section 2, Holder may freely transfer all or part of this Warrant or the shares issuable upon exercise of this Warrant (or the securities acquirable,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to the extent permitted by the federal securities laws and the rules and regulations thereunder.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Warrant Stock, (iii) shares of Company’s Common Stock issued upon conversion of the corresponding Subsequent Round Stock and (iv) any other securities issued in respect to the corresponding Subsequent Round Stock or Common Stock issued upon conversion of the corresponding Subsequent Round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3" w:lineRule="exact"/>
        <w:rPr>
          <w:sz w:val="20"/>
          <w:szCs w:val="20"/>
          <w:color w:val="auto"/>
        </w:rPr>
      </w:pPr>
    </w:p>
    <w:p>
      <w:pPr>
        <w:jc w:val="both"/>
        <w:ind w:firstLine="1304"/>
        <w:spacing w:after="0" w:line="256" w:lineRule="auto"/>
        <w:tabs>
          <w:tab w:leader="none" w:pos="188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and each person to whom this Warrant is subsequently transferred represents and warrants to Company (by acceptance of such transfer) that it will not transfer this Warrant (or securities acquirable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(iii) an opinion of counsel, reasonably satisfactory to counsel for Company, that an exemption from such registration is available, or (iv) Company otherwise satisfies itself that such transaction is exempt from registration.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both"/>
        <w:ind w:firstLine="1304"/>
        <w:spacing w:after="0" w:line="266" w:lineRule="auto"/>
        <w:tabs>
          <w:tab w:leader="none" w:pos="192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maintain a register for the recordation of the names and addresses of any Persons owning an interest in this Warrant pursuant to the terms hereof from time to time, and, in order for any transfer of this Warrant to become effective, shall amend such register to reflect any transfer otherwise properly affected pursuant to this Section 2.</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41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with commercially reasonable efforts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(as described in Section 4 hereof)</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number of shares of Warrant Stock issuable after such action upon exercise of all outstanding warrants, together with all shares of Warrant Stock then outstanding and 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(ii) if the total number of shares of Common Stock issuable after such action upon the conversion of all such shares of Warrant Stock together with all shares of Common Stock then outstanding and then issuable upon exercise of all options and upon the conversion of all convertible securities then outstanding would exceed the total number of shares of Common Stock then authorized by the Charter or (iii) if the par value per share of the Warrant Stock would exceed the Stock Purchase Price.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Warrant Stock</w:t>
      </w:r>
      <w:r>
        <w:rPr>
          <w:rFonts w:ascii="Times New Roman" w:cs="Times New Roman" w:eastAsia="Times New Roman" w:hAnsi="Times New Roman"/>
          <w:sz w:val="18"/>
          <w:szCs w:val="18"/>
          <w:color w:val="auto"/>
        </w:rPr>
        <w:t>. In case Company shall at any time subdivide its outstanding shares of Warrant Stock into a greater number of shares, the Stock Purchase Price in effect immediately prior to such subdivision shall be proportionately reduced, and conversely, in case the outstanding shares of Warrant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Warrant Stock (or any shares of stock or other securities at the time receivable upon the exercise of this Warrant) shall have received or become entitled to receive,</w:t>
      </w:r>
    </w:p>
    <w:p>
      <w:pPr>
        <w:spacing w:after="0" w:line="162" w:lineRule="exact"/>
        <w:rPr>
          <w:sz w:val="20"/>
          <w:szCs w:val="20"/>
          <w:color w:val="auto"/>
        </w:rPr>
      </w:pPr>
    </w:p>
    <w:p>
      <w:pPr>
        <w:jc w:val="both"/>
        <w:ind w:firstLine="1952"/>
        <w:spacing w:after="0" w:line="266" w:lineRule="auto"/>
        <w:tabs>
          <w:tab w:leader="none" w:pos="267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any shares of stock or other securities whether or not such securities are at any time directly or indirectly convertible into or exchangeable for Warrant Stock, or any rights or options to subscribe for, purchase or otherwise acquire any of the foregoing by way of dividend or other distribution,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2620" w:hanging="668"/>
        <w:spacing w:after="0"/>
        <w:tabs>
          <w:tab w:leader="none" w:pos="2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7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other or additional stock or other securities or property (including cash) by way of spin off, split-up, reclassification, combination of shares or similar corporate rearrangement, (other than shares of Warrant Stock issued as a stock split, adjustments in respect of which shall be covered by the terms of Section 4.1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and in each such case, Holder shall be entitled to receive, without being required to first exercise this Warrant and without payment of any additional consideration therefor, the amount of such securities and property (including cash in the cases referred to in clauses (b) and (c) above), which shall be determined as if Holder had been the holder of record of the shares of Warrant Stock acquirable hereunder as of the date on which the other holders of Company’s Warrant Stock received or became entitled to receive such shares and/or all other additional stock and other securities and property.</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Automatic Exchange upon a Liquidity Event; Expiration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27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the consummation of a Liquidity Event and the Expiration Date,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Liquidity Event or the Expiration Date, as applicable,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consideration for their issuance pursuant to the terms of the preceding sentence.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means the first to occur of: (i) the closing of any merger or consolidation (or similar transaction) of Company into or with another entity after which the stockholders of Company immediately prior to such transaction do not hold immediately following the consummation of such transaction by virtue of their shares in Company or securities received in exchange for such shares in connection with the transaction, more than fifty percent (50%) the voting power of the surviving entity; (ii) the closing of any privatization (i.e., a take-private transaction) of Company; (iii) the closing of any sale, lease, license, transfer or other disposition of all or substantially all of the assets of Company in a single transaction or series of related transactions; (iv) the closing of any sale or transfer by Company or its stockholders of fifty percent (50%) or more of the voting power of Company in a transaction or series of related transactions; (iv)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or (v) the closing of any transaction or series of related transactions deemed to be a liquidation, dissolution or winding up of Company pursuant to the provisions of Company’s charter documents. This Warrant shall terminate upon Holder’s receipt of the number of shares of Company’s equity securities described in this Section 4.3(a).</w:t>
      </w:r>
    </w:p>
    <w:p>
      <w:pPr>
        <w:spacing w:after="0" w:line="19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acknowledges and agrees that, notwithstanding anything to the contrary in the Warrant, on the Expiration Date, Holder shall have the option to exchange this Warrant for a cash payment in an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Holder shall provide Company with reasonable prior written notice of its intent to exercise the option set forth in this Section 4.3(b). If Holder exercises the option set forth in this Section 4.3(b) then Company shall make such payment to Holder by wire transfer on the Expiration Date, or within thirty days of the Expiration Date, pursuant to wire transfer instructions provided to Company by Holder.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“Pay-to-Play” Exemption</w:t>
      </w:r>
      <w:r>
        <w:rPr>
          <w:rFonts w:ascii="Times New Roman" w:cs="Times New Roman" w:eastAsia="Times New Roman" w:hAnsi="Times New Roman"/>
          <w:sz w:val="18"/>
          <w:szCs w:val="18"/>
          <w:color w:val="auto"/>
        </w:rPr>
        <w:t>. In the event that the rights, preferences or privileges of the shares of Warrant Stock issuable upon the exercise of this Warrant are amended or modified, or a recapitalization, reclassification, conversion or exchange of such outstanding shares of Warrant Stock is effected in connection with an equity or debt financing transaction which occurs after the date hereof (each, as applicable, a “</w:t>
      </w:r>
      <w:r>
        <w:rPr>
          <w:rFonts w:ascii="Times New Roman" w:cs="Times New Roman" w:eastAsia="Times New Roman" w:hAnsi="Times New Roman"/>
          <w:sz w:val="18"/>
          <w:szCs w:val="18"/>
          <w:u w:val="single" w:color="auto"/>
          <w:color w:val="auto"/>
        </w:rPr>
        <w:t>Pay-to-Play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this Warrant (and the shares of Warrant Stock issuable hereunder) shall be exempt from such Pay-to-Play Transaction, and shall automatically and without any action required by Holder become exercisable for the type of securities as would have been issued or exchanged, or would have remained outstanding or been purchasable, as the case may be, in respect of the shares of Warrant Stock issuable hereunder had Holder exercised this Warrant in full prior to such event and purchased all shares pursuant to the cash exercise provision set forth in Section 1(a) hereof, and participated in the equity or debt financing to the maximum extent permitted.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Stock Purchase Price, and/or any increase or decrease in the number of shares purchasable upon the exercise of this Warrant, Company shall give written notice thereof, by either (i) first class mail, postage prepaid or (ii) electronic mail, addressed to the registered holder of this Warrant at the address of such holder as shown on the books of Company or as otherwise known by Company. The notice,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signed by an officer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600" w:hanging="648"/>
        <w:spacing w:after="0"/>
        <w:tabs>
          <w:tab w:leader="none" w:pos="2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Warrant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71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Warrant Stock payable in stock or make any special dividend or other distribution to the holders of its Warrant Stock;</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Warrant Stock any additional shares of stock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or other rights;</w:t>
      </w:r>
    </w:p>
    <w:p>
      <w:pPr>
        <w:spacing w:after="0" w:line="206"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any other Liquidity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w:t>
      </w:r>
    </w:p>
    <w:p>
      <w:pPr>
        <w:spacing w:after="0" w:line="20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Warrant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any one or more of said cases, Company shall give, by first class mail, postage prepaid, addressed to Holder at the address of such Holder as shown on the books of Company,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Warrant Stock shall be entitled thereto. Any notice given in accordance with the foregoing clause (ii) shall also specify the date on which the holders of Warrant Stock shall be entitled to exchange their Warrant Stock for securities or other property deliverable upon such reorganization, reclassification, consolidation, merger, sale, dissolution, liquidation or winding-up, or other action as the case may be.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Warrant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acquirable under this Warrant, the Stock Purchase Price and/or the application of such provisions, in accordance with such essential intent and principles, so as to protect such purchase rights as aforesaid. The adjustment shall be such as will give Holder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firstLine="656"/>
        <w:spacing w:after="0" w:line="266" w:lineRule="auto"/>
        <w:tabs>
          <w:tab w:leader="none" w:pos="141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Warrant Stock upon the exercise of this Warrant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being exercised.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19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Warrant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0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the right to vote or to consent as a stockholder in respect of meetings of stockholders for the election of directors of Company or any other matters or any rights whatsoever as a stockholder of Company. If any dividends are due or paid at any time on the underlying securities for which this Warrant is exercisable then the securities acquirable hereunder shall be deemed to have accrued dividends and be paid identical dividends from the same time as the outstanding shares for which this Warrant is exercisable were first issued. No provisions hereof, in the absence of affirmative action by Holder to purchase shares of Warrant Stock, and no mere enumeration herein of the rights or privileges of Holder,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Holder (including any assignee) shall provide an IRS Form W-9 or applicable IRS Form W-8 to Company prior to becoming party to this Warrant and from time to time upon Company’s reasonable request and at the time or times prescribed by applicable law; provided, that if Holder (including any assignee) does not provide an IRS Form W-9 or an applicable IRS Form W-8 evidencing a complete exemption from U.S. federal income tax withholding on payments to be made pursuant to this Warrant, Company may deduct and withhold from any payments to be made to such Person pursuant to this Warrant any taxes required to be deducted or withheld pursuant to applicable law. To the extent that any taxes are so deducted or withheld and remitted to the applicable taxing authority, they will be treated for all purposes of this Warrant as being paid to the Person in respect of which such deduction or withholding has been made. Company acknowledges that initial Holder provided Company with an IRS Form W-9 prior to the date hereof and Company shall not be entitled to deduct and/or withhold from any payments to be made to initial Holder.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Holder shall be entitled, with respect to the shares of Warrant Stock issued upon exercise hereof to all of the registration rights set forth in the Registration Rights Agreement, dated as of October 22, 2024 (as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the same extent and on the same terms and conditions as possessed by the investors thereunder with the following exceptions and clarifications: (i) Holder will have no right to make a written request under the Rights Agreement that Company file a registration statement under Form S-1 of the Securities 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will be subject to the same provisions regarding indemnification as contained in the Rights Agreement; and (iii) the registration rights are freely assignable by Holder in connection with a permitted transfer of this Warrant or the shares acquirable upon exercise hereof. Company shall take such action as may be reasonably necessary to assure that the granting of such registration rights to Holder does not violate the provisions of the Rights Agreement or any of Company’s charter documents or rights of prior grantees of registration rights.</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34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and of the holder of shares of Warrant Stock issued upon exercise of this Warrant, contained in Sections 6 and 9 shall survive the exercise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firstLine="656"/>
        <w:spacing w:after="0" w:line="282" w:lineRule="auto"/>
        <w:tabs>
          <w:tab w:leader="none" w:pos="159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72" w:lineRule="auto"/>
        <w:tabs>
          <w:tab w:leader="none" w:pos="136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Holder or Company shall be deemed to have been given (i) upon receipt if delivered personally or by courier, (ii) upon confirmation of receipt if by telecopy, (iii) upon receipt if delivered by electronic mail to the email listed below such party’s signature on the signature page to this Warrant at or before 5:00 p.m. Eastern Time on a Business Day,</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31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9:00 a.m. Eastern Time on the immediately succeeding Business Day if received by electronic mail at the email listed below such party’s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rights and obligations of Company relating to the Warrant Stock acquirable upon the exercise of this Warrant shall survive the exercise and termination of this Warrant. All of the covenants and agreements of Company shall inure to the benefit of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Warrant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All questions concerning the construction, validity, enforcement and interpretation of this Warrant shall be construed and enforced in accordance with, and the rights of the parties shall be governed by, the laws of the State of Delaware, without regard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represents and warrants to Holder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at its election either pay the holder entitled to such fraction a sum in cash equal to such fraction multiplied by the then effective Stock Purchase Price or round up to the next whole share.</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and financial risk of that investment.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It is acquiring this Warrant for investment for its own account and not with a view to, or for resale in connection with, any distribution thereof. It understands that this Warrant and the shares of Warrant Stock issuable upon the exercise hereof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It acknowledges that this Warrant and the Warrant Stock acquirable hereunder must be held indefinitely, unless they are subsequently registered under the Securities Act or an exemption from such registration is available. It has been advised or is aware of the provisions of Rule 144 promulgated under the Securities Act, and understands the resale limitations imposed thereby and by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It is an “accredited investor” within the meaning of Regulation D promulgated under the Securities Act.</w:t>
      </w:r>
    </w:p>
    <w:p>
      <w:pPr>
        <w:spacing w:after="0" w:line="225" w:lineRule="exact"/>
        <w:rPr>
          <w:sz w:val="20"/>
          <w:szCs w:val="20"/>
          <w:color w:val="auto"/>
        </w:rPr>
      </w:pPr>
    </w:p>
    <w:p>
      <w:pPr>
        <w:ind w:left="1340" w:hanging="684"/>
        <w:spacing w:after="0"/>
        <w:tabs>
          <w:tab w:leader="none" w:pos="1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Company hereby represents, warrants and agrees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Company is a company duly incorporated and validly existing in good standing under the laws of the jurisdiction of its incorporation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 Validity and Enforceability</w:t>
      </w:r>
      <w:r>
        <w:rPr>
          <w:rFonts w:ascii="Times New Roman" w:cs="Times New Roman" w:eastAsia="Times New Roman" w:hAnsi="Times New Roman"/>
          <w:sz w:val="18"/>
          <w:szCs w:val="18"/>
          <w:color w:val="auto"/>
        </w:rPr>
        <w:t>. The execution, delivery and performance of the Warrant are within Company’s powers, have been duly authorized, and are not in conflict with the Charter or Company’s Bylaws. The Warrant constitutes a valid and binding obligation of Company, enforceable in accordance with its terms (except as may be limited by bankruptcy, insolvency and similar laws affecting the enforcement of creditors’ rights in general, and subject to general principles of equity).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Subject in part to the truth and accuracy of Holder’s representations set forth in Section 17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Company of this Warrant is not in conflict with any law, rule, regulation, order or directive, or any indenture, agreement, or undertaking to which Company is a party or by which Company may be bound or affected except, in each case, to the extent any such conflict would not reasonably be expected to have a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Company has provided Holder with true and complete copies of its Charter and Bylaws, and each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From time to time up to the earlier of: (a) the consummation of a Liquidity Event; (b) the Expiration Date and (c) such date as Holder’s auditors no longer require such information, Company shall furnish to Holder (i) within 180 days after the close of each fiscal year of Company, an audited balance sheet and cash flow statement at and as of the end of such fiscal year, together with an audited statement of income for such fiscal year; provided that if Company’s Board of Directors does not require Company’s financial statements to be audited for a particular fiscal year, then Company shall deliver such financial statements to Holder unaudited, and (ii) within 45 days after the close of each fiscal quarter of Company, an unaudited balance sheet, income statement and cash flow statement, each at and as of the end of such quarter, together with an up-to-date summary capitalization table, provided that such capitalization table shall be provided to Holder only if Company’s securities are not publicly traded; and (iii) promptly after the closing of each equity financing and convertible debt financing consummated by Company after the date this Warrant has been issued, a copy of the term sheet for such financing (if any), a post-closing, summary capitalization table and other information relating to the then-current valuation of Company. In addition, Company agrees to provide Holder at any time and from time to time with such information as Holder may reasonably request for purposes of Holder’s valuation of Company and Holder’s compliance (as determined by Holder in its reasonable discretion) with regulatory, accounting and reporting requirements applicable to Holder; provided, however, that in no event shall Company be obligated to (i) provide Holder with information that is not in Company’s possession or (ii) take any action with a third party or otherwise engage a third party in connection with such request. Notwithstanding the foregoing, Company shall not be required to furnish to Holder the financial information described in this Section 18.7 in the event such financial information has been previously delivered pursuant to the Loan Agreement. Further notwithstanding anything in this Section 18.7 to the contrary, if in connection with a Liquidity Event Holder receives securities of a privately held company then the rights described in this Section 18.7 shall be deemed to continue to apply to such company in order to enable Holder to comply with regulatory, accounting and reporting requirements applicable to Holder. Further notwithstanding anything in this Section 18.7 or this Warrant to the contrary, Company shall not be required to provide information in respect of which disclosure is prohibited by law, which is subject to attorney-client or similar privilege or constitutes attorney work-product, in respect of which Company owes confidentiality obligations to any third party, which constitutes non-financial trade secrets or non-financial proprietary information or which has been previously made publicly available as part of Company’s filings with the SEC.</w:t>
      </w:r>
    </w:p>
    <w:p>
      <w:pPr>
        <w:spacing w:after="0" w:line="188" w:lineRule="exact"/>
        <w:rPr>
          <w:sz w:val="20"/>
          <w:szCs w:val="20"/>
          <w:color w:val="auto"/>
        </w:rPr>
      </w:pPr>
    </w:p>
    <w:p>
      <w:pPr>
        <w:jc w:val="both"/>
        <w:ind w:firstLine="656"/>
        <w:spacing w:after="0" w:line="252" w:lineRule="auto"/>
        <w:tabs>
          <w:tab w:leader="none" w:pos="13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Purchase Securities in Future Financings</w:t>
      </w:r>
      <w:r>
        <w:rPr>
          <w:rFonts w:ascii="Times New Roman" w:cs="Times New Roman" w:eastAsia="Times New Roman" w:hAnsi="Times New Roman"/>
          <w:sz w:val="18"/>
          <w:szCs w:val="18"/>
          <w:color w:val="auto"/>
        </w:rPr>
        <w:t>. In connection with any equity or convertible debt securities that Company may from time to time propose to offer or sell after the date of issuance of this Warrant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Company hereby grants to Holder the right to invest up to the greater of (i): $375,000 and (ii)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Holder shall not have any obligation to purchase Company’s securities in any such Future Financings. In the event Holder exercises its purchase right set forth hereunder, Holder shall not have any obligation to purchase such securities, except pursuant to those definitive purchase documents executed by other purchasers in connection with the applicable offering. For avoidance of doubt, the right granted herein shall apply to all future sales of Company’s equity and convertible debt securities consummated by Company after the date hereof until the Expiration Date. The right to purchase securities in future sales by Company thereof described in this Section 19 shall survive the payment and satisfaction of all of the Company’s Obligations to Lender until the Expiration Date, notwithstanding anything to the contrary set forth in any other Loan Document executed or delivered by Company or Lender after the date hereof. Holder shall be entitled to apportion the rights hereby granted to it among itself and any affiliate of Holder in such proportions as Holder deems appropriate. For the further avoidance of doubt, (i) if the amount raised in any Future Financing is less than $5,000,000, then the Holder’s right to invest in such Future Financing shall be limited to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(ii) if Holder exercises its purchase right set forth hereunder, Holder shall be required to enter into the same definitive purchase documents executed by other purchasers in connection with the applicable offering; and (iii) if Holder exercises its purchase right set forth hereunder, Holder shall be required to comply with the same timeline as the other purchasers in connection with the applicable offering.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firstLine="656"/>
        <w:spacing w:after="0" w:line="254" w:lineRule="auto"/>
        <w:tabs>
          <w:tab w:leader="none" w:pos="13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Holder may not Transfer (hereinafter defined) this Warrant or the Warrant Stock until the end of the period beginning on the date hereof and ending on the date of the opening of the first trading window at least 180 days after the date hereof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provided such Transfer restriction shall be applicable to Holder so long as all of Company’s other stockholders are subject to the same restriction. As used in this Section 20,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135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Unit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acknowledge and agree that this Warrant is intended to constitute an investment unit within the meaning of Section 1273(c)(2) of the Internal Revenue Code of 1986, as amended.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192849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WTI FUND XI,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WTI Fund XI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Westech Investment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192849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17830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18516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 Rothschild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California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jklugman@foxrothschild.com and TPaikedayLeDuc@foxrothschild.com</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26035</wp:posOffset>
            </wp:positionV>
            <wp:extent cx="171450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246" w:lineRule="exact"/>
        <w:rPr>
          <w:sz w:val="20"/>
          <w:szCs w:val="20"/>
          <w:color w:val="auto"/>
        </w:rPr>
      </w:pPr>
    </w:p>
    <w:p>
      <w:pPr>
        <w:jc w:val="both"/>
        <w:ind w:left="340" w:hanging="332"/>
        <w:spacing w:after="0" w:line="257" w:lineRule="auto"/>
        <w:tabs>
          <w:tab w:leader="none" w:pos="340"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See Below ________________ (_____)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Warrant Stock of __________ and herewith makes payment of _____________ Dollars ($________) therefor, and requests that the certificates for such shares be issued in the name of, and delivered to,</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 whose address is ___________.</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undersigned hereby elects to convert</w:t>
            </w:r>
          </w:p>
        </w:tc>
        <w:tc>
          <w:tcPr>
            <w:tcW w:w="8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w:t>
            </w: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of the value of the Warrant pursuant to the provisions of Section 1(b) of the</w:t>
            </w:r>
          </w:p>
        </w:tc>
      </w:tr>
      <w:tr>
        <w:trPr>
          <w:trHeight w:val="237"/>
        </w:trPr>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w:t>
            </w:r>
          </w:p>
        </w:tc>
        <w:tc>
          <w:tcPr>
            <w:tcW w:w="82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462915</wp:posOffset>
            </wp:positionV>
            <wp:extent cx="216027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60270" cy="1714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163195</wp:posOffset>
            </wp:positionV>
            <wp:extent cx="21602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hanging="652"/>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acquirable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62" w:lineRule="exact"/>
        <w:rPr>
          <w:sz w:val="20"/>
          <w:szCs w:val="20"/>
          <w:color w:val="auto"/>
        </w:rPr>
      </w:pPr>
    </w:p>
    <w:p>
      <w:pPr>
        <w:spacing w:after="0"/>
        <w:tabs>
          <w:tab w:leader="none" w:pos="3700" w:val="left"/>
          <w:tab w:leader="none" w:pos="752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056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SECURITIES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25, 2025, is between</w:t>
      </w:r>
      <w:r>
        <w:rPr>
          <w:rFonts w:ascii="Times New Roman" w:cs="Times New Roman" w:eastAsia="Times New Roman" w:hAnsi="Times New Roman"/>
          <w:sz w:val="18"/>
          <w:szCs w:val="18"/>
          <w:b w:val="1"/>
          <w:bCs w:val="1"/>
          <w:color w:val="auto"/>
        </w:rPr>
        <w:t xml:space="preserve"> INNVENTURE, INC.,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investors listed on the Schedule of Buyers attached as Schedule I hereto (individually, a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each Buyer desire to enter into this transaction for the Company to sell and the Buyers to purchase the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Debentures (as defined below) pursuant to an exemption from registration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and/or Rule 506 of Regulation D (“</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promulgated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the Company shall issue and sell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Buyer(s), as provided herein, and the Buyer(s) shall purchase convertible debentures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Debentures</w:t>
      </w:r>
      <w:r>
        <w:rPr>
          <w:rFonts w:ascii="Times New Roman" w:cs="Times New Roman" w:eastAsia="Times New Roman" w:hAnsi="Times New Roman"/>
          <w:sz w:val="18"/>
          <w:szCs w:val="18"/>
          <w:color w:val="auto"/>
        </w:rPr>
        <w:t>”) in the aggregate principal amount of up to $30,000,000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which shall be convertible into shares of the Company’s common stock, par value $0.0001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(as converted,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of which $20,000,000 shall be purchased upon the satisfaction of the conditions to closing in Sections 6 and 7 (the “</w:t>
      </w:r>
      <w:r>
        <w:rPr>
          <w:rFonts w:ascii="Times New Roman" w:cs="Times New Roman" w:eastAsia="Times New Roman" w:hAnsi="Times New Roman"/>
          <w:sz w:val="18"/>
          <w:szCs w:val="18"/>
          <w:u w:val="single" w:color="auto"/>
          <w:color w:val="auto"/>
        </w:rPr>
        <w:t>First Closing</w:t>
      </w:r>
      <w:r>
        <w:rPr>
          <w:rFonts w:ascii="Times New Roman" w:cs="Times New Roman" w:eastAsia="Times New Roman" w:hAnsi="Times New Roman"/>
          <w:sz w:val="18"/>
          <w:szCs w:val="18"/>
          <w:color w:val="auto"/>
        </w:rPr>
        <w:t>”) and $10,000,000 shall be purchased on the first Business Day after both (i) the date the Registration Statement has first been declared effective by the SEC and (ii) the Company has received Stockholder Approval (as defined below) (the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(individually referred to as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at a purchase price equal to 90% of the Subscription Amount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in the respective amounts set forth opposite each Buyer(s) name on Schedule I to this Agreement;</w:t>
      </w:r>
    </w:p>
    <w:p>
      <w:pPr>
        <w:spacing w:after="0" w:line="18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First Closing Date (as defined in Section 1(c) below), the parties hereto are executing and delivering a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has agreed to provide certain registration rights under the Securities Act and the rules and regulations promulgated thereunder, and applicable state securities laws;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Convertible Debentures and the Conversion Shares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covenants contained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each Buyer hereby agree as follows: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2" w:name="page63"/>
    <w:bookmarkEnd w:id="62"/>
    <w:p>
      <w:pPr>
        <w:ind w:left="640" w:hanging="632"/>
        <w:spacing w:after="0"/>
        <w:tabs>
          <w:tab w:leader="none" w:pos="6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CONVERTIBLE DEBENTURES.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2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Convertible Debentures</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each Buyer, and each Buyer severally, but not jointly, agrees to purchase from the Company at each Closing, Convertible Debentures with principal amount corresponding to the Subscription Amount set forth opposite each Buyer’s name on Schedule I attached 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Dates</w:t>
      </w:r>
      <w:r>
        <w:rPr>
          <w:rFonts w:ascii="Times New Roman" w:cs="Times New Roman" w:eastAsia="Times New Roman" w:hAnsi="Times New Roman"/>
          <w:sz w:val="18"/>
          <w:szCs w:val="18"/>
          <w:color w:val="auto"/>
        </w:rPr>
        <w:t>. Each Closing shall occur remotely by conference call and electronic delivery of documentation. The date and time of each Closing shall be as follows: (i) the First Closing shall be at 10:00 a.m., New York time, on the first Business Day on which the conditions to the Closing set forth in Sections 6 and 7 below are satisfied or waived (or such other date as is mutually agreed to by the Company and each Buyer) (the “</w:t>
      </w:r>
      <w:r>
        <w:rPr>
          <w:rFonts w:ascii="Times New Roman" w:cs="Times New Roman" w:eastAsia="Times New Roman" w:hAnsi="Times New Roman"/>
          <w:sz w:val="18"/>
          <w:szCs w:val="18"/>
          <w:u w:val="single" w:color="auto"/>
          <w:color w:val="auto"/>
        </w:rPr>
        <w:t>First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(ii) the Second Closing shall be at 10:00 a.m., New York time, on the first Business Day after the Registration Statement is first declared effective by the SEC, and the Company has received Stockholder Approval (as defined below), provided the conditions to the Closing set forth in Sections 6 and 7 below are satisfied or waived at such time (or such other date as is mutually agreed to by the Company and each Buyer) (the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collectively with the First Closing Date, the “</w:t>
      </w:r>
      <w:r>
        <w:rPr>
          <w:rFonts w:ascii="Times New Roman" w:cs="Times New Roman" w:eastAsia="Times New Roman" w:hAnsi="Times New Roman"/>
          <w:sz w:val="18"/>
          <w:szCs w:val="18"/>
          <w:u w:val="single" w:color="auto"/>
          <w:color w:val="auto"/>
        </w:rPr>
        <w:t>Closing Dates</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New York are authorized or required by law to remain closed.</w:t>
      </w:r>
    </w:p>
    <w:p>
      <w:pPr>
        <w:spacing w:after="0" w:line="19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 Deliveries</w:t>
      </w:r>
      <w:r>
        <w:rPr>
          <w:rFonts w:ascii="Times New Roman" w:cs="Times New Roman" w:eastAsia="Times New Roman" w:hAnsi="Times New Roman"/>
          <w:sz w:val="18"/>
          <w:szCs w:val="18"/>
          <w:color w:val="auto"/>
        </w:rPr>
        <w:t>. Subject to the satisfaction (or waiver) of the terms and conditions of this Agreement, on each Closing Date,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Buyers shall deliver to the Company, in immediately available funds to a bank account designated in writing by the Company, the Purchase Price for the Convertible Debentures to be issued and sold to such Buyer at such Closing, minus any fees or expenses to be paid directly from the proceeds of such Closing as set forth herein, and (ii) the Company shall deliver to each Buyer, Convertible Debentures which such Buyer is purchasing at such Closing with a principal amount corresponding with the Subscription Amount set forth opposite each Buyer’s name on Schedule of Buyers attached as Schedule I hereto, duly executed on behalf of the Company.</w:t>
      </w:r>
    </w:p>
    <w:p>
      <w:pPr>
        <w:spacing w:after="0" w:line="186"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Shares</w:t>
      </w:r>
      <w:r>
        <w:rPr>
          <w:rFonts w:ascii="Times New Roman" w:cs="Times New Roman" w:eastAsia="Times New Roman" w:hAnsi="Times New Roman"/>
          <w:sz w:val="18"/>
          <w:szCs w:val="18"/>
          <w:color w:val="auto"/>
        </w:rPr>
        <w:t>. Notwithstanding anything in this Agreement to the contrary, the Company shall not issue any Common Shares pursuant to the transactions contemplated hereby or any other Transaction Documents (as defined below) (including the Conversion Shares) if the issuance of Common Shares would exceed the aggregate number of Common Shares that the Company may issue in this transaction, and any transaction aggregated with this transaction, in compliance with the Company’s obligations under the rules or regulations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(the number of shares which may be issued without violating such rules and regulations being referred to as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Nasdaq for issuances of Common Shares in excess of such amount or (B) obtains a written opinion from outside counsel to the Company that such approval is not required, which opinion shall be reasonably satisfactory to the Buyers. The Exchange Cap shall be appropriately adjusted for any stock dividend, stock split, reverse stock split or similar transaction.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ind w:left="640" w:hanging="632"/>
        <w:spacing w:after="0"/>
        <w:tabs>
          <w:tab w:leader="none" w:pos="6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Buyer, severally and not jointly, represents and warrants to the Company with respect to only itself that, as of the date hereof and as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jc w:val="both"/>
        <w:ind w:firstLine="656"/>
        <w:spacing w:after="0" w:line="254" w:lineRule="auto"/>
        <w:tabs>
          <w:tab w:leader="none" w:pos="130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Buyer is acquiring the Securities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covering such Securities or an available exemption under the Securities Act. Such Buyer does not presently have any agreement or understanding, directly or indirectly, with any Person (as defined below) to distribute any of the Securities in violation of applicable securities laws. As used herein,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 limited liability company, an association, a partnership, an organization, a business, an individual, a governmental or political subdivision thereof or a governmental agency.</w:t>
      </w:r>
    </w:p>
    <w:p>
      <w:pPr>
        <w:spacing w:after="0" w:line="19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The Buyer is an “Accredited Investor” as that term is defined in Rule 501(a)(3) of Regulation 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Buyer and its advisors (and its counsel), if any, have been furnished with all materials relating to the business, finances and operations of the Company and information the Buyer deemed material to making an informed investment decision regarding its purchase of the Securities, which have been requested by such Buyer. The Buyer and its advisors, if any, have been afforded the opportunity to ask questions of the Company and its management. Neither such inquiries nor any other due diligence investigations conducted by such Buyer or its advisors, if any, or its representatives shall modify, amend or affect such Buyer’s right to rely on the Company’s representations and warranties contained in Section 3 below. The Buyer understands that its investment in the Securities involves a high degree of risk. The Buyer has sought such accounting, legal and tax advice, as it has considered necessary to make an informed investment decision with respect to its acquisition of the Securities.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both"/>
        <w:ind w:firstLine="656"/>
        <w:spacing w:after="0" w:line="253" w:lineRule="auto"/>
        <w:tabs>
          <w:tab w:leader="none" w:pos="123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The Buyer understands that: (i) the Securities have not been registered under the Securities Act or any state securities laws, and may not be offered for sale, sold, assigned or transferred unless (A) subsequently registered thereunder, (B) such Buyer shall have delivered to the Company an opinion of counsel, in a generally acceptable form, to the effect that such Securities to be sold, assigned or transferred may be sold, assigned or transferred pursuant to an exemption from such registration requirements, or (C) such Buyer provides the Company with reasonable assurances (in the form of seller and broker representation letters) that such Securities can be sold, assigned or transferred pursuant to Rule 144 promulgated under the Securities Act, as amended (or a successor rule thereto) (collectively,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in each case following the applicable holding period set forth therein;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3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Buyer agrees to the imprinting, so long as its required by this Section 2(f), of a restrictive legend on the Convertible Debentures in substantially the following form:</w:t>
      </w:r>
    </w:p>
    <w:p>
      <w:pPr>
        <w:spacing w:after="0" w:line="162" w:lineRule="exact"/>
        <w:rPr>
          <w:sz w:val="20"/>
          <w:szCs w:val="20"/>
          <w:color w:val="auto"/>
        </w:rPr>
      </w:pPr>
    </w:p>
    <w:p>
      <w:pPr>
        <w:jc w:val="both"/>
        <w:ind w:left="660" w:right="640"/>
        <w:spacing w:after="0" w:line="253" w:lineRule="auto"/>
        <w:rPr>
          <w:sz w:val="20"/>
          <w:szCs w:val="20"/>
          <w:color w:val="auto"/>
        </w:rPr>
      </w:pPr>
      <w:r>
        <w:rPr>
          <w:rFonts w:ascii="Times New Roman" w:cs="Times New Roman" w:eastAsia="Times New Roman" w:hAnsi="Times New Roman"/>
          <w:sz w:val="18"/>
          <w:szCs w:val="18"/>
          <w:color w:val="auto"/>
        </w:rPr>
        <w:t>THE SECURITIES REPRESENTED BY THIS CERTIFICATE AND THOSE SECURITIES INTO WHICH THEY ARE CONVERTIBLE HAVE NOT BEEN REGISTERED UNDER THE SECURITIES ACT OF 1933, AS AMENDED, OR APPLICABLE STATE SECURITIES LAWS. THE SECURITIES AND THOSE SECURITIES INTO WHICH THEY ARE CONVERTIBLE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 NOTWITHSTANDING THE FOREGOING, THE SECURITIES MAY BE PLEDGED IN CONNECTION WITH A BONA FIDE MARGIN ACCOUNT OR OTHER LOAN OR FINANCING ARRANGEMENT SECURED BY THE SECURITIES.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line="282" w:lineRule="auto"/>
        <w:rPr>
          <w:sz w:val="20"/>
          <w:szCs w:val="20"/>
          <w:color w:val="auto"/>
        </w:rPr>
      </w:pPr>
      <w:r>
        <w:rPr>
          <w:rFonts w:ascii="Times New Roman" w:cs="Times New Roman" w:eastAsia="Times New Roman" w:hAnsi="Times New Roman"/>
          <w:sz w:val="18"/>
          <w:szCs w:val="18"/>
          <w:color w:val="auto"/>
        </w:rPr>
        <w:t>The Buyer agrees to the imprinting, so long as its required by this Section 2(f), of a restrictive legend on the Conversion Shares in substantially the following form:</w:t>
      </w:r>
    </w:p>
    <w:p>
      <w:pPr>
        <w:spacing w:after="0" w:line="162" w:lineRule="exact"/>
        <w:rPr>
          <w:sz w:val="20"/>
          <w:szCs w:val="20"/>
          <w:color w:val="auto"/>
        </w:rPr>
      </w:pPr>
    </w:p>
    <w:p>
      <w:pPr>
        <w:jc w:val="both"/>
        <w:ind w:left="660" w:right="640"/>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OR APPLICABLE STATE SECURITIES LAWS. THE SECURITIES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Certificates evidencing the Conversion Shares shall not contain any legend (including the legend set forth above), (i) following any sale of such Conversion Shares pursuant to Rule 144, (ii) if such legend is not required under applicable requirements of the Securities Act (including judicial interpretations and pronouncements issued by the staff of the SEC), or (iii) while a registration statement (including the Registration Statement) covering the resale of such security is effective under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sub-clause (iii), the Company has received a customary representation letter from such Buyer, the form and substance of which shall be reasonably satisfactory to the Company, confirming that such Buyer shall sell the Conversion Shares within seven Trading Days following the date of the delivery of such representation letter and shall return such securities to be relegended if such sale does not take place. If a legend is not required pursuant to the foregoing, the Company shall no later than two (2) Trading Days (or such earlier date as required pursuant to the Exchange Act (as defined below)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and otherwise in form necessary to affect the reissuance and/or transfer, if applicable), together with any other deliveries from such Buyer as may be required above in this Section 2(f), as directed by such Buyer, either: (A) provided that the Company’s transfer agent is participating in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credit the aggregate number of Common Shares to which such Buyer shall be entitled to such Buyer’s or its designee’s balance account with DTC through its Deposit/Withdrawal at Custodian system or (B) if the Company’s transfer agent is not participating in the DTC Fast Automated Securities Transfer Program, issue and deliver (via reputable overnight courier) to such Buyer, a certificate representing such securities that is free from all restrictive and other legends, registered in the name of such Buyer or its designee. The Company shall be responsible for any transfer agent fees or DTC fees with respect to any issuance of Securities or the removal of any legends with respect to any Securities in accordance herewith. The Buyer agrees that the removal of a restrictive legend from certificates representing Securities as set forth in this Section 2(f) is predicated upon the Company’s reliance that the Buyer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firstLine="656"/>
        <w:spacing w:after="0" w:line="266" w:lineRule="auto"/>
        <w:tabs>
          <w:tab w:leader="none" w:pos="134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Transaction Documents to which such Buyer is a party have been duly and validly authorized, executed and delivered on behalf of such Buyer and shall constitute the legal, valid and binding obligations of such Buyer enforceable against such Buyer in accordance with their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Buyer of this Agreement and the consummation by such Buyer of the transactions contemplated 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3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The Buyer has not directly or indirectly, nor has any Person acting on behalf of or pursuant to any understanding with the Buyer, engaged in any transactions in the securities of the Company (including, without limitation, any Short Sales (as defined below) involving the Company's securities) during the period commencing as of the time that the Buyer first contacted the Company or the Company's agents regarding the specific investment in the Company contemplated by this Agreement (but not prior to February 1, 2025) and ending immediately prior to the execution of this Agreement by such Buyer.</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37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Buyer is not purchasing or acquiring the Securities as a result of any general solicitation or general advertising (within the meaning of Regulation D) in connection with the offer or sale of the Securities.</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Buyer is not (i) an officer or director of the Company or any of its Subsidiaries, (ii) an “affiliate” (as defined in Rule</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3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 or any of its Subsidiaries or (iii) a “beneficial owner” of more than 10% of the Common Shares (as defined for purposes of Rule 13d-3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firstLine="656"/>
        <w:spacing w:after="0" w:line="261" w:lineRule="auto"/>
        <w:tabs>
          <w:tab w:leader="none" w:pos="131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Risks. The Buyer has such knowledge and experience in financial, tax and business matters as to be capable of evaluating the merits and risks of, and bearing the economic risks entailed by, an investment in the Securities of the Company and of protecting its interests in connection with the transactions contemplated hereby. The Buyer acknowledges and agrees that its investment in the Company involves a high degree of risk, and that the Buyer may lose all or a part of its investment.</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set forth in the SEC Documents (as defined below) that are available on the SEC’s website through the EDGAR system at least one (1)</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Business Day prior to the date of this Agreement and each Closing (in each case, unless context provides otherwise), and as set forth on the Disclosure Schedule (as defined below), the Company hereby makes the representations and warranties set forth below to each Buyer as of each Closing:</w:t>
      </w:r>
    </w:p>
    <w:p>
      <w:pPr>
        <w:spacing w:after="0" w:line="181" w:lineRule="exact"/>
        <w:rPr>
          <w:sz w:val="20"/>
          <w:szCs w:val="20"/>
          <w:color w:val="auto"/>
        </w:rPr>
      </w:pPr>
    </w:p>
    <w:p>
      <w:pPr>
        <w:jc w:val="both"/>
        <w:ind w:firstLine="656"/>
        <w:spacing w:after="0" w:line="253" w:lineRule="auto"/>
        <w:tabs>
          <w:tab w:leader="none" w:pos="124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are entities duly formed, validly existing and in good standing under the laws of the jurisdiction in which they are formed, and have the requisite power and authority to own their properties and to carry on their business as now being conducted and as presently proposed to be conducted.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 otherwise) or of the Company and its Subsidiaries, taken as a whole, (ii) the transactions contemplated hereby or in any of the other Transaction Documents or any other agreements or instruments to be entered into by the Company in connection herewith or therewith or (iii) the authority or ability of the Company to perform any of its obligations under any of the Transaction Documents.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any Person in which the Company, directly or indirectly, owns a majority of the outstanding capital stock having voting power or holds a majority of the equity or similar interest of such Person, and each of the foregoing, is individually referred to herein as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firstLine="656"/>
        <w:spacing w:after="0" w:line="252" w:lineRule="auto"/>
        <w:tabs>
          <w:tab w:leader="none" w:pos="138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corporate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Convertible Debentures, and the reservation for issuance and issuance of the Conversion Shares issuable upon conversion of the Convertible Debentures), have been duly authorized by the Company's board of directors and no further filing, consent or authorization is required by the Company, its board of directors or its stockholders or other governmental body. This Agreement has been, and the other Transaction Documents to which the Company is a party will be prior to the Closing, duly executed and delivered by the Company, and, assuming the execution and delivery thereof and acceptance by the Buyer, to the extent applicable, will constitute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Registration Rights Agreement, the Convertible Debentures, the Global Guaranty, and each of the other agreements and instruments entered into by the Company or delivered by the Company in connection with the transactions contemplated hereby and thereby, as may be amended from time to time.</w:t>
      </w:r>
    </w:p>
    <w:p>
      <w:pPr>
        <w:spacing w:after="0" w:line="197" w:lineRule="exact"/>
        <w:rPr>
          <w:rFonts w:ascii="Times New Roman" w:cs="Times New Roman" w:eastAsia="Times New Roman" w:hAnsi="Times New Roman"/>
          <w:sz w:val="18"/>
          <w:szCs w:val="18"/>
          <w:color w:val="auto"/>
        </w:rPr>
      </w:pPr>
    </w:p>
    <w:p>
      <w:pPr>
        <w:jc w:val="both"/>
        <w:ind w:firstLine="656"/>
        <w:spacing w:after="0" w:line="255" w:lineRule="auto"/>
        <w:tabs>
          <w:tab w:leader="none" w:pos="133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Securities has been duly authorized and, upon issuance and payment in accordance with the terms of the Transaction Documents, the Securities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with respect to the issuance thereof. As of each Closing Date, the Company shall have reserved from its duly authorized capital stock not less than the Required Reserve Amount (as defined herein). Upon issuance or conversion in accordance with the Convertible Debentures, the Conversion Shares, when issued, will be validly issued, fully paid and nonassessable and free from all preemptive or similar rights or Liens with respect to the issue thereof, with the holders being entitled to all rights accorded to a holder of Common Shares.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38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Convertible Debentures, the Conversion Shares, and the reservation for issuance of the Conversion Shares) will not (i) result in a violation of the Certificate of Incorporation (as defined below),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under, or give to others any rights of termination, amendment, acceleration or cancellation of, any agreement, indenture or instrument to which the Company or any of its Subsidiaries is a party, or (iii) result in a material violation of any law, rule, regulation, order, judgment or decree (including, without limitation, U.S. federal and state securities laws and regulations, the securities laws of the jurisdictions of the Company's incorporation or in which it or its subsidiaries operate and the rules and regulations of Nasdaq (the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provided however, that in the event the Common Shares are ever listed or traded on any of the New York Stock Exchange, or the NYSE American, the “Principal Market” shall mean that market on which the Common Shares are then listed or traded) and including all applicable laws, rules and regulations of the jurisdiction of incorporation of the Company) applicable to the Company or any of its Subsidiaries or by which any property or asset of the Company or any of its Subsidiaries is bound or affected, except in the case of (ii) for any conflict, default, right or violation that would not reasonably be expected to result in a Material Adverse Effect.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firstLine="656"/>
        <w:spacing w:after="0" w:line="252" w:lineRule="auto"/>
        <w:tabs>
          <w:tab w:leader="none" w:pos="120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is not required to obtain any consent from, authorization or order of, or make any filing or registration with (other than any filings as may be required by any federal or state securities agencies and any filings as may be required by the Principal Market), any Governmental Entity (as defined below) or any regulatory or self-regulatory agency or any other Person in order for it to execute, deliver or perform any of its obligations under or contemplated by the Transaction Documents, in each case, in accordance with the terms hereof or thereof, other than the consent from WTI Fund X, Inc. and WTI Fund XI, Inc. (together, the “</w:t>
      </w:r>
      <w:r>
        <w:rPr>
          <w:rFonts w:ascii="Times New Roman" w:cs="Times New Roman" w:eastAsia="Times New Roman" w:hAnsi="Times New Roman"/>
          <w:sz w:val="18"/>
          <w:szCs w:val="18"/>
          <w:u w:val="single" w:color="auto"/>
          <w:color w:val="auto"/>
        </w:rPr>
        <w:t>WTI Lenders</w:t>
      </w:r>
      <w:r>
        <w:rPr>
          <w:rFonts w:ascii="Times New Roman" w:cs="Times New Roman" w:eastAsia="Times New Roman" w:hAnsi="Times New Roman"/>
          <w:sz w:val="18"/>
          <w:szCs w:val="18"/>
          <w:color w:val="auto"/>
        </w:rPr>
        <w:t>”). All consents, authorizations, orders, filings and registrations which the Company or any Subsidiary is required to obtain pursuant to the preceding sentence have been or will be obtained or effected on or prior to the First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Shares in the foreseeable future. The Company has notified or will notify the Principal Market of the issuance of all of the Securities hereunder, which does not require obtaining the approval of the stockholders of the Company or any other Person or Governmental Entity, and the Principal Market has completed its review of the related Listing of Additional Shares form.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93"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to its knowledge, an "affiliate" (as defined in Rule 144 promulgated under the Securities Act (or a successor rule thereto) (collectively,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of the Company or any of its Subsidiaries or (iii) to its knowledge, a “beneficial owner” of more than 10% of the Common Shares (as defined for purposes of Rule 13d-3 of the Exchange Act). The Company further acknowledges that no Buyer (nor any affiliate of any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to which it is a party has been based solely on the independent evaluation by the Company and its representatives.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656"/>
        <w:spacing w:after="0" w:line="256" w:lineRule="auto"/>
        <w:tabs>
          <w:tab w:leader="none" w:pos="123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stockholders of the Company under any applicable stockholders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cause the offering of any of the Securities to be integrated with other offerings of securities of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14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Conversion Shares will increase in certain circumstances. The Company further acknowledges its obligation to issue the Conversion Shares upon conversion of the Convertible Debentures in accordance with the terms thereof is, absolute and unconditional regardless of the dilutive effect that such issuance may have on the ownership interests of other stockholders of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stockholders, business combination, poison pill (including, without limitation, any distribution under a rights agreement), stockholders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firstLine="656"/>
        <w:spacing w:after="0" w:line="251" w:lineRule="auto"/>
        <w:tabs>
          <w:tab w:leader="none" w:pos="142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Since October 2, 2024, the Company has timely filed all reports, schedules, forms, proxy statements, statements and other documents required to be filed by it with the SEC pursuant to the reporting requirements of the Exchange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The Company has delivered or has made available to the Buyers or their respective representatives true, correct and complete copies of any the SEC Documents not available on the EDGAR system. As of their respective dates, the SEC Documents complied in all material respects with the requirements of the Exchange Act or the Securities Act, as applicable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written information provided by or on behalf of the Company to any of the Buyers which is not included in the SEC Documents (including, without limitation, information referred to in Section 2(d))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3"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a Form 10-K or a Form S-1, there has been no Material Adverse Effect, nor any event or occurrence specifically affecting the Company or its Subsidiaries that would be reasonably expected to result in a Material Adverse Effect. Since the date of the Company's most recent audited financial statements contained in a Form 10-K or Form S-1, neither the Company nor any of its Subsidiaries has (i) declared or paid any dividends on the Common Shares, (ii) sold any material assets, individually or in the aggregate, outside of the ordinary course of business or (iii) made any material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both"/>
        <w:ind w:firstLine="656"/>
        <w:spacing w:after="0" w:line="258" w:lineRule="auto"/>
        <w:tabs>
          <w:tab w:leader="none" w:pos="13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No event, liability, development or circumstance has occurred or exists, or is reasonably expected to exist or occur specific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filed with the SEC relating to an issuance and sale by the Company of its Common Shares and which has not been publicly announced, or (ii)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20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Neither the Company nor any of its Subsidiaries is in violation of any term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violations which would not reasonably be expected to have a Material Adverse Effect. Without limiting the generality of the foregoing, the Company is not in material violation of any of the rules, regulations or requirements of the Principal Market, and has no knowledge of any facts or circumstances that could reasonably lead to delisting or suspension of trading of the Common Shares by the Principal Market in the foreseeable future. Since October 3, 2024, (i) the Common Shares have been listed or designated for quotation on the Principal Market, (ii) trading in the Common Shares has not been suspended by the SEC or the Principal Market and (iii) the Company has received no communication, written or oral, from the SEC or the Principal Market regarding the suspension or delisting of the Common Shares from the Principal Market, which has not been publicly disclosed.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reasonably be expected to have, individually or in the aggregate, a Material Adverse Effect, and neither the Company nor any of its Subsidiaries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both"/>
        <w:ind w:firstLine="656"/>
        <w:spacing w:after="0" w:line="253" w:lineRule="auto"/>
        <w:tabs>
          <w:tab w:leader="none" w:pos="13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of its Subsidiaries nor any director, officer, agent, employee, nor any other Person acting for or on behalf of the Company or any of its Subsidiaries (individually and collectively, a “</w:t>
      </w:r>
      <w:r>
        <w:rPr>
          <w:rFonts w:ascii="Times New Roman" w:cs="Times New Roman" w:eastAsia="Times New Roman" w:hAnsi="Times New Roman"/>
          <w:sz w:val="18"/>
          <w:szCs w:val="18"/>
          <w:u w:val="single" w:color="auto"/>
          <w:color w:val="auto"/>
        </w:rPr>
        <w:t>Company Affiliate</w:t>
      </w:r>
      <w:r>
        <w:rPr>
          <w:rFonts w:ascii="Times New Roman" w:cs="Times New Roman" w:eastAsia="Times New Roman" w:hAnsi="Times New Roman"/>
          <w:sz w:val="18"/>
          <w:szCs w:val="18"/>
          <w:color w:val="auto"/>
        </w:rPr>
        <w:t>”) have violated the U.S. Foreign Corrupt Practices Act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in violation of applicable law, of: (i)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 (ii) assisting the Company or its Subsidiaries in obtaining or retaining business for or with, or directing business to, the Company or its Subsidiaries.</w:t>
      </w:r>
    </w:p>
    <w:p>
      <w:pPr>
        <w:spacing w:after="0" w:line="19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and Outstanding Capital Stock</w:t>
      </w:r>
      <w:r>
        <w:rPr>
          <w:rFonts w:ascii="Times New Roman" w:cs="Times New Roman" w:eastAsia="Times New Roman" w:hAnsi="Times New Roman"/>
          <w:sz w:val="18"/>
          <w:szCs w:val="18"/>
          <w:color w:val="auto"/>
        </w:rPr>
        <w:t>. As of the date hereof, the authorized capital stock of the Company consists of 250,000,000 Common Shares and 25,000,000 shares of preferred stock, par value $0.0001, of which 47,101,300 Common Shares are issued and outstanding, 1,118,808 shares of preferred stock, designated as Series B preferred stock, are issued and outstanding, and 2,885,848 shares of preferred stock, designated as Series C preferred stock, are issued and outstanding. As of the date hereof, the Company has reserved 54,081,514 Common Shares for issuance to parties or Persons other than the Buyers.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0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Available Shares</w:t>
      </w:r>
      <w:r>
        <w:rPr>
          <w:rFonts w:ascii="Times New Roman" w:cs="Times New Roman" w:eastAsia="Times New Roman" w:hAnsi="Times New Roman"/>
          <w:sz w:val="18"/>
          <w:szCs w:val="18"/>
          <w:color w:val="auto"/>
        </w:rPr>
        <w:t>. All outstanding Common Shares are duly authorized and have been validly issued and are fully paid and nonassessable. As of the date hereof (A) 54,081,514 Common Shares have been reserved for issuance pursuant to Convertible Securities (as defined below) (other than the Convertible Debentures) and (B) 17,398,813 Common Shares are, as of the date hereof, owned by Persons who are “affiliates” (as defined in Rule 405 of the Securities Act and calculated based on the assumption that only officers, directors and holders of at least 10% of the Company’s issued and outstanding Common Shares are “affiliates” without conceding that any such Persons are “affiliates” for purposes of federal securities laws) of the Company or any of its Subsidiaries.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Shares) or any of its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left="-460" w:firstLine="644"/>
        <w:spacing w:after="0" w:line="252" w:lineRule="auto"/>
        <w:tabs>
          <w:tab w:leader="none" w:pos="9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for warrants to acquire up to 300,000 Common Shares issuable upon conversion or exercise of equity securities that the Company expects to issue within 30 days of the First Closing to the WTI Lenders, forms of which have been provided to the Buyers, or as otherwise disclosed in the SEC Documents: (A) none of the Company's shares, interests or capital stock is subject to preemptive rights or any other similar rights or Liens suffered or permitted by the Company ; (B) other than issuances pursuant to the Company’s equity incentive plans, there are no outstanding options, warrants, scrip, rights to subscribe to, calls or commitments of any character whatsoever relating to, or securities or rights convertible into, or exercisable or exchangeable for, any shares, interests or capital stock of the Company, or contracts, commitments, understandings or arrangements by which the Company is or may become bound to issue additional shares, interests or capital stock of the Company or options, warrants, scrip, rights to subscribe to, calls or commitments of any character whatsoever relating to, or securities or rights convertible into, or exercisable or exchangeable for, any shares, interests or capital stock of the Company; (C) there are no agreements or arrangements under which the Company is obligated to register the sale of any of their securities under the Securities Act (except pursuant to this Agreement); (D) there are no outstanding securities or instruments of the Company which contain any redemption or similar provisions, and there are no contracts, commitments, understandings or arrangements by which the Company is or may become bound to redeem a security of the Company ; (E) there are no securities or instruments containing anti-dilution or similar provisions that will be triggered by the issuance of the Securities; and (F) neither the Company nor any Subsidiary has entered into any Variable Rate Transaction.</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6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Buyers or filed on EDGAR true, correct and complete copies of the Company's Certificate of Incorporation, as amended and as in effect on the date hereof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the terms of all convertible securities and the material rights of the holders thereof in respect thereto.</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5" w:name="page76"/>
    <w:bookmarkEnd w:id="75"/>
    <w:p>
      <w:pPr>
        <w:jc w:val="both"/>
        <w:ind w:firstLine="656"/>
        <w:spacing w:after="0" w:line="251" w:lineRule="auto"/>
        <w:tabs>
          <w:tab w:leader="none" w:pos="133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Other than as set forth in the SEC Documents, the Company does not, (i) have any outstanding debt securities, notes, credit agreements, credit facilities or other agreements, documents or instruments evidencing Indebtedness of the Company or any of its Significant Subsidiaries or by which the Company or any of its Significant Subsidiaries is or may become bound, (ii) is a party to any contract, agreement or instrument, the violation of which, or default under which, by the other party(ies) to such contract, agreement or instrument could reasonably be expected to result in a Material Adverse Effect, (iii) have any financing statements securing obligations in any amounts filed in connection with the Company or any of its Significant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Significant Subsidiaries have any liabilities or obligations required to be disclosed in the SEC Documents which are not so disclosed in the SEC Documents, other than those incurred in the ordinary course of the businesses and which, individually or in the aggregate, do not or could not have a Material Adverse Effect. For purposes of this Agreement: (x)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means each of the wholly owned Subsidiaries of the Company as of the date hereof.</w:t>
      </w:r>
    </w:p>
    <w:p>
      <w:pPr>
        <w:spacing w:after="0" w:line="202"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Other than as set forth in the SEC Filings, there is no action, suit, arbitration, proceeding, inquiry or investigation before or by the Principal Market, any court, public board, other Governmental Entity, self-regulatory organization or body pending or, to the knowledge of the Company, threatened against or affecting the Company any of its Significant Subsidiaries, the Common Shares or any of the Company's any of its Significant Subsidiaries’ officers or directors, whether of a civil or criminal nature or otherwise, in their capacities as such, which would reasonably be expected to result in a Material Adverse Effect. After reasonable inquiry of its employees, the Company is not aware of any event which might result in or form the basis for any such action, suit, arbitration, investigation, inquiry or other proceeding. Without limitation of the foregoing, there has not been, and to the knowledge of the Company, there is not pending or contemplated, any investigation by the SEC involving the Company, any of its Significant Subsidiaries, or any current or former director or officer of the Company or any of its Significant Subsidiaries. Neither the Company nor any of its Significant Subsidiaries is the subject of any order, writ, judgment, injunction, decree, determination or award of any Governmental Entity that would reasonably be expected to result in a Material Adverse Effect.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both"/>
        <w:ind w:firstLine="656"/>
        <w:spacing w:after="0" w:line="253" w:lineRule="auto"/>
        <w:tabs>
          <w:tab w:leader="none" w:pos="139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Significant Subsidiaries owns or possesses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necessary to conduct its business as now conducted and presently proposed to be conducted. The Company does not have any knowledge of any infringement by the Company of Intellectual Property Rights of others. There is no claim, action or proceeding being made or brought, or to the knowledge of the Company or any of its Significant Subsidiaries, being threatened, against the Company or any of its Significant Subsidiaries regarding its Intellectual Property Rights that would reasonably be expected to result in a Material Adverse Effect. Neither the Company nor any of its Significant Subsidiaries is aware of any facts or circumstances which might give rise to any of the foregoing infringements or claims, actions or proceedings. The Company and its Significant Subsidiaries have taken reasonable security measures to protect the secrecy, confidentiality and value of all of its Intellectual Property Rights.</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in each case, as would not be reasonably anticipated to have a Material Adverse Effect, the Company and its Significant Subsidiaries (a) are in compliance with any and all applicable laws relating to the protection of human health and safety, the environment or hazardous or toxic substances or wastes, pollutants or contaminants, (b) have received and hold all material permits, licenses or other approvals required of it under all such laws to conduct its respective businesses and (c) is in compliance with all material terms and conditions of any such permit, license or approval.</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Significant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knows of no basis for any such claim where failure to pay would cause a Material Adverse Effect. The Company is not operated in such a manner as to qualify as a passive foreign investment company, as defined in Section 1297 of the Code. The net operating loss carryforwards (“</w:t>
      </w:r>
      <w:r>
        <w:rPr>
          <w:rFonts w:ascii="Times New Roman" w:cs="Times New Roman" w:eastAsia="Times New Roman" w:hAnsi="Times New Roman"/>
          <w:sz w:val="18"/>
          <w:szCs w:val="18"/>
          <w:u w:val="single" w:color="auto"/>
          <w:color w:val="auto"/>
        </w:rPr>
        <w:t>NOLs</w:t>
      </w:r>
      <w:r>
        <w:rPr>
          <w:rFonts w:ascii="Times New Roman" w:cs="Times New Roman" w:eastAsia="Times New Roman" w:hAnsi="Times New Roman"/>
          <w:sz w:val="18"/>
          <w:szCs w:val="18"/>
          <w:color w:val="auto"/>
        </w:rPr>
        <w:t>”) for United States federal income tax purposes of the consolidated group of which the Company is the common parent, if any, shall not be adversely effected by the transactions contemplated hereby. The transactions contemplated hereby do not constitute an “ownership change” within the meaning of Section 382 of the Code, thereby preserving the Company’s ability to utilize such NOLs.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both"/>
        <w:ind w:firstLine="656"/>
        <w:spacing w:after="0" w:line="255" w:lineRule="auto"/>
        <w:tabs>
          <w:tab w:leader="none" w:pos="118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Except as set forth in the SEC Filings, the Company and each of its Significant Subsidiaries maintains internal control over financial reporting (as such term is defined in Rule 13a-15(f) under the Exchange Act) that is designed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9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Exchange Act) that are effective in ensuring that information required to be disclosed by the Company in the reports that it files or submits under the Exchange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Exchange Act, as applicable, is accumulated and communicated to the Company’s management, including its principal executive officer or officers and its principal financial officer or officers, as appropriate, to allow timely decisions regarding required disclosure.</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2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any each of its Significant Subsidiaries are insured by insurers of recognized financial responsibility against such losses and risks and in such amounts as management of the Company believes to be prudent and customary in the businesses in which the Company and its Significant Subsidiaries are engaged. Neither the Company nor any of its Significant Subsidiaries have been refused any insurance coverage sought or applied for, and neither the Company nor any of its Significant Subsidiaries have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The Company does not have, and, to the knowledge of the Company, no Person acting on their behalf has, directly or indirectly, (i) taken any action designed to cause or to result in the stabilization or manipulation of the price of any security of the Company to facilitate the sale or resale of any of the Securities, or (ii) sold, bid for, purchased, or paid any compensation for soliciting purchases of, any of the Securities.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right="20" w:firstLine="656"/>
        <w:spacing w:after="0" w:line="282" w:lineRule="auto"/>
        <w:tabs>
          <w:tab w:leader="none" w:pos="140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resale of the Conversion Shares by the Buyers using Form S-1 promulgated under the Securities Act.</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Significant Subsidiaries or, to the knowledge of the Company, any director, officer or controlled affiliate of the Company or any director or officer of any Significant Subsidiaries,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(including, without limitation, the Crimea, Zaporizhzhia and Kherson regions, the Donetsk People’s Republic and Luhansk People’s Republic in Ukraine, Cuba, Iran, North Korea, Russia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Neither the Company nor any of its Significant Subsidiaries, nor any director, officer or controlled affiliate of the Company or any of its Significant Subsidiaries, has ever had funds blocked by a United States bank or financial institution, temporarily or otherwise, as a result of OFAC concerns. For the past five years, neither the Company nor any of its Significant Subsidiaries has engaged in, and is now not engaged in, any dealings or transactions with any Person, or in any country or territory, that at the time of the dealing or transaction is or was the subject of Sanctions or was a Sanctioned Country.</w:t>
      </w:r>
    </w:p>
    <w:p>
      <w:pPr>
        <w:spacing w:after="0" w:line="190" w:lineRule="exact"/>
        <w:rPr>
          <w:sz w:val="20"/>
          <w:szCs w:val="20"/>
          <w:color w:val="auto"/>
        </w:rPr>
      </w:pPr>
    </w:p>
    <w:p>
      <w:pPr>
        <w:jc w:val="both"/>
        <w:ind w:firstLine="656"/>
        <w:spacing w:after="0" w:line="252" w:lineRule="auto"/>
        <w:tabs>
          <w:tab w:leader="none" w:pos="12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disclosures provided to the Buyers regarding the Company, their businesses and the transactions contemplated hereby, including the schedules to this Agreement, furnished by or on behalf of the Company, taken as a whole, are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No event or circumstance has occurred or information exists with respect to the Company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and made available to the Buyers have been prepared in good faith based upon reasonable assumptions and represented, at the time each such financial projection or forecast was delivered to each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Section 2.</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left="-20" w:firstLine="656"/>
        <w:spacing w:after="0" w:line="266" w:lineRule="auto"/>
        <w:tabs>
          <w:tab w:leader="none" w:pos="12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has engaged in any form of general solicitation or general advertising (within the meaning of Regulation D under the Securities Act) in connection with the offer or sale of the Securities.</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Buyers’ representations and warranties set forth in Section 2, no registration under the Securities Act is required for the offer and sale of the Securities by the Company to the Buyers as contemplated hereby. The issuance and sale of the Securities hereunder does not contravene the rules and regulations of the Principal Market.</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31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Securities to be offered and sold hereunder in reliance on Rule 506(b) under the Securities Act (“</w:t>
      </w:r>
      <w:r>
        <w:rPr>
          <w:rFonts w:ascii="Times New Roman" w:cs="Times New Roman" w:eastAsia="Times New Roman" w:hAnsi="Times New Roman"/>
          <w:sz w:val="18"/>
          <w:szCs w:val="18"/>
          <w:u w:val="single" w:color="auto"/>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188" w:lineRule="exact"/>
        <w:rPr>
          <w:rFonts w:ascii="Times New Roman" w:cs="Times New Roman" w:eastAsia="Times New Roman" w:hAnsi="Times New Roman"/>
          <w:sz w:val="18"/>
          <w:szCs w:val="18"/>
          <w:color w:val="auto"/>
        </w:rPr>
      </w:pPr>
    </w:p>
    <w:p>
      <w:pPr>
        <w:ind w:left="-20" w:firstLine="656"/>
        <w:spacing w:after="0" w:line="282" w:lineRule="auto"/>
        <w:tabs>
          <w:tab w:leader="none" w:pos="132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that has been or will be paid (directly or indirectly) remuneration for solicitation of Buyers or potential purchasers in connection with the sale of any Regulation D Securities.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80" w:name="page81"/>
    <w:bookmarkEnd w:id="80"/>
    <w:p>
      <w:pPr>
        <w:jc w:val="both"/>
        <w:ind w:firstLine="656"/>
        <w:spacing w:after="0" w:line="258" w:lineRule="auto"/>
        <w:tabs>
          <w:tab w:leader="none" w:pos="125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formerly or presently employed by the Company and the Company is current with respect to any fees owed to its accountants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7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25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and Blue Sky</w:t>
      </w:r>
      <w:r>
        <w:rPr>
          <w:rFonts w:ascii="Times New Roman" w:cs="Times New Roman" w:eastAsia="Times New Roman" w:hAnsi="Times New Roman"/>
          <w:sz w:val="18"/>
          <w:szCs w:val="18"/>
          <w:color w:val="auto"/>
        </w:rPr>
        <w:t>. To the extent required, the Company shall file a 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For the period beginning on the date hereof, and ending 6 months after the date on which all the Convertible Debentures are no longer outstanding (the “</w:t>
      </w:r>
      <w:r>
        <w:rPr>
          <w:rFonts w:ascii="Times New Roman" w:cs="Times New Roman" w:eastAsia="Times New Roman" w:hAnsi="Times New Roman"/>
          <w:sz w:val="18"/>
          <w:szCs w:val="18"/>
          <w:u w:val="single" w:color="auto"/>
          <w:color w:val="auto"/>
        </w:rPr>
        <w:t>Reporting Period</w:t>
      </w:r>
      <w:r>
        <w:rPr>
          <w:rFonts w:ascii="Times New Roman" w:cs="Times New Roman" w:eastAsia="Times New Roman" w:hAnsi="Times New Roman"/>
          <w:sz w:val="18"/>
          <w:szCs w:val="18"/>
          <w:color w:val="auto"/>
        </w:rPr>
        <w:t>”), the Company shall file on a timely basis (which, for the avoidance of doubt, include any permitted extension under Rule 12b-25 of the Exchange Act) all reports required to be filed with the SEC pursuant to the Exchange Act, and the Company shall not terminate its status as an issuer required to file reports under the Exchange Act even if the Exchange Act or the rules and regulations thereunder would no longer require or otherwise permit such termination.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Neither the Company nor any Subsidiary will, directly or indirectly, use the proceeds of the transactions contemplated herein to repay any loans to any executives or employees of the Company or to make any payments in respect of any related party debt. Neither the Company nor any of its Subsidiaries will, directly or indirectly, use the proceeds from the transactions contemplated herein,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 any other manner that will result in a violation of Sanctions or Applicable Laws by any Person (including any Person participating in the transactions contemplated by this Agreement, whether as underwriter, advisor, investor or otherwise). The Company shall not, without the prior written consent of the Buyer, loan, invest, transfer or “downstream” any cash proceeds, or assets or property acquired with cash proceeds from the issuance and sale of the Convertible Debentures to Innventure LLC, unless the Buyer and such Significant Subsidiary enter into a global guaranty agreement in the form attached hereto as Exhibit C (the “</w:t>
      </w:r>
      <w:r>
        <w:rPr>
          <w:rFonts w:ascii="Times New Roman" w:cs="Times New Roman" w:eastAsia="Times New Roman" w:hAnsi="Times New Roman"/>
          <w:sz w:val="18"/>
          <w:szCs w:val="18"/>
          <w:u w:val="single" w:color="auto"/>
          <w:color w:val="auto"/>
        </w:rPr>
        <w:t>Global Guaranty</w:t>
      </w:r>
      <w:r>
        <w:rPr>
          <w:rFonts w:ascii="Times New Roman" w:cs="Times New Roman" w:eastAsia="Times New Roman" w:hAnsi="Times New Roman"/>
          <w:sz w:val="18"/>
          <w:szCs w:val="18"/>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ind w:firstLine="656"/>
        <w:spacing w:after="0" w:line="254" w:lineRule="auto"/>
        <w:tabs>
          <w:tab w:leader="none" w:pos="127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To the extent applicable, the Company shall promptly secure the listing or designation for quotation (as the case may be) of all of the Underlying Securities (as defined below) on the Principal Market, subject to official notice of issuance, and shall use reasonable efforts to maintain such listing or designation for quotation (as the case may be) of all Underlying Securities from time to time issuable under the terms of the Transaction Documents on such Principal Market for the Reporting Period. Neither the Company nor any of its Subsidiaries shall take any action which could be reasonably expected to result in the delisting or suspension of the Common Shares on a Principal Market during the Reporting Period. The Company shall pay all fees and expenses in connection with satisfying its obligations under this Section 4(d). “</w:t>
      </w:r>
      <w:r>
        <w:rPr>
          <w:rFonts w:ascii="Times New Roman" w:cs="Times New Roman" w:eastAsia="Times New Roman" w:hAnsi="Times New Roman"/>
          <w:sz w:val="18"/>
          <w:szCs w:val="18"/>
          <w:u w:val="single" w:color="auto"/>
          <w:color w:val="auto"/>
        </w:rPr>
        <w:t>Underlying Securities</w:t>
      </w:r>
      <w:r>
        <w:rPr>
          <w:rFonts w:ascii="Times New Roman" w:cs="Times New Roman" w:eastAsia="Times New Roman" w:hAnsi="Times New Roman"/>
          <w:sz w:val="18"/>
          <w:szCs w:val="18"/>
          <w:color w:val="auto"/>
        </w:rPr>
        <w:t>” means the (i) the Conversion Shares, and (ii) any Common Shares issued or issuable with respect to the Conversion Shares, including, without limitation, (1) as a result of any stock split, stock dividend, recapitalization, exchange or similar event or otherwise and (2) shares of capital stock of the Company into which the Common Shares are converted or exchanged without regard to any limitations on conversion of the Convertible Debentures.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subject to compliance with applicable federal and state securities laws, the Securities may be pledged by a Buyer in connection with a bona fide margin agreement or other loan or financing arrangement that is secured by the Securities. The Company hereby agrees to execute and deliver such documentation as a pledgee of the Securities may reasonably request in connection with a pledge of the Securities to such pledgee by a Buyer.</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Transactions and Other Material Information.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1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 The Company shall (A) on or before 10:00 pm Eastern Time on the first Business Day after the date of this Agreement, file with the SEC a current report on Form 8-K disclosing (a) all the material terms of the transactions contemplated by the Transaction Documents in the form required by the Exchange Act and attaching the Transaction Documents deemed by the Company necessary to be filed therewith, and (b) all material non-public information concerning the Company disclosed to the Buyers (other than the 2024 Annual Report) (including, required exhibits,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(B) on or before the First Closing Date, file the 2024 Annual Report. In addition, effective upon the filing of the Current Report and the 2024 Annual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any of the Buyers or any of their affiliates, on the other hand, shall terminate, and the Company specifically agrees that the Confidentiality and Non-Disclosure Agreement dated March 20, 2025 between the Company and Yorkville Advisors Global, LP shall terminate.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both"/>
        <w:ind w:firstLine="1304"/>
        <w:spacing w:after="0" w:line="252" w:lineRule="auto"/>
        <w:tabs>
          <w:tab w:leader="none" w:pos="187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first obtaining the express prior written consent of such Buyer (which may be granted or withheld in such Buyer's sole discretion). To the extent that the Company delivers any material, non-public information to a Buyer without such Buyer’s consent, the Company hereby covenants and agrees that such Buyer shall not have any duty of confidentiality with respect to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 press release or other public disclosure with respect to such transactions (i) in substantial conformity with the Current Report and contemporaneously therewith and (ii) as is required by applicable law and regulations (provided that in the case of clause (i) each Buyer shall be consulted by the Company in connection with any such press release or other public disclosure prior to its release). Except with respect to the matters described in the Transaction Agreements, including the name of the Buyers as set forth therein, and events that have occurred pursuant to the terms of the Transaction Agreements,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any material, non-public information regarding the Company or any of its Subsidiaries.</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Confidential Information. Disclosure Failures</w:t>
      </w:r>
      <w:r>
        <w:rPr>
          <w:rFonts w:ascii="Times New Roman" w:cs="Times New Roman" w:eastAsia="Times New Roman" w:hAnsi="Times New Roman"/>
          <w:sz w:val="18"/>
          <w:szCs w:val="18"/>
          <w:color w:val="auto"/>
        </w:rPr>
        <w:t>. In addition to other remedies set forth in this Section 4(g), and without limiting anything set forth in any other Transaction Document, at any time after the Closing Date if the Company, any of its Subsidiaries, or any of their respective officers, directors, employees or agents, provides any Buyer with material non-public information relating to the Company or any of its Subsidiaries (each,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Company shall, on or prior to the applicable Required Disclosure Date (as defined below), publicly disclose such Confidential Information on a Current Report on Form 8-K or otherwise (each, a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From and after such Disclosure, the Company shall have disclosed all Confidential Information provided to such Buyer by the Company or any of its Subsidiaries or any of their respective officers, directors, employees or agents. In addition, effective upon such Disclosure,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Date</w:t>
      </w:r>
      <w:r>
        <w:rPr>
          <w:rFonts w:ascii="Times New Roman" w:cs="Times New Roman" w:eastAsia="Times New Roman" w:hAnsi="Times New Roman"/>
          <w:sz w:val="18"/>
          <w:szCs w:val="18"/>
          <w:color w:val="auto"/>
        </w:rPr>
        <w:t>” means (x) if such Buyer authorized the delivery of such Confidential Information, either (I) if the Company and such Buyer have mutually agreed upon a date (as evidenced by an e-mail or other writing) of Disclosure of such Confidential Information, such agreed upon date or (II) otherwise, the seventh (7th) calendar day after the date such Buyer first received any Confidential Information or (y) if such Buyer did not authorize the delivery of such Confidential Information, the first (1st) Business Day after such Buyer’s receipt of such Confidential Information.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both"/>
        <w:ind w:firstLine="656"/>
        <w:spacing w:after="0" w:line="253" w:lineRule="auto"/>
        <w:tabs>
          <w:tab w:leader="none" w:pos="125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Convertible Debentures, remain outstanding, the Company shall have reserved from its duly authorized capital stock, and shall have instructed its transfer agent to irrevocably reserve, the maximum number of Common Shares issuable upon conversion of all Convertible Debentures (assuming for purposes hereof that (x) such Convertible Debentures are convertible at the Conversion Price (as defined therein) as of the date of determination and (y) any such conversion shall not take into account any limitations on the conversion of the Convertible Debentures set forth therein)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Common Shares reserved pursuant to this Section be reduced other than proportionally in connection with any conversion and/or redemption, or reverse stock split. If at any time the number of Common Shares authorized to be issued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recommending that stockholders vote in favor of an increase in such authorized number of shares sufficient to meet the Required Reserve Amount.</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relating to the SEPA.</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98"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 Exchange Cap</w:t>
      </w:r>
      <w:r>
        <w:rPr>
          <w:rFonts w:ascii="Times New Roman" w:cs="Times New Roman" w:eastAsia="Times New Roman" w:hAnsi="Times New Roman"/>
          <w:sz w:val="18"/>
          <w:szCs w:val="18"/>
          <w:color w:val="auto"/>
        </w:rPr>
        <w:t>. In connection with the Standby Equity Distribution Agreement entered into between the Company and YA II PN, Ltd. (“</w:t>
      </w:r>
      <w:r>
        <w:rPr>
          <w:rFonts w:ascii="Times New Roman" w:cs="Times New Roman" w:eastAsia="Times New Roman" w:hAnsi="Times New Roman"/>
          <w:sz w:val="18"/>
          <w:szCs w:val="18"/>
          <w:u w:val="single" w:color="auto"/>
          <w:color w:val="auto"/>
        </w:rPr>
        <w:t>Yorkville</w:t>
      </w:r>
      <w:r>
        <w:rPr>
          <w:rFonts w:ascii="Times New Roman" w:cs="Times New Roman" w:eastAsia="Times New Roman" w:hAnsi="Times New Roman"/>
          <w:sz w:val="18"/>
          <w:szCs w:val="18"/>
          <w:color w:val="auto"/>
        </w:rPr>
        <w:t>”) on October 24, 2023 (the “</w:t>
      </w:r>
      <w:r>
        <w:rPr>
          <w:rFonts w:ascii="Times New Roman" w:cs="Times New Roman" w:eastAsia="Times New Roman" w:hAnsi="Times New Roman"/>
          <w:sz w:val="18"/>
          <w:szCs w:val="18"/>
          <w:u w:val="single" w:color="auto"/>
          <w:color w:val="auto"/>
        </w:rPr>
        <w:t>SEPA</w:t>
      </w:r>
      <w:r>
        <w:rPr>
          <w:rFonts w:ascii="Times New Roman" w:cs="Times New Roman" w:eastAsia="Times New Roman" w:hAnsi="Times New Roman"/>
          <w:sz w:val="18"/>
          <w:szCs w:val="18"/>
          <w:color w:val="auto"/>
        </w:rPr>
        <w:t>”), the Company shall not effect any sales under the SEPA to the extent that the aggregate number of Common Shares issued thereunder would exceed 9,899,582 Common Shares (the “</w:t>
      </w:r>
      <w:r>
        <w:rPr>
          <w:rFonts w:ascii="Times New Roman" w:cs="Times New Roman" w:eastAsia="Times New Roman" w:hAnsi="Times New Roman"/>
          <w:sz w:val="18"/>
          <w:szCs w:val="18"/>
          <w:u w:val="single" w:color="auto"/>
          <w:color w:val="auto"/>
        </w:rPr>
        <w:t>SEPA Exchange Cap</w:t>
      </w:r>
      <w:r>
        <w:rPr>
          <w:rFonts w:ascii="Times New Roman" w:cs="Times New Roman" w:eastAsia="Times New Roman" w:hAnsi="Times New Roman"/>
          <w:sz w:val="18"/>
          <w:szCs w:val="18"/>
          <w:color w:val="auto"/>
        </w:rPr>
        <w:t>”), subject to certain exceptions in accordance with the rules and regulations of the Principal Market. The Company will use commercially reasonable efforts to include in its proxy statement for its next annual meeting of stockholders a proposal for the purpose of seeking the approval of its stockholders as required by the applicable rules of the Principal Market, for issuances of shares issuable pursuant to the SEPA and the Conversion Shares in excess of the Exchange Cap (such approval by the stockholders, an “</w:t>
      </w:r>
      <w:r>
        <w:rPr>
          <w:rFonts w:ascii="Times New Roman" w:cs="Times New Roman" w:eastAsia="Times New Roman" w:hAnsi="Times New Roman"/>
          <w:sz w:val="18"/>
          <w:szCs w:val="18"/>
          <w:u w:val="single" w:color="auto"/>
          <w:color w:val="auto"/>
        </w:rPr>
        <w:t>Affirmative Vote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shall mean the earlier of (a) an Affirmative Vote, and (b) irrevocable proxies of a majority of the Company’s stockholders indicating their intention to support an Affirmative Vote.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both"/>
        <w:ind w:firstLine="1304"/>
        <w:spacing w:after="0" w:line="254" w:lineRule="auto"/>
        <w:tabs>
          <w:tab w:leader="none" w:pos="203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 Registration Statement</w:t>
      </w:r>
      <w:r>
        <w:rPr>
          <w:rFonts w:ascii="Times New Roman" w:cs="Times New Roman" w:eastAsia="Times New Roman" w:hAnsi="Times New Roman"/>
          <w:sz w:val="18"/>
          <w:szCs w:val="18"/>
          <w:color w:val="auto"/>
        </w:rPr>
        <w:t>. The Company filed a registration statement (File No. 333-282971) (the “</w:t>
      </w:r>
      <w:r>
        <w:rPr>
          <w:rFonts w:ascii="Times New Roman" w:cs="Times New Roman" w:eastAsia="Times New Roman" w:hAnsi="Times New Roman"/>
          <w:sz w:val="18"/>
          <w:szCs w:val="18"/>
          <w:u w:val="single" w:color="auto"/>
          <w:color w:val="auto"/>
        </w:rPr>
        <w:t>SEPA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for the resale by Yorkville of up to 4,418,307 Common Shares issuable pursuant to the SEPA. As of the date hereof, 4,209,314 Common Shares issuable under the SEPA remain registered for resale by Yorkville pursuant to the SEPA Registration Statement. The Company agrees that for so long as any amounts remain outstanding under the Convertible Debentures, if the market value of the number of Common Shares issuable under the SEPA that remain registered for resale by Yorkville pursuant to the SEPA Registration Statement (as determined by multiplying the number of shares available for resale by the last closing price of the Common Shares) is less than 100% of the aggregate principal amount outstanding under the Convertible Debentures, then the Company shall prepare and file a new registration statement to register the resale by Yorkville of additional Common Shares issuable under the SEPA within 30 days of the first occurrence of such event, and use commercially reasonable efforts to have such registration statement declared effective by the SEC within 60 days of filing thereof.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5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 Advances</w:t>
      </w:r>
      <w:r>
        <w:rPr>
          <w:rFonts w:ascii="Times New Roman" w:cs="Times New Roman" w:eastAsia="Times New Roman" w:hAnsi="Times New Roman"/>
          <w:sz w:val="18"/>
          <w:szCs w:val="18"/>
          <w:color w:val="auto"/>
        </w:rPr>
        <w:t xml:space="preserve">. For so long as any amounts remain outstanding under the Convertible Debentures, if the Company submits an Advance Notice (as defined in the SEPA) then, unless otherwise agreed by Yorkville, (1) the Company may only request an Option 2 Pricing Period in such Advance Notice, and, (2) all of the proceeds from such Advance Notice shall be used as an Advance Payment (as defined in the Convertible Debentures),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if all the following conditions have been satisfied with respect to any Advance Notice, then then the proceeds of such Advance Notice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to the Company: (A) the Commitment Amount (as defined in the SEPA) remaining available (after taking into account the subject Advance Notice) exceeds 110% of the aggregate principal amount outstanding under the Convertible Debentures, (B) all monthly payments under the Convertible Debentures that have come due and that are coming due within 31 calendar days following the closing of the subject Advance Notice shall have been repaid, (C) the market value of the number of Common Shares that remain available for issuance under the Exchange Cap (as determined by multiplying the number of shares available under the Exchange Cap by the last closing price of the Common Shares) is at least 200% of the aggregate principal amount outstanding under the Convertible Debentures, and (D) the market value of the number of Common Shares issuable under the SEPA that remain registered for resale by Yorkville pursuant to an effective registration statement (as determined by multiplying the number of shares available for resale by the last closing price of the Common Shares) is at least 200% of the aggregate principal amount outstanding under the Convertible Debentures.</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below, the Buyer covenants that from and after the date hereof through and ending when no Convertible Debentures remain outstanding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 Buyer or any of its officers, or any entity managed or controlled by the Buyer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shall, directly or indirectly, engage in (i) any “short sale” (as such term is defined in Rule 200 of Regulation SHO of the Exchange Act) of the Common Shares or (ii) put equivalent position or any hedging transaction which establishes a net short position with respect to any securities of the Company,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Common Shares; or (2) selling a number of Common Shares equal to the number of Underlying Shares that such Restricted Person is entitled to receive, but has not yet received from the Company or the transfer agent upon the completion of a pending conversion of the Convertible Debentures for which a valid Conversion Notice (as defined in the Convertible Debentures) has been submitted to the Company pursuant to Section 4(b) of the Convertible Debentures.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both"/>
        <w:ind w:firstLine="656"/>
        <w:spacing w:after="0" w:line="261" w:lineRule="auto"/>
        <w:tabs>
          <w:tab w:leader="none" w:pos="120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Transactions</w:t>
      </w:r>
      <w:r>
        <w:rPr>
          <w:rFonts w:ascii="Times New Roman" w:cs="Times New Roman" w:eastAsia="Times New Roman" w:hAnsi="Times New Roman"/>
          <w:sz w:val="18"/>
          <w:szCs w:val="18"/>
          <w:color w:val="auto"/>
        </w:rPr>
        <w:t>. From the date hereof until all of the Convertible Debentures have been repaid or converted into Common Shares, the Company agrees to not directly or indirectly enter into any contract, agreement or other item that would restrict or prohibit any of the Company’s obligations to the Buyer(s) under the Transaction Documents, including, without limitation, any cash payments required to be made by the Company to the Buyer(s).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0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all the Convertible Debentures have been repaid, without the prior written consent of the Buyer, the Company shall not, and shall not permit any of its Subsidiaries (whether or not a Subsidiary on the date hereof) to, directly or indirectly (i) other than Permitted Indebtedness, enter into, create, incur, assume, guarantee or suffer to exist any Indebtedness, (ii) other than Permitted Liens, enter into, create, incur, assume or suffer to exist any Lien on or with respect to any of its property or assets now owned or hereafter acquired or any interest therein or any income or profits therefrom, (iii) make any payment in respect of any related party debt, (iv) enter into a transaction, the primary purpose of which is to raise capital for the Company, wherein the Company issues its equity capital stock and receives net proceeds in excess of $20.0 million wherein less than 25% of the net proceeds from such offering are reserved for payment of the obligations under the Convertible Debentures, which payment shall be made promptly upon receipt of the net proceeds of the offering (unless payment is waived by the Buyer) and which payment shall constitute an Advance Repayment, or</w:t>
      </w:r>
    </w:p>
    <w:p>
      <w:pPr>
        <w:ind w:firstLine="8"/>
        <w:spacing w:after="0" w:line="260" w:lineRule="auto"/>
        <w:tabs>
          <w:tab w:leader="none" w:pos="30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 to enter into, or effect any Variable Rate Transaction (other than in connection with the SEPA); provided, however, in no case shall any of the foregoing restrict transactions, events or issuances that have occurred prior to the date hereof.</w:t>
      </w:r>
    </w:p>
    <w:p>
      <w:pPr>
        <w:spacing w:after="0" w:line="18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shall mean: (i) indebtedness evidenced by the Convertible Debentures; (ii) indebtedness outstanding on the date hereof and any refinance of any such Indebtedness in a principal amount that does not exceed the original principal amount of such Indebtedness begin refinanced and on terms that are not materially more restrictive; (iii) indebtedness incurred solely for the purpose of financing the acquisition or lease of any equipment, including capital lease obligations with no recourse other than to such equipment; (iv) indebtedness (A) the repayment of which has been subordinated to the payment of the Convertible Debentures on terms and conditions acceptable to the Buyers, including with regard to interest payments and repayment of principal, (B) which does not mature or otherwise require or permit redemption or repayment prior to or on the 91st day after the maturity date of any Convertible Debentures then outstanding; and (C) which is not secured by any assets of the Company or its subsidiaries; (v) indebtedness associated with acquiring new intellectual property assets and licenses, so long as the proceeds are going to the party(ies) from which the Company is acquiring the assets, licenses, and other properties and (vi) any indebtedness (other than the indebtedness set out in (i) – (v) above) incurred after the date hereof, provided that such indebtedness does not exceed $500,000 at any given time.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shall mean (1) any existing Liens on the date hereof; (2) inchoate Liens for taxes, assessments or governmental charges or levies not yet due, as to which the grace period, if any, related thereto has not yet expired, or being contested in good faith and by appropriate proceedings for which adequate reserves have been established in accordance with GAAP; (3) Liens of carriers, materialmen, warehousemen, mechanics and landlords and other similar Liens which secure amounts which are not yet overdue by more than 60 days or which are being contested in good faith by appropriate proceedings for which adequate reserves have been established in accordance with GAAP; (4) licenses, sublicenses, leases or subleases granted to other persons not materially interfering with the conduct of the business of the Company; (5) Liens securing capitalized lease obligations and purchase money indebtedness incurred solely for the purpose of financing an acquisition or lease; (6) easements, rights-of-way, restrictions, encroachments, municipal zoning ordinances and other similar charges or encumbrances, and minor title deficiencies, in each case not securing debt and not materially interfering with the conduct of the business of the Company and not materially detracting from the value of the property subject thereto; (7) Liens arising out of the existence of judgments or awards which judgments or awards do not constitute an Event of Default; (8) Liens incurred in the ordinary course of business in connection with workers compensation claims, unemployment insurance, pension liabilities and social security benefits and Liens securing the performance of bids, tenders, leases and contracts in the ordinary course of business, statutory obligations, surety bonds, performance bonds and other obligations of a like nature (other than appeal bonds) incurred in the ordinary course of business (exclusive of obligations in respect of the payment for borrowed money); (9) Liens in favor of a banking institution arising by operation of law encumbering deposits (including the right of set-off) and contractual set-off rights held by such banking institution and which are within the general parameters customary in the banking industry and only burdening deposit accounts or other funds maintained with a creditor depository institution; (10) usual and customary set-off rights in leases and other contracts; (11) escrows in connection with acquisitions and dispositions; (12) royalties and other rights to revenue derived from the sale of the Company’s products that are granted in the ordinary course of business; and (13) other Liens securing Indebtedness or other obligations permitted under this Agreement in an aggregate outstanding amount not to exceed $200,000.</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shall mean a transaction in which the Company (i) issues or sells any equity, warrants, or debt securities, in each case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such security, or (B) with a conversion, exercise or exchange price that is subject to being reset at some future date after the initial issuance of such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business combination, dividend, stock split or other similar transaction), or (ii) enters into or effects any agreement, including but not limited to an “equity line of credit,” “ATM agreement” or other continuous offering or similar offering of Common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no event shall warrants (in a form previously provided to the Buyer) issued to WTI Fund X, Inc., WTI Fund XI, Inc., WTI Fund X, LLC or WTI Fund XI, LLC in connection with the execution of this Agreement and the transactions contemplated hereby constitute a Variable Rate Transaction.</w:t>
      </w:r>
    </w:p>
    <w:p>
      <w:pPr>
        <w:spacing w:after="0" w:line="3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87" w:name="page88"/>
    <w:bookmarkEnd w:id="87"/>
    <w:p>
      <w:pPr>
        <w:jc w:val="both"/>
        <w:ind w:firstLine="656"/>
        <w:spacing w:after="0" w:line="266" w:lineRule="auto"/>
        <w:tabs>
          <w:tab w:leader="none" w:pos="130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Trading Day that a Buyer sells any Conversion Shares, such Buyer shall, on such Trading Day, provide to the Company with the following information: (i) the quantity of the Conversion Shares sold by such Buyer on such day, and (ii) the average sale price of the Conversion Shares sold by such Buyer on such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 (2) days prior to each Closing Date, the Company shall deliver to the Buyer a disclosure schedule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setting forth any changes necessary to make the representations and warranties of the Company set forth in Section 3 true and correct as of such Closing Date. Notwithstanding the foregoing, (i) if the Buyer determines, in good faith, that the matters set forth in the Disclosure Schedule constitute a Material Adverse Effect, the Buyer shall have the right, upon written notice to the Company within 2 days of receipt of the Disclosure Schedule, to terminate its obligation to proceed with such Closing, or waive such changes and proceed with such Closing, and (ii) any disclosure in the Disclosure Schedule with respect to the Second Closing that reflects an event or condition that should have been disclosed at the First Closing but was not shall not be deemed to cure any breach of the Company’s representations and warranties as of the First Closing Date and shall not limit or affect the Buyer’s rights with respect to such breach. If a Disclosure Schedule contains any Confidential Information, the Company shall, on or prior to the applicable Required Disclosure Date, publicly disclose such Confidential Information on a Current Report on Form 8-K or otherwise.</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TRANSFER AGENT INSTRUCTIONS; LEGEND.</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25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with the Transfer Agent (or at such other office or agency of the Company as it may designate by notice to each holder of Securities), a register for the Convertible Debentures in which the Company shall record the name and address of the Person in whose name the Convertible Debentures have been issued (including the name and address of each transferee), the amount of Convertible Debentures held by such Person. The Company shall keep the register open and available at all times during business hours for inspection of any Buyer or its legal representatives.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6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Securities may only be disposed of in compliance with state and federal securities laws. In connection with any transfer of Securities other than pursuant to an effective registration statement or Rule 144, to the Company or to an Affiliate of a Buyer or in connection with a pledge as contemplated herein,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a Buyer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-2226310</wp:posOffset>
            </wp:positionV>
            <wp:extent cx="285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both"/>
        <w:ind w:firstLine="656"/>
        <w:spacing w:after="0" w:line="258" w:lineRule="auto"/>
        <w:tabs>
          <w:tab w:leader="none" w:pos="129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and Exercise Procedures</w:t>
      </w:r>
      <w:r>
        <w:rPr>
          <w:rFonts w:ascii="Times New Roman" w:cs="Times New Roman" w:eastAsia="Times New Roman" w:hAnsi="Times New Roman"/>
          <w:sz w:val="18"/>
          <w:szCs w:val="18"/>
          <w:color w:val="auto"/>
        </w:rPr>
        <w:t>. The form of Conversion Notice included in the Convertible Debentures set forth the totality of the procedures required of the Buyers in order to convert the Convertible Debentures. Except as provided in Section 2(f) and Section 5(b), no additional legal opinion, other information or instructions shall be required of the Buyers to convert their Convertible Debentures. The Company shall honor conversions of the Convertible Debentures and shall deliver the Conversion Shares in accordance with the terms, conditions and time periods set forth in the Convertible Debentures.</w:t>
      </w:r>
    </w:p>
    <w:p>
      <w:pPr>
        <w:spacing w:after="0" w:line="17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obligation of the Company hereunder to issue and sell the Convertible Debentures to each Buyer at each Closing is subject to the satisfaction,</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at or before each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81" w:lineRule="exact"/>
        <w:rPr>
          <w:sz w:val="20"/>
          <w:szCs w:val="20"/>
          <w:color w:val="auto"/>
        </w:rPr>
      </w:pPr>
    </w:p>
    <w:p>
      <w:pPr>
        <w:ind w:left="1300" w:hanging="644"/>
        <w:spacing w:after="0"/>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executed each of the Transaction Documents to which it is a party and delivered the same to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and each other Buyer shall have delivered to the Company the Purchase Price (less, in the case of any Buyer, the amounts withheld pursuant to Section 4(d), if any) for the Convertible Debentures being purchased by such Buyer at the Closing by wire transfer of immediately available funds in accordance with a letter, duly executed by an officer of the Company, setting forth the wire amounts of each Buyer and the wire transfer instructions of the Company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Buyer shall be true and correct in all material respects as of the date when made and as of each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such Closing Date.</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EACH BUYER'S OBLIGATION TO PURCHASE.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 of each Buyer hereunder to purchase its Convertible Debentures at each Closing is subject to the satisfaction, at or before each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sz w:val="20"/>
          <w:szCs w:val="20"/>
          <w:color w:val="auto"/>
        </w:rPr>
      </w:pPr>
    </w:p>
    <w:p>
      <w:pPr>
        <w:jc w:val="both"/>
        <w:ind w:firstLine="656"/>
        <w:spacing w:after="0" w:line="266" w:lineRule="auto"/>
        <w:tabs>
          <w:tab w:leader="none" w:pos="136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executed and delivered to such Buyer each of the Transaction Documents to which it is a party and the Company shall have duly executed and delivered to such Buyer a Convertible Debenture with a principal amount corresponding to the Subscription Amount set forth opposite such Buyer’s name on the Schedule of Buyers attached as Schedule I for the Closing.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both"/>
        <w:ind w:firstLine="656"/>
        <w:spacing w:after="0" w:line="266" w:lineRule="auto"/>
        <w:tabs>
          <w:tab w:leader="none" w:pos="127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Buyers the opinion of counsel to the Company or the General Counsel of the Company, dated as of the First Closing Date, in customary form and substance to be reasonably agreed upon with the Buyers and addressing such legal matters as the Buyers and the Company reasonably agree.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18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each Buyer copies of its and each Subsidiaries certified copies of its charter, to the extent applicable, as well as any stockholder or operating agreements by or among the stockholders or members of any of the Company’s Subsidiaries.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incorporation and good standing of the Company as of a date within ten (10) days of the Closing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representation and warranty of the Company shall be true and correct in all material respects (other than representations and warranties qualified by materiality, which shall be true and correct in all respects) as of such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set forth in each Transaction Document required to be performed, satisfied or complied with by the Company at or prior to such Closing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(A) shall be designated for quotation or listed (as applicable) on the Principal Market and (B) shall not have been suspended, as of each Closing Date, by the SEC or the Principal Market from trading on the Principal Market nor shall suspension by the SEC or the Principal Market have been threatened, as of each Closing Date, either (I) in writing by the SEC or the Principal Market or (II) by receiving a notification from the Principal Market of falling below the minimum maintenance requirements of the Principal Market that is not subject to a cure period.</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37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governmental, regulatory or third-party consents and approvals necessary for the sale of the Securities, including without limitation, those required by the Principal Market, if any, and the consent and waiver of the WTI Lenders.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either (a) deliver to the Buyer duly executed amendments to credit agreements by and between the Company and the Company’s related parties (the “</w:t>
      </w:r>
      <w:r>
        <w:rPr>
          <w:rFonts w:ascii="Times New Roman" w:cs="Times New Roman" w:eastAsia="Times New Roman" w:hAnsi="Times New Roman"/>
          <w:sz w:val="18"/>
          <w:szCs w:val="18"/>
          <w:u w:val="single" w:color="auto"/>
          <w:color w:val="auto"/>
        </w:rPr>
        <w:t>Related Party Loans</w:t>
      </w:r>
      <w:r>
        <w:rPr>
          <w:rFonts w:ascii="Times New Roman" w:cs="Times New Roman" w:eastAsia="Times New Roman" w:hAnsi="Times New Roman"/>
          <w:sz w:val="18"/>
          <w:szCs w:val="18"/>
          <w:color w:val="auto"/>
        </w:rPr>
        <w:t>”), which amendments extend the maturity dates of such agreements beyond the maturity date of the Convertible Debentures or (ii) fully satisfy the Related Party Loans, including, but not limited to, by means of exchanging the outstanding obligations thereunder for equity capital stock of the Company on terms agreed upon by the Buyer.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firstLine="656"/>
        <w:spacing w:after="0" w:line="282" w:lineRule="auto"/>
        <w:tabs>
          <w:tab w:leader="none" w:pos="12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this Agreement, no event or series of events shall have occurred that has resulted in or would reasonably be expected to result in a Material Adverse Effect, or an Event of Default (as defined in the Convertible Debentures).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6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notified the Principal Market to list or designate for quotation (as the case may be) the maximum number of Conversion Shares issuable pursuant to the Convertible Debentures to be issued at the Closing.</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the Closing Statement.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the date hereof to the applicable Closing Date, trading in the Common Shares shall not have been suspended by the SEC or the Principal Market (except for any suspension of trading of limited duration agreed to by the Company, which suspension shall be terminated prior to the Closing), and (ii) at any time from the date hereof to the applicable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Closing.</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approved the transactions contemplated by the Transaction Documents; said approval has not been amended, rescinded or materially modified and remains in full force and effect as of such Closing, and a true, correct and complete copy of such resolutions duly adopted by the board of directors of the Company shall have been provided to the Buyers.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 a compliance certificate executed by an executive officer of the Company certifying that Company has complied with all of the conditions precedent to the applicable Closing set forth herein and which may be relied upon by the Buyer as evidence of satisfaction of such conditions without any obligation to independently verify.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have delivered to such Buyer such other documents, instruments or certificates relating to the transactions contemplated by this Agreement as such Buyer or its counsel may reasonably request.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timely filed its Annual Report on Form 10-K for the year ended December 31, 2024 (the “</w:t>
      </w:r>
      <w:r>
        <w:rPr>
          <w:rFonts w:ascii="Times New Roman" w:cs="Times New Roman" w:eastAsia="Times New Roman" w:hAnsi="Times New Roman"/>
          <w:sz w:val="18"/>
          <w:szCs w:val="18"/>
          <w:u w:val="single" w:color="auto"/>
          <w:color w:val="auto"/>
        </w:rPr>
        <w:t>2024 Annual Report</w:t>
      </w:r>
      <w:r>
        <w:rPr>
          <w:rFonts w:ascii="Times New Roman" w:cs="Times New Roman" w:eastAsia="Times New Roman" w:hAnsi="Times New Roman"/>
          <w:sz w:val="18"/>
          <w:szCs w:val="18"/>
          <w:color w:val="auto"/>
        </w:rPr>
        <w:t>”), with the SEC in form and substance as required by the Exchange Act (which, for the avoidance of doubt, include any permitted extension under Rule 12b-25 of the Exchange Act).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8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Second Closing, the Registration Statement shall be effective in accordance with the provisions set forth in the Registration Rights Agreement, including the effectiveness deadline set forth therein, and the Company shall have obtained Shareholder Approval.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left="640" w:hanging="632"/>
        <w:spacing w:after="0"/>
        <w:tabs>
          <w:tab w:leader="none" w:pos="6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First Closing shall not have occurred with respect to a Buyer by April 17, 2025,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Convertible Debentures shall be applicable only to such Buyer providing such written notice, provided further that no such termination shall affect any obligation of the Company under this Agreement to reimburse such Buyer for the expenses described herein. To the extent the First Closing has not occurred by April 17, 2025, the Company shall have the right to terminate its obligations under this Agreement, provided any such right arising out of the failure by the Company to file its Form 10-K by the deadline under Rule 12b-25 of the Exchange Act has not been waived by the Buyer.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8" w:lineRule="exact"/>
        <w:rPr>
          <w:sz w:val="20"/>
          <w:szCs w:val="20"/>
          <w:color w:val="auto"/>
        </w:rPr>
      </w:pPr>
    </w:p>
    <w:p>
      <w:pPr>
        <w:ind w:left="640" w:hanging="632"/>
        <w:spacing w:after="0"/>
        <w:tabs>
          <w:tab w:leader="none" w:pos="6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right="20" w:firstLine="656"/>
        <w:spacing w:after="0" w:line="266" w:lineRule="auto"/>
        <w:tabs>
          <w:tab w:leader="none" w:pos="116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in all respects, be governed by, and construed in accordance with, the laws (excluding the principles of conflict of laws) of the State of New York (including Section 5-1401 and Section 5-1402 of the General Obligations Law of the State of New York), including all matters of construction, validity and performance.</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Venue; Service.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09"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consents to the non-exclusive personal jurisdiction of the state courts of the State of New York (the “</w:t>
      </w:r>
      <w:r>
        <w:rPr>
          <w:rFonts w:ascii="Times New Roman" w:cs="Times New Roman" w:eastAsia="Times New Roman" w:hAnsi="Times New Roman"/>
          <w:sz w:val="18"/>
          <w:szCs w:val="18"/>
          <w:u w:val="single" w:color="auto"/>
          <w:color w:val="auto"/>
        </w:rPr>
        <w:t>Governing Jurisdiction</w:t>
      </w:r>
      <w:r>
        <w:rPr>
          <w:rFonts w:ascii="Times New Roman" w:cs="Times New Roman" w:eastAsia="Times New Roman" w:hAnsi="Times New Roman"/>
          <w:sz w:val="18"/>
          <w:szCs w:val="18"/>
          <w:color w:val="auto"/>
        </w:rPr>
        <w:t>”) and, if a basis for federal jurisdiction exists, the non-exclusive personal jurisdiction of any United States District Court for the Governing Jurisdiction.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02"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venue shall be proper in any court of the Governing Jurisdiction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both"/>
        <w:ind w:left="660" w:firstLine="644"/>
        <w:spacing w:after="0" w:line="252" w:lineRule="auto"/>
        <w:tabs>
          <w:tab w:leader="none" w:pos="198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claim, action, litigation or proceeding of any kind or description, whether in law or equity, whether in contract or tort or otherwise, brought by the Company against the Buyer arising out of or based upon this Agreement or any matter relating to this Agreement, or any other Transaction Document, or any contemplated transaction, shall be brought in a court only in the Governing Jurisdiction. The Company shall not file any counterclaim against the Buyer in any suit, claim, action, litigation or proceeding brought by the Buyer against the Company in a jurisdiction outside of the Governing Jurisdiction unless under the rules of the court in which the Buyer brought such suit, claim, action, litigation or proceeding the counterclaim is mandatory, and not permissive, and would be considered waived unless filed as a counterclaim in the suit, claim, action, litigation or proceeding instituted by the Buyer against the Company. The Company agrees that any forum outside the Governing Jurisdiction is an inconvenient forum and that any suit, claim, action, litigation or proceeding brought by the Company against the Buyer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Buyer arising out of or based upon this Agreement or any matter relating to this Agreement,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Buyer agree that a final judgment in any such suit, claim, action, litigation or proceeding shall be conclusive and may be enforced in other jurisdictions by suit on the judgment or in any other manner provided by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Buyer irrevocably consent to the service of process out of any of the aforementioned courts in any such suit, claim, action, litigation or proceeding by the mailing of copies thereof by registered or certified mail postage prepaid, to it at the address provided for notices in this Agreement, such service to become effective thirty (30) days after the date of mailing.</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9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affect the right of the Buyer to serve process in any other manner permitted by law or to commence legal proceedings or to otherwise proceed against the Company or any other Person in the Governing Jurisdiction or in any other jurisdiction.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MUTUALLY WAIVE ALL RIGHT TO TRIAL BY JURY OF ALL CLAIMS OF ANY KIND ARISING OUT OF OR BASED UPON THIS AGREEMENT OR ANY MATTER RELATING TO THIS AGREEMENT,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r>
        <w:rPr>
          <w:rFonts w:ascii="Times New Roman" w:cs="Times New Roman" w:eastAsia="Times New Roman" w:hAnsi="Times New Roman"/>
          <w:sz w:val="18"/>
          <w:szCs w:val="18"/>
          <w:b w:val="1"/>
          <w:bCs w:val="1"/>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firstLine="656"/>
        <w:spacing w:after="0" w:line="258" w:lineRule="auto"/>
        <w:tabs>
          <w:tab w:leader="none" w:pos="130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2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Buyer, the Company,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amended other than by an instrument in writing signed by the party to be charged with enforcement.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by letter and email and will be deemed to have been delivered: upon the later of (A) either (i) receipt, when delivered personally or (ii) one (1) 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 to:</w:t>
            </w: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INNVENTURE, INC.</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6900 Tavistock Lakes Blvd, Suire 400</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Orlando, FL 32827</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8"/>
              </w:rPr>
              <w:t>Attention: Suzanne Niemeyer, General Counsel</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Telephone: (610) 996-1767</w:t>
            </w:r>
          </w:p>
        </w:tc>
      </w:tr>
      <w:tr>
        <w:trPr>
          <w:trHeight w:val="194"/>
        </w:trPr>
        <w:tc>
          <w:tcPr>
            <w:tcW w:w="2480" w:type="dxa"/>
            <w:vAlign w:val="bottom"/>
          </w:tcPr>
          <w:p>
            <w:pPr>
              <w:spacing w:after="0"/>
              <w:rPr>
                <w:sz w:val="16"/>
                <w:szCs w:val="16"/>
                <w:color w:val="auto"/>
              </w:rPr>
            </w:pPr>
          </w:p>
        </w:tc>
        <w:tc>
          <w:tcPr>
            <w:tcW w:w="4320" w:type="dxa"/>
            <w:vAlign w:val="bottom"/>
            <w:gridSpan w:val="3"/>
          </w:tcPr>
          <w:p>
            <w:pPr>
              <w:ind w:left="900"/>
              <w:spacing w:after="0" w:line="194" w:lineRule="exact"/>
              <w:rPr>
                <w:sz w:val="20"/>
                <w:szCs w:val="20"/>
                <w:color w:val="auto"/>
              </w:rPr>
            </w:pPr>
            <w:r>
              <w:rPr>
                <w:rFonts w:ascii="Times New Roman" w:cs="Times New Roman" w:eastAsia="Times New Roman" w:hAnsi="Times New Roman"/>
                <w:sz w:val="18"/>
                <w:szCs w:val="18"/>
                <w:color w:val="auto"/>
              </w:rPr>
              <w:t>E-Mail: legalnotices@innventure.com</w:t>
            </w:r>
          </w:p>
        </w:tc>
      </w:tr>
      <w:tr>
        <w:trPr>
          <w:trHeight w:val="20"/>
        </w:trPr>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With Copy to:</w:t>
            </w: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Jones Day</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1221 Peachtree Street, N.E., Suite 400</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Atlanta, GA 30361</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Attention: Joel T. May, Esq.</w:t>
            </w:r>
          </w:p>
        </w:tc>
      </w:tr>
      <w:tr>
        <w:trPr>
          <w:trHeight w:val="234"/>
        </w:trPr>
        <w:tc>
          <w:tcPr>
            <w:tcW w:w="2480" w:type="dxa"/>
            <w:vAlign w:val="bottom"/>
          </w:tcPr>
          <w:p>
            <w:pPr>
              <w:spacing w:after="0"/>
              <w:rPr>
                <w:sz w:val="20"/>
                <w:szCs w:val="20"/>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Telephone: (404) 581-8967</w:t>
            </w:r>
          </w:p>
        </w:tc>
      </w:tr>
      <w:tr>
        <w:trPr>
          <w:trHeight w:val="432"/>
        </w:trPr>
        <w:tc>
          <w:tcPr>
            <w:tcW w:w="2480" w:type="dxa"/>
            <w:vAlign w:val="bottom"/>
          </w:tcPr>
          <w:p>
            <w:pPr>
              <w:spacing w:after="0"/>
              <w:rPr>
                <w:sz w:val="24"/>
                <w:szCs w:val="24"/>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E-Mail: jtmay@jonesday.com</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to a Buyer, to its address and e-mail address set forth on the Schedule of Buyers, with copies to such Buyer's representatives as set forth on the Schedule of Buyers,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copy to: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Fine, Esq.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Yorkville Advisors Global,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legal@yorkvilleadvisors.com</w:t>
      </w:r>
    </w:p>
    <w:p>
      <w:pPr>
        <w:spacing w:after="0" w:line="200" w:lineRule="exact"/>
        <w:rPr>
          <w:sz w:val="20"/>
          <w:szCs w:val="20"/>
          <w:color w:val="auto"/>
        </w:rPr>
      </w:pPr>
    </w:p>
    <w:p>
      <w:pPr>
        <w:sectPr>
          <w:pgSz w:w="11900" w:h="16838" w:orient="portrait"/>
          <w:cols w:equalWidth="0" w:num="2">
            <w:col w:w="2660" w:space="720"/>
            <w:col w:w="7860"/>
          </w:cols>
          <w:pgMar w:left="320" w:top="121" w:right="339" w:bottom="1440" w:gutter="0" w:footer="0" w:header="0"/>
          <w:type w:val="continuous"/>
        </w:sectPr>
      </w:pPr>
    </w:p>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to such other address,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an overnight courier service shall be rebuttable evidence of personal service, receipt by facsimile or receipt from an overnight courier service in accordance with clause (i), (ii) or (iii) above, respectively</w:t>
      </w:r>
    </w:p>
    <w:p>
      <w:pPr>
        <w:spacing w:after="0" w:line="183" w:lineRule="exact"/>
        <w:rPr>
          <w:sz w:val="20"/>
          <w:szCs w:val="20"/>
          <w:color w:val="auto"/>
        </w:rPr>
      </w:pPr>
    </w:p>
    <w:p>
      <w:pPr>
        <w:jc w:val="both"/>
        <w:ind w:firstLine="656"/>
        <w:spacing w:after="0" w:line="256" w:lineRule="auto"/>
        <w:tabs>
          <w:tab w:leader="none" w:pos="130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Convertible Debentures (but excluding any purchasers of Underlying Securities, unless pursuant to a written assignment by such Buyer). The Company shall not assign this Agreement or any rights or obligations hereunder without the prior written consent of the Buyers. In connection with any transfer of any or all of its Securities, a Buyer may assign all, or a portion, of its rights and obligations hereunder in connection with such Securities without the consent of the Company, in which event such assignee shall be deemed to be a Buyer hereunder with respect to such transferred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ind w:left="1320" w:hanging="664"/>
        <w:spacing w:after="0"/>
        <w:tabs>
          <w:tab w:leader="none" w:pos="1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0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or (C) any disclosure properly made to such Buyer pursuant to Section 4(g),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ind w:firstLine="1304"/>
        <w:spacing w:after="0" w:line="253" w:lineRule="auto"/>
        <w:tabs>
          <w:tab w:leader="none" w:pos="202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Indemnitee under this Section 9(i) of notice of the commencement of any action or proceeding (including any governmental action or proceeding) involving an Indemnified Liability, such Indemnitee shall, if a claim in respect thereof is to be made against the Company under this Section 9(i), deliver to the Company a written notice of the commencement thereof, and the Company shall have the right to participate in, and, to the extent the Company so desires, to assume control of the defense thereof with counsel mutually reasonably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1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9(i), except to the extent that the Company is materially and adversely prejudiced in its ability to defend such action.</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9(i) shall be made by periodic payments of the amount thereof during the course of the investigation or defense, within ten (10) days after bills supporting the Indemnified Liabilities are received by the Company.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 contained herein shall be in addition to (A) any cause of action or similar right of the Indemnitee against the Company or others, and (B) any liabilities the Company may be subject to pursuant to the law.</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4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5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[REMAINDER PAGE INTENTIONALLY LEFT BLANK]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Buyer and the Company have caused their respective signature page to this Securities Purchase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1546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Buyer and the Company have caused their respective signature page to this Securities Purchase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YA II PN, LTD.</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Yorkville Advisors Global,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0" w:lineRule="exact"/>
        <w:rPr>
          <w:sz w:val="20"/>
          <w:szCs w:val="20"/>
          <w:color w:val="auto"/>
        </w:rPr>
      </w:pPr>
    </w:p>
    <w:p>
      <w:pPr>
        <w:sectPr>
          <w:pgSz w:w="11900" w:h="16838" w:orient="portrait"/>
          <w:cols w:equalWidth="0" w:num="2">
            <w:col w:w="5880" w:space="280"/>
            <w:col w:w="5080"/>
          </w:cols>
          <w:pgMar w:left="320" w:top="117" w:right="339" w:bottom="1440" w:gutter="0" w:footer="0" w:header="0"/>
          <w:type w:val="continuous"/>
        </w:sectPr>
      </w:pP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By: Yorkville Advisors Global II, LLC</w:t>
      </w:r>
    </w:p>
    <w:p>
      <w:pPr>
        <w:spacing w:after="0" w:line="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Matt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27774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Matt Beckman</w:t>
      </w:r>
    </w:p>
    <w:p>
      <w:pPr>
        <w:spacing w:after="0" w:line="27" w:lineRule="exact"/>
        <w:rPr>
          <w:sz w:val="20"/>
          <w:szCs w:val="20"/>
          <w:color w:val="auto"/>
        </w:rPr>
      </w:pPr>
    </w:p>
    <w:p>
      <w:pPr>
        <w:ind w:left="59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Member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auto"/>
        </w:rPr>
        <w:t>LIST OF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FORM OF CONVERTIBLE DEBENTURES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B: FORM OF GLOBAL GUARANTY</w:t>
      </w:r>
    </w:p>
    <w:p>
      <w:pPr>
        <w:spacing w:after="0" w:line="37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CONVERTIBLE DEBENTURES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GLOBAL GUARANTY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31"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18"/>
          <w:szCs w:val="18"/>
          <w:b w:val="1"/>
          <w:bCs w:val="1"/>
          <w:u w:val="single" w:color="auto"/>
          <w:color w:val="auto"/>
        </w:rPr>
        <w:t>SCHEDULE OF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3" w:name="page104"/>
    <w:bookmarkEnd w:id="10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GLOBAL GUARANTY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Global Guaranty Agreement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is made as of [__], 2025 by </w:t>
      </w:r>
      <w:r>
        <w:rPr>
          <w:rFonts w:ascii="Times New Roman" w:cs="Times New Roman" w:eastAsia="Times New Roman" w:hAnsi="Times New Roman"/>
          <w:sz w:val="18"/>
          <w:szCs w:val="18"/>
          <w:b w:val="1"/>
          <w:bCs w:val="1"/>
          <w:color w:val="auto"/>
        </w:rPr>
        <w:t>INNVENTURE LLC</w:t>
      </w:r>
      <w:r>
        <w:rPr>
          <w:rFonts w:ascii="Times New Roman" w:cs="Times New Roman" w:eastAsia="Times New Roman" w:hAnsi="Times New Roman"/>
          <w:sz w:val="18"/>
          <w:szCs w:val="18"/>
          <w:color w:val="auto"/>
        </w:rPr>
        <w:t>, a limited liability company organized under the laws of Delaware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in favor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YA II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Creditor</w:t>
      </w:r>
      <w:r>
        <w:rPr>
          <w:rFonts w:ascii="Times New Roman" w:cs="Times New Roman" w:eastAsia="Times New Roman" w:hAnsi="Times New Roman"/>
          <w:sz w:val="18"/>
          <w:szCs w:val="18"/>
          <w:color w:val="auto"/>
        </w:rPr>
        <w:t xml:space="preserve">”), with respect to all obligations of </w:t>
      </w:r>
      <w:r>
        <w:rPr>
          <w:rFonts w:ascii="Times New Roman" w:cs="Times New Roman" w:eastAsia="Times New Roman" w:hAnsi="Times New Roman"/>
          <w:sz w:val="18"/>
          <w:szCs w:val="18"/>
          <w:b w:val="1"/>
          <w:bCs w:val="1"/>
          <w:color w:val="auto"/>
        </w:rPr>
        <w:t>INNVENTURE,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 </w:t>
      </w:r>
      <w:r>
        <w:rPr>
          <w:rFonts w:ascii="Times New Roman" w:cs="Times New Roman" w:eastAsia="Times New Roman" w:hAnsi="Times New Roman"/>
          <w:sz w:val="18"/>
          <w:szCs w:val="18"/>
          <w:color w:val="auto"/>
        </w:rPr>
        <w:t>a corporation incorporated under the laws of the State of Delaware (the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owed to the Creditor.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Creditor and the Debtor have entered into a Securities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on [__], 2025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Creditor shall provide loans to the Debtor, to be evidenced by convertible debentures (the “</w:t>
      </w:r>
      <w:r>
        <w:rPr>
          <w:rFonts w:ascii="Times New Roman" w:cs="Times New Roman" w:eastAsia="Times New Roman" w:hAnsi="Times New Roman"/>
          <w:sz w:val="18"/>
          <w:szCs w:val="18"/>
          <w:u w:val="single" w:color="auto"/>
          <w:color w:val="auto"/>
        </w:rPr>
        <w:t>Convertible Debentures</w:t>
      </w:r>
      <w:r>
        <w:rPr>
          <w:rFonts w:ascii="Times New Roman" w:cs="Times New Roman" w:eastAsia="Times New Roman" w:hAnsi="Times New Roman"/>
          <w:sz w:val="18"/>
          <w:szCs w:val="18"/>
          <w:color w:val="auto"/>
        </w:rPr>
        <w:t>”) to be issued by the Debtor to the Creditor, in the amount of up to $30 million;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a condition precedent to Debtor being permitted to loan, invest, transfer or “downstream” any cash proceeds, or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acquired with cash proceeds from the issuance and sale of the Convertible Debentures to the Guarantor that the Guarantor enter into this Guaranty;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Guarantor is a wholly owned subsidiary of the Debtor.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agrees as follows:</w:t>
      </w:r>
    </w:p>
    <w:p>
      <w:pPr>
        <w:spacing w:after="0" w:line="155" w:lineRule="exact"/>
        <w:rPr>
          <w:sz w:val="20"/>
          <w:szCs w:val="20"/>
          <w:color w:val="auto"/>
        </w:rPr>
      </w:pPr>
    </w:p>
    <w:p>
      <w:pPr>
        <w:jc w:val="both"/>
        <w:ind w:firstLine="656"/>
        <w:spacing w:after="0" w:line="255" w:lineRule="auto"/>
        <w:tabs>
          <w:tab w:leader="none" w:pos="128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Guaranty of Payment and Performance</w:t>
      </w:r>
      <w:r>
        <w:rPr>
          <w:rFonts w:ascii="Times New Roman" w:cs="Times New Roman" w:eastAsia="Times New Roman" w:hAnsi="Times New Roman"/>
          <w:sz w:val="18"/>
          <w:szCs w:val="18"/>
          <w:color w:val="auto"/>
        </w:rPr>
        <w:t>. The Guarantor, jointly and severally, hereby guarantees to the Creditor the full, prompt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 payment when due (whether at maturity, by acceleration or otherwise), and the performance, of liabilities, agreements and other obligations of the Debtor to the Creditor contained in the Convertible Debentures and the Transaction Documents up (all the foregoing, collectively, the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This Guaranty is an absolute, unconditional and continuing guaranty of the full and punctual payment and performance of the Obligations and not of their collectability only and is in no way conditioned upon any requirement that the Creditor first attempt to collect or require the performance of any of the Obligations from the Debtor or resort to any security or other means of obtaining their payment. Should the Debtor default in the payment or performance of any of the Obligations, the obligations of the Guarantor hereunder shall become immediately due and payable to the Creditor, all of which are expressly waived by the Guarantor.</w:t>
      </w:r>
    </w:p>
    <w:p>
      <w:pPr>
        <w:spacing w:after="0" w:line="184"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Limited Guaranty</w:t>
      </w:r>
      <w:r>
        <w:rPr>
          <w:rFonts w:ascii="Times New Roman" w:cs="Times New Roman" w:eastAsia="Times New Roman" w:hAnsi="Times New Roman"/>
          <w:sz w:val="18"/>
          <w:szCs w:val="18"/>
          <w:color w:val="auto"/>
        </w:rPr>
        <w:t>. The liability of the Guarantor hereunder shall be limited to the amount of the Obligations due to the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4" w:name="page105"/>
    <w:bookmarkEnd w:id="104"/>
    <w:p>
      <w:pPr>
        <w:jc w:val="both"/>
        <w:ind w:firstLine="656"/>
        <w:spacing w:after="0" w:line="252" w:lineRule="auto"/>
        <w:tabs>
          <w:tab w:leader="none" w:pos="129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Waivers by Guarantor; Creditor’s Freedom to Act</w:t>
      </w:r>
      <w:r>
        <w:rPr>
          <w:rFonts w:ascii="Times New Roman" w:cs="Times New Roman" w:eastAsia="Times New Roman" w:hAnsi="Times New Roman"/>
          <w:sz w:val="18"/>
          <w:szCs w:val="18"/>
          <w:color w:val="auto"/>
        </w:rPr>
        <w:t>. The Guarantor hereby agrees that the Obligations will be paid and performed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strictly in accordance with their terms regardless of any law, regulation or order now or hereafter in effect in any jurisdiction affecting any of such terms or the rights of the Creditor with respect thereto. The Guarantor waives presentment, demand, protest, notice of acceptance, notice of Obligations incurred and all other notices of any kind, all defenses that may be available by virtue of any valuation, stay, moratorium law or other similar law now or hereafter in effect, any right to require the marshalling of assets of the Debtor, and all suretyship defenses generally. Without limiting the generality of the foregoing, the Guarantor agrees to the provisions of any instrument evidencing, securing or otherwise executed in connection with any Obligation and agrees that the obligations of the Guarantor hereunder shall not be released or discharged, in whole or in part, or otherwise affected by (i) the failure of the Creditor to assert any claim or demand or to enforce any right or remedy against the Debtor; (ii) any extensions or renewals of, or alteration of the terms of, any Obligation or any portion thereof unless entered into by the Debtor; (iii) any rescissions, waivers, amendments or modifications of any of the terms or provisions of any agreement evidencing, securing or otherwise executed in connection with any Obligation unless entered into by the Debtor; (iv) the substitution or release of any entity primarily or secondarily liable for any Obligation; (v) the adequacy of any rights the Creditor may have against any collateral or other means of obtaining payment or performance of the Obligations; (vi) the impairment of any collateral securing the Obligations, including without limitation the failure to perfect or preserve any rights the Creditor might have in such collateral or the substitution, exchange, surrender, release, loss or destruction of any such collateral; (vii) the failure to obtain or maintain a right of contribution for the benefit of the Guarantor; (viii) errors or omissions in connection with the Creditor’s administration of the Obligations (except behavior constituting bad faith); or (ix) any other act or omission that might in any manner or to any extent vary the risk of the Guarantor or otherwise operate as a release or discharge of the Guarantor (other than payment or performance in full of the Obligations), all of which may be done without notice to the Guarantor.</w:t>
      </w:r>
    </w:p>
    <w:p>
      <w:pPr>
        <w:spacing w:after="0" w:line="193" w:lineRule="exact"/>
        <w:rPr>
          <w:rFonts w:ascii="Times New Roman" w:cs="Times New Roman" w:eastAsia="Times New Roman" w:hAnsi="Times New Roman"/>
          <w:sz w:val="18"/>
          <w:szCs w:val="18"/>
          <w:color w:val="auto"/>
        </w:rPr>
      </w:pPr>
    </w:p>
    <w:p>
      <w:pPr>
        <w:jc w:val="both"/>
        <w:ind w:firstLine="656"/>
        <w:spacing w:after="0" w:line="257" w:lineRule="auto"/>
        <w:tabs>
          <w:tab w:leader="none" w:pos="12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Unenforceability of Obligations Against Debtor</w:t>
      </w:r>
      <w:r>
        <w:rPr>
          <w:rFonts w:ascii="Times New Roman" w:cs="Times New Roman" w:eastAsia="Times New Roman" w:hAnsi="Times New Roman"/>
          <w:sz w:val="18"/>
          <w:szCs w:val="18"/>
          <w:color w:val="auto"/>
        </w:rPr>
        <w:t>. If, for any reason, the Debtor is under no legal obligation to discharge or perform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Obligations, or if any of the Obligations have become irrecoverable from the Debtor by operation of law or for any other reason (other than payment or performance in full of the Obligations), this Guaranty shall nevertheless be binding on the Guarantor to the same extent as if the Guarantor at all times had been the principal obligor on all such Obligations. In the event that acceleration of the time for payment of the Obligations is stayed upon the insolvency, bankruptcy or reorganization of the Debtor, or for any other reason, all such amounts otherwise subject to acceleration under the terms of any agreement evidencing, securing or otherwise executed in connection with any Obligation shall be immediately due and payable by the Guarantor.</w:t>
      </w:r>
    </w:p>
    <w:p>
      <w:pPr>
        <w:spacing w:after="0" w:line="182" w:lineRule="exact"/>
        <w:rPr>
          <w:rFonts w:ascii="Times New Roman" w:cs="Times New Roman" w:eastAsia="Times New Roman" w:hAnsi="Times New Roman"/>
          <w:sz w:val="18"/>
          <w:szCs w:val="18"/>
          <w:color w:val="auto"/>
        </w:rPr>
      </w:pPr>
    </w:p>
    <w:p>
      <w:pPr>
        <w:jc w:val="both"/>
        <w:ind w:firstLine="656"/>
        <w:spacing w:after="0" w:line="218" w:lineRule="exact"/>
        <w:tabs>
          <w:tab w:leader="none" w:pos="126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Subrogation; Subordination</w:t>
      </w:r>
      <w:r>
        <w:rPr>
          <w:rFonts w:ascii="Times New Roman" w:cs="Times New Roman" w:eastAsia="Times New Roman" w:hAnsi="Times New Roman"/>
          <w:sz w:val="18"/>
          <w:szCs w:val="18"/>
          <w:color w:val="auto"/>
        </w:rPr>
        <w:t>. Until the payment and performance in full of all Obligations, the Guarantor shall not exercise any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Debtor arising as a result of payment by the Guarantor hereunder, by way of subrogation or otherwise, and will not prove any claim in competition with the Creditor in respect of any payment hereunder in bankruptcy or insolvency proceedings of any nature; the Guarantor will not claim any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or counterclaim against the Debtor in respect of any liability of the Guarantor to the Debtor; and the Guarantor waives any benefit of and any right to participate in any collateral that may be held by the Creditor. The payment of any amounts due with respect to any indebtedness of the Debtor now or hereafter held by the Guarantor is hereby subordinated to the prior payment in full of the Obligations. The Guarantor agrees that after the occurrence of any default in the payment or performance of the Obligations, the Guarantor will not demand, sue for or otherwise attempt to collect any such indebtedness of the Debtor to the Guarantor until the Obligations shall have been paid or performed in full. If, notwithstanding the foregoing sentence, the Guarantor shall collect, enforce or receive any amounts in respect of such indebtedness, such amounts shall be collected, enforced and received by the Guarantor as trustee for the Creditor and be paid over to the Creditor on account of the Obligations without affecting in any manner the liability of the Guarantor under the other provisions of this Guaranty.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both"/>
        <w:ind w:left="-20" w:firstLine="656"/>
        <w:spacing w:after="0" w:line="262" w:lineRule="auto"/>
        <w:tabs>
          <w:tab w:leader="none" w:pos="125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Reinstatement</w:t>
      </w:r>
      <w:r>
        <w:rPr>
          <w:rFonts w:ascii="Times New Roman" w:cs="Times New Roman" w:eastAsia="Times New Roman" w:hAnsi="Times New Roman"/>
          <w:sz w:val="18"/>
          <w:szCs w:val="18"/>
          <w:color w:val="auto"/>
        </w:rPr>
        <w:t>. This Guaranty is irrevocable and shall continue until such time as the Obligations have been indefeasibly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or performed in full. This Guaranty shall be reinstated if at any time any payment made or value received with respect to an Obligation is rescinded or must otherwise be returned by the Creditor upon the insolvency, bankruptcy or reorganization of the Debtor, or otherwise, all as though such payment had not been made or value received.</w:t>
      </w:r>
    </w:p>
    <w:p>
      <w:pPr>
        <w:spacing w:after="0" w:line="176" w:lineRule="exact"/>
        <w:rPr>
          <w:rFonts w:ascii="Times New Roman" w:cs="Times New Roman" w:eastAsia="Times New Roman" w:hAnsi="Times New Roman"/>
          <w:sz w:val="18"/>
          <w:szCs w:val="18"/>
          <w:color w:val="auto"/>
        </w:rPr>
      </w:pPr>
    </w:p>
    <w:p>
      <w:pPr>
        <w:ind w:left="-20" w:right="20" w:firstLine="656"/>
        <w:spacing w:after="0" w:line="286" w:lineRule="auto"/>
        <w:tabs>
          <w:tab w:leader="none" w:pos="125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Guaranty shall be binding upon the Guarantor, its successors and assigns, and shall inure to the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 enforceable by the Creditor and the Creditor’s shareholders, officers, directors, agents, successors and assigns.</w:t>
      </w:r>
    </w:p>
    <w:p>
      <w:pPr>
        <w:spacing w:after="0" w:line="154" w:lineRule="exact"/>
        <w:rPr>
          <w:rFonts w:ascii="Times New Roman" w:cs="Times New Roman" w:eastAsia="Times New Roman" w:hAnsi="Times New Roman"/>
          <w:sz w:val="18"/>
          <w:szCs w:val="18"/>
          <w:color w:val="auto"/>
        </w:rPr>
      </w:pPr>
    </w:p>
    <w:p>
      <w:pPr>
        <w:jc w:val="both"/>
        <w:ind w:left="-20" w:firstLine="656"/>
        <w:spacing w:after="0" w:line="262" w:lineRule="auto"/>
        <w:tabs>
          <w:tab w:leader="none" w:pos="126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No amendment or waiver of any provision of this Guaranty nor consent to any departure by the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therefrom shall be effective unless the same shall be in writing and signed by the Guarantor and the Creditor. No failure on the part of the Creditor to exercise, and no delay in exercising, any right hereunder shall operate as a waiver thereof; nor shall any single or partial exercise of any right hereunder preclude any other or further exercise thereof or the exercise of any other right.</w:t>
      </w:r>
    </w:p>
    <w:p>
      <w:pPr>
        <w:spacing w:after="0" w:line="176"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called for hereunder to the Creditor or the Debtor shall be made in writing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All notices and other communications called for hereunder to the Guarantor shall be made in writing as provided on Schedule I attached hereto or as the Guarantor may otherwise notify the Creditor.</w:t>
      </w:r>
    </w:p>
    <w:p>
      <w:pPr>
        <w:spacing w:after="0" w:line="170" w:lineRule="exact"/>
        <w:rPr>
          <w:rFonts w:ascii="Times New Roman" w:cs="Times New Roman" w:eastAsia="Times New Roman" w:hAnsi="Times New Roman"/>
          <w:sz w:val="18"/>
          <w:szCs w:val="18"/>
          <w:color w:val="auto"/>
        </w:rPr>
      </w:pPr>
    </w:p>
    <w:p>
      <w:pPr>
        <w:jc w:val="both"/>
        <w:ind w:left="-20" w:firstLine="656"/>
        <w:spacing w:after="0" w:line="220" w:lineRule="exact"/>
        <w:tabs>
          <w:tab w:leader="none" w:pos="123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Consent to Jurisdiction</w:t>
      </w:r>
      <w:r>
        <w:rPr>
          <w:rFonts w:ascii="Times New Roman" w:cs="Times New Roman" w:eastAsia="Times New Roman" w:hAnsi="Times New Roman"/>
          <w:sz w:val="18"/>
          <w:szCs w:val="18"/>
          <w:color w:val="auto"/>
        </w:rPr>
        <w:t>. This Guaranty is intended to take effect as a sealed instrument and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laws of the State of New York (excluding the laws applicable to conflicts or choice of law). The Guarantor agrees that any suit for the enforcement of this Guaranty may be brought in the courts of the State of New York, New York County and consents to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jurisdiction of such court and to service of process in any such suit’s being made upon the Guarantor by mail at the address set forth at the head of this Guaranty. The Guarantor hereby waives any objection that it may now or hereafter have to the venue of any such suit or any such court or that such suit was brought in an inconvenient court.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 of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06" w:name="page107"/>
    <w:bookmarkEnd w:id="10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Guarantor has caused this Guaranty to be executed and delivered as a sealed instrument as of the date appearing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page one.</w:t>
      </w:r>
    </w:p>
    <w:p>
      <w:pPr>
        <w:spacing w:after="0" w:line="15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The Guarantor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 32827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Suzanne Niemeyer,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(610) 996-1767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legalnotices@innventure.com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 30361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Joel T. May,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(404) 581-8967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jtmay@jonesday.com</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[__]</w:t>
      </w:r>
      <w:r>
        <w:rPr>
          <w:rFonts w:ascii="Times New Roman" w:cs="Times New Roman" w:eastAsia="Times New Roman" w:hAnsi="Times New Roman"/>
          <w:sz w:val="18"/>
          <w:szCs w:val="18"/>
          <w:color w:val="auto"/>
        </w:rPr>
        <w:t>, 2025, is made by and between YA II PN, LTD.,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exempt limited company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INNVENTURE, INC., a company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Investor and the Company may be referred to herein individually as a “Party” and collectively as the “Parties.”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jc w:val="both"/>
        <w:ind w:firstLine="656"/>
        <w:spacing w:after="0" w:line="259" w:lineRule="auto"/>
        <w:tabs>
          <w:tab w:leader="none" w:pos="130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Securities Purchase Agreement by and among the parties hereto of even date herewith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Company has agreed, upon the terms and subject to the conditions of the Securities Purchase Agreement, to issue and sell to the Investor up to $30,000,000 in aggregate principal amount of convertible debentures (the “</w:t>
      </w:r>
      <w:r>
        <w:rPr>
          <w:rFonts w:ascii="Times New Roman" w:cs="Times New Roman" w:eastAsia="Times New Roman" w:hAnsi="Times New Roman"/>
          <w:sz w:val="18"/>
          <w:szCs w:val="18"/>
          <w:u w:val="single" w:color="auto"/>
          <w:color w:val="auto"/>
        </w:rPr>
        <w:t>Convertible Debentures</w:t>
      </w:r>
      <w:r>
        <w:rPr>
          <w:rFonts w:ascii="Times New Roman" w:cs="Times New Roman" w:eastAsia="Times New Roman" w:hAnsi="Times New Roman"/>
          <w:sz w:val="18"/>
          <w:szCs w:val="18"/>
          <w:color w:val="auto"/>
        </w:rPr>
        <w:t>”), which shall be convertible into shares of the Company’s common stock, par value $0.0001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(as converted,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Capitalized terms not defined herein shall have the meaning ascribed to them in the Securities Purchase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18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and in consideration for the Investor entering into, and to induce the Investor to execute and deliver the Securities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 and other rights as provided for herein.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Company and the Investor hereby agree as follows:</w:t>
      </w:r>
    </w:p>
    <w:p>
      <w:pPr>
        <w:spacing w:after="0" w:line="159" w:lineRule="exact"/>
        <w:rPr>
          <w:sz w:val="20"/>
          <w:szCs w:val="20"/>
          <w:color w:val="auto"/>
        </w:rPr>
      </w:pPr>
    </w:p>
    <w:p>
      <w:pPr>
        <w:ind w:left="1240" w:hanging="584"/>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respective meanings set forth in the Securities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07" w:lineRule="exact"/>
        <w:rPr>
          <w:sz w:val="20"/>
          <w:szCs w:val="20"/>
          <w:color w:val="auto"/>
        </w:rPr>
      </w:pPr>
    </w:p>
    <w:p>
      <w:pPr>
        <w:ind w:left="1900" w:hanging="596"/>
        <w:spacing w:after="0"/>
        <w:tabs>
          <w:tab w:leader="none" w:pos="1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the applicable Registration Statement has been declared effective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9" w:name="page110"/>
    <w:bookmarkEnd w:id="109"/>
    <w:p>
      <w:pPr>
        <w:jc w:val="both"/>
        <w:ind w:firstLine="1304"/>
        <w:spacing w:after="0" w:line="255" w:lineRule="auto"/>
        <w:tabs>
          <w:tab w:leader="none" w:pos="186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means, (i) with respect to the initial Registration Statement required to be filed pursuant to Section 2(b), the earlier of the earlier of (A) the 60th calendar day following the filing date thereof and (B) the fifth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75th calendar day following the date on which the Company was required to file such additional Registration Statement and (B) no later than the fifth Business Day after the date the Company is notified (orally or in writing, whichever is earlier) by the SEC that such Registration Statement will not be reviewed or will not be subject to further review.</w:t>
      </w:r>
    </w:p>
    <w:p>
      <w:pPr>
        <w:spacing w:after="0" w:line="188"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15" w:lineRule="exact"/>
        <w:rPr>
          <w:rFonts w:ascii="Times New Roman" w:cs="Times New Roman" w:eastAsia="Times New Roman" w:hAnsi="Times New Roman"/>
          <w:sz w:val="18"/>
          <w:szCs w:val="18"/>
          <w:color w:val="auto"/>
        </w:rPr>
      </w:pPr>
    </w:p>
    <w:p>
      <w:pPr>
        <w:jc w:val="both"/>
        <w:ind w:firstLine="1304"/>
        <w:spacing w:after="0" w:line="224" w:lineRule="auto"/>
        <w:tabs>
          <w:tab w:leader="none" w:pos="18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means, (i) with respect to the initial Registration Statement required to be filed pursuant to Section 2(a),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the Company files its Form 10-K for the year ended December 31, 2024,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spacing w:after="0" w:line="198" w:lineRule="exact"/>
        <w:rPr>
          <w:rFonts w:ascii="Times New Roman" w:cs="Times New Roman" w:eastAsia="Times New Roman" w:hAnsi="Times New Roman"/>
          <w:sz w:val="18"/>
          <w:szCs w:val="18"/>
          <w:color w:val="auto"/>
        </w:rPr>
      </w:pPr>
    </w:p>
    <w:p>
      <w:pPr>
        <w:ind w:firstLine="1304"/>
        <w:spacing w:after="0" w:line="282" w:lineRule="auto"/>
        <w:tabs>
          <w:tab w:leader="none" w:pos="211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 limited liability company, an association, a partnership, an organization, a business, an individual, a governmental or political subdivision thereof or a governmental agency.</w:t>
      </w:r>
    </w:p>
    <w:p>
      <w:pPr>
        <w:spacing w:after="0" w:line="161" w:lineRule="exact"/>
        <w:rPr>
          <w:rFonts w:ascii="Times New Roman" w:cs="Times New Roman" w:eastAsia="Times New Roman" w:hAnsi="Times New Roman"/>
          <w:sz w:val="18"/>
          <w:szCs w:val="18"/>
          <w:color w:val="auto"/>
        </w:rPr>
      </w:pPr>
    </w:p>
    <w:p>
      <w:pPr>
        <w:jc w:val="both"/>
        <w:ind w:firstLine="1304"/>
        <w:spacing w:after="0" w:line="220" w:lineRule="exact"/>
        <w:tabs>
          <w:tab w:leader="none" w:pos="183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amendments, and all material incorporated by reference or deemed to be incorporated by reference in such Prospectus.</w:t>
      </w:r>
    </w:p>
    <w:p>
      <w:pPr>
        <w:spacing w:after="0" w:line="200"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0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all of (i) the Common Shares issuable upon conversion of the Convertible Debentures, (ii) the additional shares issuable in connection with any anti-dilution provisions of the Convertible Debentures (without giving effect to any limitations on exercise set forth in the Convertible Debentures) and (iv) any Common Shares issued or issuable with respect to any shares described in subsections (i) and</w:t>
      </w:r>
    </w:p>
    <w:p>
      <w:pPr>
        <w:spacing w:after="0" w:line="1" w:lineRule="exact"/>
        <w:rPr>
          <w:rFonts w:ascii="Times New Roman" w:cs="Times New Roman" w:eastAsia="Times New Roman" w:hAnsi="Times New Roman"/>
          <w:sz w:val="18"/>
          <w:szCs w:val="18"/>
          <w:color w:val="auto"/>
        </w:rPr>
      </w:pPr>
    </w:p>
    <w:p>
      <w:pPr>
        <w:ind w:right="20" w:firstLine="8"/>
        <w:spacing w:after="0" w:line="260" w:lineRule="auto"/>
        <w:tabs>
          <w:tab w:leader="none" w:pos="2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by way of any stock split, stock dividend or other distribution, recapitalization or similar event or otherwise (in each case without giving effect to any limitations on exercise set forth in the Convertible Debentures).</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pursuant to this Agreement, including the Prospectus, amendments and supplements to such registration statement or Prospectus, including post-effective amendments, all exhibits thereto, and all material incorporated by reference or deemed to be incorporated by reference in such registration statement.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both"/>
        <w:ind w:firstLine="1304"/>
        <w:spacing w:after="0" w:line="261" w:lineRule="auto"/>
        <w:tabs>
          <w:tab w:leader="none" w:pos="192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Registration Amount</w:t>
      </w:r>
      <w:r>
        <w:rPr>
          <w:rFonts w:ascii="Times New Roman" w:cs="Times New Roman" w:eastAsia="Times New Roman" w:hAnsi="Times New Roman"/>
          <w:sz w:val="18"/>
          <w:szCs w:val="18"/>
          <w:color w:val="auto"/>
        </w:rPr>
        <w:t>” means (i) with respect to the initial Registration Statement at least such number of Registrable Securities determined as of date the Registration Statement is initially filed with the SEC, and (ii) with respect to subsequent Registration Statements such number of Registrable Securities determined as of date the subsequent Registration Statement is initially filed with the SEC (that are not already subject to an effective Registration Statement), in each case subject to any cutback set forth in Section 2(d).</w:t>
      </w:r>
    </w:p>
    <w:p>
      <w:pPr>
        <w:spacing w:after="0" w:line="17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Securities Act or any successor rule thereto.</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6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SEC pursuant to the Securities Act, as such Rule may be amended from time to time, or any similar rule or regulation hereafter adopted by the SEC having substantially the same purpose and effect as such Rule.</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other federal agency administering the Securities Act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at the time.</w:t>
      </w:r>
    </w:p>
    <w:p>
      <w:pPr>
        <w:spacing w:after="0" w:line="206"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set forth in the Recitals above.</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7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guidance of the SEC staff, or any comments, requirements or requests of the SEC staff and (ii) the Securities Act.</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1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 The Company’s registration obligations set forth in this Section 2, including its obligations to file Registration Statements, obtain effectiveness of Registration Statements, and maintain the continuous effectiveness of any Registration Statement that has been declared effective shall begin on the date hereof and continue until all the Registrable Securities have been sold or may be sold without any restrictions pursuant to Rule 144, as such rule applies to non-affiliates, as determined by the counsel to the Company pursuant to a written opinion letter to such effect, addressed and reasonably acceptable to the Company’s transfer agent (the “</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09"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Subject to the terms and conditions of this Agreement, the Company shall (i) on or prior to the Filing Deadline, prepare and file with the SEC an initial Registration Statement on Form S-3 (or, if the Company is not then eligible, on Form S-1) or any successor form thereto covering the resale by the Investor of Registrable Securities, and (ii) on or prior to the 30th calendar day following receipt of each written notice by the Investor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delivered pursuant to the terms hereof, prepare and file an additional Registration Statement covering the resale by the Investor of Registrable Securities not covered by the initial Registration Statement. Each Registration Statement prepared pursuant hereto shall register for resale at least the number of Common Shares equal to the Required Registration Amount as of date the Registration Statement is initially filed with the SEC. Each Registration Statement shall contain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sections. The Company shall use its reasonable best efforts to have each Registration Statement declared effective by the SEC as soon as practicable, but in no event later than the Effectiveness Deadline. By 9:30 am, New York time on the Business Day following the date of effectiveness, the Company shall file with the SEC in accordance with Rule 424 under the Securities Act the final Prospectus to be used in connection with sales pursuant to such Registration Statement. Prior to the filing of the Registration Statement with the SEC, the Company shall furnish a draft of the Registration Statement to the Investor for their review and comment. The Investor shall furnish comments on the Registration Statement to the Company within 24 hours of the receipt thereof from the Company. For the purposes hereof, the Investor shall be entitled to deliver a Demand Notice to the Company at any time during the Registration Period if at such time (i) no Registration Statement is then in effect which the Investor may use to resell Registrable Securities, or (ii) a Registration Statement is effective, but the number of Common Shares issuable upon conversion of the Convertible Debentures exceeds the number of Common Shares registered on such Registration Statement.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both"/>
        <w:ind w:firstLine="1304"/>
        <w:spacing w:after="0" w:line="252" w:lineRule="auto"/>
        <w:tabs>
          <w:tab w:leader="none" w:pos="201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During the Registration Period, the Company shall (i) promptly prepare and file with the SEC such amendments (including post-effective amendments) and supplements to a Registration Statement and the Prospectus used in connection with a Registration Statement, which Prospectus is to be filed pursuant to Rule 424 promulgated under the Securities Act, as may be necessary to keep such Registration Statement effective at all times during the Registration Period, (ii) prepare and file with the SEC additional Registration Statements in order to register for resale under the Securities Act all of the Registrable Securities in accordance with the terms of this Agreement; (iii) cause the related Prospectus to be amended or supplemented by any required Prospectus supplement (subject to the terms of this Agreement), and as so supplemented or amended to be filed pursuant to Rule 424; (iv) respond as promptly as reasonably practicable to any comments received from the SEC with respect to a Registration Statement or any amendment thereto; and (v) comply with the provisions of the Securities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2(c)) by reason of the Company’s filing a report on Form 10-K, Form 10-Q, or Form 8-K or any analogous report under the Securities Exchange Act, the Company shall incorporate such report by reference into the Registration Statement, if applicable, or shall file such amendments or supplements with the SEC on the same day on which the Exchange Act report is filed which created the requirement for the Company to amend or supplement the Registration Statement.</w:t>
      </w:r>
    </w:p>
    <w:p>
      <w:pPr>
        <w:spacing w:after="0" w:line="19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Registrable Securities Included in a Registration Statement</w:t>
      </w:r>
      <w:r>
        <w:rPr>
          <w:rFonts w:ascii="Times New Roman" w:cs="Times New Roman" w:eastAsia="Times New Roman" w:hAnsi="Times New Roman"/>
          <w:sz w:val="18"/>
          <w:szCs w:val="18"/>
          <w:color w:val="auto"/>
        </w:rPr>
        <w:t>. Notwithstanding anything contained herein, in the event that the SEC requires the Company to reduce the number of Registrable Securities to be included in a Registration Statement in order to allow the Company to rely on Rule 415 with respect to a Registration Statement, then the Company shall be obligated to include in such Registration Statement (which may be a subsequent Registration Statement if the Company needs to withdraw a Registration Statement and refile a new Registration Statement in order to rely on Rule 415) only such limited portion of the Registrable Securities as the SEC shall permit. Any Registrable Securities that are excluded in accordance with the foregoing terms are hereinafter referred to as “</w:t>
      </w:r>
      <w:r>
        <w:rPr>
          <w:rFonts w:ascii="Times New Roman" w:cs="Times New Roman" w:eastAsia="Times New Roman" w:hAnsi="Times New Roman"/>
          <w:sz w:val="18"/>
          <w:szCs w:val="18"/>
          <w:u w:val="single" w:color="auto"/>
          <w:color w:val="auto"/>
        </w:rPr>
        <w:t>Cut Back Securities</w:t>
      </w:r>
      <w:r>
        <w:rPr>
          <w:rFonts w:ascii="Times New Roman" w:cs="Times New Roman" w:eastAsia="Times New Roman" w:hAnsi="Times New Roman"/>
          <w:sz w:val="18"/>
          <w:szCs w:val="18"/>
          <w:color w:val="auto"/>
        </w:rPr>
        <w:t>.” To the extent Cut Back Securities exist, promptly following such time as may be permitted by the SEC, the Company shall be required to file a Registration Statement covering the resale of the Cut Back Securities (subject also to the terms of this Section) and shall use its reasonable best efforts to cause such Registration Statement to be declared effective as promptly as practicable thereafter, but in no event later than the Effectiveness Deadline. Notwithstanding the foregoing to the contrary, the Company shall be obligated to use diligent efforts to advocate with the SEC for the registration of all of the Registrable Securities in accordance with the SEC Guidance, including without limitation, Compliance and Disclosure Interpretation 612.09. Unless otherwise directed in writing by a holder as to its Registrable Securities, the number of Registrable Securities to be registered on such Registration Statement will be reduced as follows: (i) first, the Company shall reduce or eliminate any securities to be included other than Registrable Securities; and (ii) second, the Company shall reduce Registrable Securities on a pro rata basis based on the total number of Registrable Securities held by such holders (or as otherwise expressly directed by the SEC).</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both"/>
        <w:ind w:firstLine="1304"/>
        <w:spacing w:after="0" w:line="253" w:lineRule="auto"/>
        <w:tabs>
          <w:tab w:leader="none" w:pos="2215"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xml:space="preserve">. If at any time there is not an effective Registration Statement covering all of the Registrable Securities and the Company proposes to register the offer and sale of any of its Common Shares under the Securities Act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 whether for its own account or for the account of one or more stockholders of the Company and the form of Registration Statement to be used may be used for any registration of Registrable Securities, the Company shall give prompt written notice (in any event no later than five days prior to the filing of such Registration Statement) to the holders of Registrable Securities of its intention to effect such a registration and, shall include in such registration all Registrable Securities with respect to which the Company has received written requests for inclusion from the holders of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register any Registrable Securities pursuant to this Section 2(f) that have been sold or may be sold without any restrictions pursuant to Rule 144, as such rule applies to non-affiliates, as determined by the counsel to the Company pursuant to a written opinion letter to such effect, addressed and acceptable to the Company’s transfer agent.</w:t>
      </w:r>
    </w:p>
    <w:p>
      <w:pPr>
        <w:spacing w:after="0" w:line="189"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9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less than three Business Days prior to the filing of each Registration Statement and not less than one Business Day prior to the filing of any related amendments and supplements to all Registration Statements (except for annual reports on Form 10-K, supplements and amendments to update the Registration Statement solely for information reflected in the Company’s annual reports on Form 10-K, quarterly reports on Form 10-Q or current reports on Form 8-K), furnish to each Investor copies of all such documents proposed to be filed, which documents (other than those incorporated or deemed to be incorporated by reference) will be subject to the reasonable and prompt review of such Investor. The Company shall not file a Registration Statement or any such Prospectus or any amendments or supplements thereto to which the Investor shall reasonably object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notified of such objection in writing no later than 24 hours after the Investor has been so furnished copies of a Registration Statement.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both"/>
        <w:ind w:firstLine="1304"/>
        <w:spacing w:after="0" w:line="256" w:lineRule="auto"/>
        <w:tabs>
          <w:tab w:leader="none" w:pos="197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each Investor whose Registrable Securities are included in any Registration Statement, without charge, (i) an electronic copy of such Registration Statement as declared effective by the SEC and any amendment(s) thereto, including financial statements and schedules, all documents incorporated therein by reference, all exhibits and each preliminary prospectus, (ii) an electronic copy of the final prospectus included in such Registration Statement and all amendments and supplements thereto (or such other number of copies as such Investor may reasonably request) and (iii) such other documents, which are not publicly available through EDGAR, as such Investor may reasonably request from time to time in order to facilitate the disposition of the Registrable Securities owned by such Investor.</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7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(i) register and qualify the Registrable Securities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(w) make any change to its certificate of incorporation or bylaws, (x) qualify to do business in any jurisdiction where it would not otherwise be required to qualify but for this Section 3(c), (y) subject itself to general taxation in any such jurisdiction, or (z) file a general consent to service of process in any such jurisdiction. The Company shall promptly notify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end of the Registration Period, as promptly as practicable after becoming aware of such event or development, the Company shall notify each Investor in writing of the happening of any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(provided that in no event shall such notice contain any material, nonpublic information), and promptly prepare a supplement or amendment to such Registration Statement to correct such untrue statement or omission, and deliver ten (10) copies of such supplement or amendment to the Investor. The Company shall also promptly notify each Investor in writing</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Prospectus or any Prospectus supplement or post-effective amendment has been filed, and when a Registration Statement or any post-effective amendment has become effective (notification of such effectiveness shall be delivered to the Investor by e-mail on the same day of such effectiveness), (ii) of any request by the SEC for amendments or supplements to a Registration Statement or related prospectus or related information, and (iii) of the Company’s reasonable determination that a post-effective amendment to a Registration Statement would be appropriate. The Company shall respond as promptly as reasonably practicable to any comments received from the SEC with respect to a Registration Statement or any amendment thereto.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both"/>
        <w:ind w:firstLine="1304"/>
        <w:spacing w:after="0" w:line="258" w:lineRule="auto"/>
        <w:tabs>
          <w:tab w:leader="none" w:pos="210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within the United States of America and, if such an order or suspension is issued, to obtain the withdrawal of such order or suspension at the earliest possible moment and to notify each Investor who holds Registrable Securities being sold of the issuance of such order and the resolution thereof or its receipt of actual notice of the initiation or threat of any proceeding for such purpose.</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9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cause all the Registrable Securities to be listed on each securities exchange on which the Common Shares are then listed. The Company shall pay all fees and expenses in connection with satisfying its obligation under this Section 3(g).</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cooperate with the holders of the Registrable Securities to facilitate the timely preparation and delivery of certificates representing the Registrable Securities to be sold pursuant to such Registration Statement or Rule 144 free of any restrictive legends and representing such number of Common Shares and registered in such names as the holders of the Registrable Securities may reasonably request a reasonable period of time prior to sales of Registrable Securities pursuant to such Registration Statement or Rule;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satisfy its obligations hereunder without issuing physical stock certificates through the use of The Depository Trust Company’s Direct Registration System.</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cause the Registrable Securities to be registered with or approved by such other governmental agencies or authorities as may be necessary to consummate the disposition of such Registrable Securities.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6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otherwise use its reasonable best efforts to comply with all applicable rules and regulations of the SEC in connection with any registration 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both"/>
        <w:ind w:firstLine="1304"/>
        <w:spacing w:after="0" w:line="261" w:lineRule="auto"/>
        <w:tabs>
          <w:tab w:leader="none" w:pos="203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Business Day after a Registration Statement which covers Registrable Securities is declared effective by the SEC, the Company shall deliver, and shall cause legal counsel for the Company to deliver, to the transfer agent for such Registrable Securities (with copies to the Investor whose Registrable Securities are included in such Registration Statement) confirmation that such Registration Statement has been declared effective by the SEC.</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217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other reasonable actions necessary to expedite and facilitate disposition by each Investor of Registrable Securities pursuant to a Registration Statement.</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13"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upon receipt of any notice from the Company of the happening of any event of the kind described in Section 3(d), the Investor will immediately discontinue disposition of Registrable Securities pursuant to any Registration Statement covering such Registrable Securities until the Investor’s receipt of the copies of the supplemented or amended prospectus contemplated by Section 3(d) or receipt of notice that no supplement or amendment is required. Notwithstanding anything to the contrary, subject to compliance with the securities laws, the Company shall cause its transfer agent to deliver unlegended certificates for Common Shares to a transferee of an Investor in accordance with the terms of the Securities Purchase Agreement in connection with any sale of Registrable Securities with respect to which an Investor has entered into a contract for sale prior to the Investor’s receipt of a notice from the Company of the happening of any event of the kind described in Section 3(d) and for which the Investor has not yet settled.</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03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covenants and agrees that it will comply with the prospectus delivery requirements of the Securities Act as applicable to it or an exemption therefrom in connection with sales of Registrable Securities pursuant to the Registration Statement.</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party shall bear its own fees and expenses related to the transactions contemplated by this Agreement. For the avoidance of doubt, all expenses incurred by the Company in complying with its obligations pursuant to this Agreement and in connection with the registration and disposition of Registrable Securities shall be paid by the Company, including, without limitation, all registration, listing and qualifications fees, printers expenses, and fees and expenses of the Company’s counsel and accountants (except legal fees of Investor’s counsel associated with the review of the Registration Statement). The Investor shall pay any sales or brokerage commissions and fees and expenses of counsel for, and other expenses of, the Investor incurred in connection with registration of Registrable Securities.</w:t>
      </w:r>
    </w:p>
    <w:p>
      <w:pPr>
        <w:spacing w:after="0" w:line="187" w:lineRule="exact"/>
        <w:rPr>
          <w:sz w:val="20"/>
          <w:szCs w:val="20"/>
          <w:color w:val="auto"/>
        </w:rPr>
      </w:pPr>
    </w:p>
    <w:p>
      <w:pPr>
        <w:ind w:left="1280" w:hanging="624"/>
        <w:spacing w:after="0"/>
        <w:tabs>
          <w:tab w:leader="none" w:pos="12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Registrable Securities which are included in a Registration Statement under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both"/>
        <w:ind w:firstLine="1304"/>
        <w:spacing w:after="0" w:line="251" w:lineRule="auto"/>
        <w:tabs>
          <w:tab w:leader="none" w:pos="198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shall, and hereby does, indemnify, hold harmless and defend the Investor, the directors, officers, partners, employees, agents, representatives of, and each Person, if any, who controls any Investor within the meaning of the Securities Act or the Exchange Act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losses, claims, damages, liabilities, judgments, fines, penalties, charges, costs, reasonable attorneys’ fees, amounts paid in settlement or expenses, joint or several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cs="Times New Roman" w:eastAsia="Times New Roman" w:hAnsi="Times New Roman"/>
          <w:sz w:val="18"/>
          <w:szCs w:val="18"/>
          <w:u w:val="single" w:color="auto"/>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u w:val="single" w:color="auto"/>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any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Securities Act, the Exchange Act, any other law, including, without limitation, any state securities law, or any rule or regulation there under relating to the offer or sale of the Registrable Securities pursuant to a Registration Statement (the matters in the foregoing clauses (i) through (iii) being,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The Company shall reimburse the Investor and each such controlling person promptly as such expenses are incurred and are due and payable, for any legal fees or disbursements or other reasonable expenses incurred by them in connection with investigating or defending any such Claim. Notwithstanding anything to the contrary contained herein, the indemnification agreement contained in this Section 6(a): (x) shall not apply to a Claim by an Indemnified Person arising out of or based upon a Violation which occurs in reliance upon and in conformity with information furnished in writing to the Company by such Indemnified Person expressly for use in connection with the preparation of the Registration Statement or any such amendment thereof or supplement thereto; (y) shall not be available to the extent such Claim is based on a failure of the Investor to deliver or to cause to be delivered the prospectus made available by the Company, if such prospectus was timely made available by the Company pursuant to Section 3(b); and (z)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both"/>
        <w:ind w:firstLine="1304"/>
        <w:spacing w:after="0" w:line="252" w:lineRule="auto"/>
        <w:tabs>
          <w:tab w:leader="none" w:pos="2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Registration Statement, the Investor agrees to indemnify, hold harmless and defend, to the same extent and in the same manner as is set forth in Section 6(a), the Company, each of its directors, each of its officers, employees, representatives, or agents and each Person, if any, who controls the Company within the meaning of the Securities Act or the Exchange Act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against any Claim or Indemnified Damages to which any of them may become subject, under the Securities Act, the Exchange Act or otherwise, insofar as such Claim or Indemnified Damages arise out of or is based upon any Violation, in each case to the extent, and only to the extent, that such Violation occurs in reliance upon and in conformity with written information furnished to the Company by such Investor expressly for use in connection with such Registration Statement; and, subject to Section 6(d), such Investor will reimburse any legal or other expenses reasonably incurred by them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provided, further, however, that the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 Indemnified Party. Notwithstanding anything to the contrary contained herein, the indemnification agreement contained in this Section 6(b) with respect to any prospectus shall not inure to the benefit of any Indemnified Party if the untrue statement or omission of material fact contained in the prospectus was corrected and such new prospectus was delivered to each Investor prior to such Investor’s use of the prospectus to which the Claim relates.</w:t>
      </w:r>
    </w:p>
    <w:p>
      <w:pPr>
        <w:spacing w:after="0" w:line="195" w:lineRule="exact"/>
        <w:rPr>
          <w:rFonts w:ascii="Times New Roman" w:cs="Times New Roman" w:eastAsia="Times New Roman" w:hAnsi="Times New Roman"/>
          <w:sz w:val="18"/>
          <w:szCs w:val="18"/>
          <w:color w:val="auto"/>
        </w:rPr>
      </w:pPr>
    </w:p>
    <w:p>
      <w:pPr>
        <w:jc w:val="both"/>
        <w:ind w:firstLine="1304"/>
        <w:spacing w:after="0" w:line="251" w:lineRule="auto"/>
        <w:tabs>
          <w:tab w:leader="none" w:pos="202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(1) counsel for such Indemnified Person or Indemnified Party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firstLine="1304"/>
        <w:spacing w:after="0" w:line="282" w:lineRule="auto"/>
        <w:tabs>
          <w:tab w:leader="none" w:pos="186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85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spacing w:after="0" w:line="183" w:lineRule="exact"/>
        <w:rPr>
          <w:sz w:val="20"/>
          <w:szCs w:val="20"/>
          <w:color w:val="auto"/>
        </w:rPr>
      </w:pPr>
    </w:p>
    <w:p>
      <w:pPr>
        <w:ind w:left="1240" w:hanging="584"/>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UNDER THE EXCHANGE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a view to making available to the Investor the benefits of Rule 144 promulgated under the Securities Act or any similar rule or regulation of the SEC that may at any time permit the Investor to sell securities of the Company to the public without registration, and as a material inducement to the Investor’s purchase of the Convertible Debentures, the Company represents, warrants, and covenants to the following:</w:t>
      </w:r>
    </w:p>
    <w:p>
      <w:pPr>
        <w:spacing w:after="0" w:line="176" w:lineRule="exact"/>
        <w:rPr>
          <w:sz w:val="20"/>
          <w:szCs w:val="20"/>
          <w:color w:val="auto"/>
        </w:rPr>
      </w:pPr>
    </w:p>
    <w:p>
      <w:pPr>
        <w:jc w:val="both"/>
        <w:ind w:firstLine="1304"/>
        <w:spacing w:after="0" w:line="266" w:lineRule="auto"/>
        <w:tabs>
          <w:tab w:leader="none" w:pos="199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the reporting requirements of Section 13 or 15(d) of the Exchange Act and has filed all required reports under Section 13 or 15(d) of the Exchange Act during the 12 months prior to the date hereof (or for such shorter period that the Company was required to file such reports), other than Form 8-K reports.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4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Investor so long as such Investor owns Registrable Securities, promptly upon request, (i) to the extent it is in compliance with the reporting requirements of Rule 144, a written statement by the Company that it has complied with the reporting requirements of Rule 144, and (ii) such other information as may be reasonably requested to permit the Investor to sell such securities pursuant to Rule 144 without registration.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ind w:left="1280" w:hanging="624"/>
        <w:spacing w:after="0"/>
        <w:tabs>
          <w:tab w:leader="none" w:pos="12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Provisions of this Agreement may be amended and the observance thereof may be waived (either generally or in a particular instance and either retroactively or prospectively), only with the written consent of the Company and Investor. Any amendment or waiver effected in accordance with this Section 9 shall be binding upon the Investor and the Company. No such amendment shall be effective to the extent that it applies to fewer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83" w:lineRule="exact"/>
        <w:rPr>
          <w:sz w:val="20"/>
          <w:szCs w:val="20"/>
          <w:color w:val="auto"/>
        </w:rPr>
      </w:pPr>
    </w:p>
    <w:p>
      <w:pPr>
        <w:ind w:left="1340" w:hanging="684"/>
        <w:spacing w:after="0"/>
        <w:tabs>
          <w:tab w:leader="none" w:pos="1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deemed to be a holder of Registrable Securities whenever such Person owns or is deemed to own of record such Registrable Securities or owns the right to receive the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file any other registration statements on Form S-3, Form S-1, or otherwise until the initial Registration Statement required hereunder is declared effective by the SEC, provided that this Section 10(b) shall not prohibit the Company from filing amendments to registration statements already filed. The Company shall not include any other securities on a Registration Statement unless otherwise agreed by the Investor.</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consents, waivers or other communications required or permitted to be given under the terms of this Agreement must be in writing and will be deemed to have been delivered pursuant to the notice provisions of the Securities Purchase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facsimile or receipt from a nationally recognized overnight delivery service in accordance with this section.</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02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party to exercise any right or remedy under this Agreement or otherwise, or delay by a party in exercising such right or remedy, shall not operate as a waiver thereof.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both"/>
        <w:ind w:firstLine="1304"/>
        <w:spacing w:after="0" w:line="252" w:lineRule="auto"/>
        <w:tabs>
          <w:tab w:leader="none" w:pos="199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New York shall govern all issues concerning the relative rights of the Company and the Investor. All other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non-exclusive jurisdiction of the Supreme Court of the State of New York, sitting in New York County, New York and federal courts for the Southern District of New York sitting New York,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9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duties and obligations of the Investor hereunder may only be assigned upon the transfer of a Convertible Debenture or the Conversion Shares issued pursuant to a Convertible Debenture pursuant to the terms and restrictions on transfer set forth in the Securities Purchase Agreement and the applicable Convertible Debenture. This Agreement and the provisions hereof shall be binding upon and shall inure to the benefit of each of the parties and its successors and the permitted assigns of the parties. No assignment by any party hereto of such party’s rights, duties and obligations hereunder shall be binding upon or obligate the Company unless and until the Company shall have received (A) written notice of such assignment and (B) the written agreement of the assignee, in a form reasonably satisfactory to the Company, to be bound by the terms and provisions of this Agreement (which may be accomplished by an addendum or certificate of joinder to this Agreement).</w:t>
      </w:r>
    </w:p>
    <w:p>
      <w:pPr>
        <w:spacing w:after="0" w:line="188"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convenience of reference only and shall not limit or otherwise affect the meaning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7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e.g., www.docusign.com), including by e-mail attachment, shall be deemed to have been duly and validly delivered and be valid and effective for all purposes of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both"/>
        <w:ind w:firstLine="1304"/>
        <w:spacing w:after="0" w:line="266" w:lineRule="auto"/>
        <w:tabs>
          <w:tab w:leader="none" w:pos="206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4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Investor and the Company have caused their signature page to this Registration Rights Agreement to be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as of the date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YA II PN,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Yorkville Advisors Global, LP</w:t>
      </w:r>
    </w:p>
    <w:p>
      <w:pPr>
        <w:spacing w:after="0" w:line="2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Yorkville Advisors Global II, LLC</w:t>
            </w: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184"/>
        </w:trPr>
        <w:tc>
          <w:tcPr>
            <w:tcW w:w="5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16"/>
                <w:szCs w:val="16"/>
                <w:color w:val="auto"/>
              </w:rPr>
            </w:pP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1)"/>
      <w:numFmt w:val="decimal"/>
      <w:start w:val="1"/>
    </w:lvl>
    <w:lvl w:ilvl="1">
      <w:lvlJc w:val="left"/>
      <w:lvlText w:val="(%2)"/>
      <w:numFmt w:val="lowerLetter"/>
      <w:start w:val="1"/>
    </w:lvl>
  </w:abstractNum>
  <w:abstractNum w:abstractNumId="3">
    <w:nsid w:val="7FFFCA11"/>
    <w:multiLevelType w:val="hybridMultilevel"/>
    <w:lvl w:ilvl="0">
      <w:lvlJc w:val="left"/>
      <w:lvlText w:val="(%1)"/>
      <w:numFmt w:val="lowerRoman"/>
      <w:start w:val="1"/>
    </w:lvl>
  </w:abstractNum>
  <w:abstractNum w:abstractNumId="4">
    <w:nsid w:val="1A27709E"/>
    <w:multiLevelType w:val="hybridMultilevel"/>
    <w:lvl w:ilvl="0">
      <w:lvlJc w:val="left"/>
      <w:lvlText w:val="1"/>
      <w:numFmt w:val="bullet"/>
      <w:start w:val="1"/>
    </w:lvl>
  </w:abstractNum>
  <w:abstractNum w:abstractNumId="5">
    <w:nsid w:val="71EA110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
    <w:nsid w:val="100F59D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7">
    <w:nsid w:val="7FB7E0AA"/>
    <w:multiLevelType w:val="hybridMultilevel"/>
    <w:lvl w:ilvl="0">
      <w:lvlJc w:val="left"/>
      <w:lvlText w:val="(%1)"/>
      <w:numFmt w:val="lowerRoman"/>
      <w:start w:val="2"/>
    </w:lvl>
  </w:abstractNum>
  <w:abstractNum w:abstractNumId="8">
    <w:nsid w:val="6EB5BD4"/>
    <w:multiLevelType w:val="hybridMultilevel"/>
    <w:lvl w:ilvl="0">
      <w:lvlJc w:val="left"/>
      <w:lvlText w:val="%1"/>
      <w:numFmt w:val="lowerLetter"/>
      <w:start w:val="1"/>
    </w:lvl>
    <w:lvl w:ilvl="1">
      <w:lvlJc w:val="left"/>
      <w:lvlText w:val="(%2)"/>
      <w:numFmt w:val="lowerRoman"/>
      <w:start w:val="7"/>
    </w:lvl>
  </w:abstractNum>
  <w:abstractNum w:abstractNumId="9">
    <w:nsid w:val="6F6DD9AC"/>
    <w:multiLevelType w:val="hybridMultilevel"/>
    <w:lvl w:ilvl="0">
      <w:lvlJc w:val="left"/>
      <w:lvlText w:val="(%1)"/>
      <w:numFmt w:val="lowerLetter"/>
      <w:start w:val="2"/>
    </w:lvl>
    <w:lvl w:ilvl="1">
      <w:lvlJc w:val="left"/>
      <w:lvlText w:val="%2"/>
      <w:numFmt w:val="lowerRoman"/>
      <w:start w:val="1"/>
    </w:lvl>
  </w:abstractNum>
  <w:abstractNum w:abstractNumId="10">
    <w:nsid w:val="94211F2"/>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11">
    <w:nsid w:val="885E1B"/>
    <w:multiLevelType w:val="hybridMultilevel"/>
    <w:lvl w:ilvl="0">
      <w:lvlJc w:val="left"/>
      <w:lvlText w:val="(%1)"/>
      <w:numFmt w:val="upperLetter"/>
      <w:start w:val="2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2">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
    <w:nsid w:val="4C04A8AF"/>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61"/>
    </w:lvl>
  </w:abstractNum>
  <w:abstractNum w:abstractNumId="14">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5">
    <w:nsid w:val="14E17E33"/>
    <w:multiLevelType w:val="hybridMultilevel"/>
    <w:lvl w:ilvl="0">
      <w:lvlJc w:val="left"/>
      <w:lvlText w:val="%1"/>
      <w:numFmt w:val="lowerLetter"/>
      <w:start w:val="1"/>
    </w:lvl>
    <w:lvl w:ilvl="1">
      <w:lvlJc w:val="left"/>
      <w:lvlText w:val="(%2)"/>
      <w:numFmt w:val="lowerLetter"/>
      <w:start w:val="35"/>
    </w:lvl>
  </w:abstractNum>
  <w:abstractNum w:abstractNumId="16">
    <w:nsid w:val="3222E7CD"/>
    <w:multiLevelType w:val="hybridMultilevel"/>
    <w:lvl w:ilvl="0">
      <w:lvlJc w:val="left"/>
      <w:lvlText w:val="(%1)"/>
      <w:numFmt w:val="lowerLetter"/>
      <w:start w:val="4"/>
    </w:lvl>
    <w:lvl w:ilvl="1">
      <w:lvlJc w:val="left"/>
      <w:lvlText w:val="(%2)"/>
      <w:numFmt w:val="lowerLetter"/>
      <w:start w:val="9"/>
    </w:lvl>
  </w:abstractNum>
  <w:abstractNum w:abstractNumId="17">
    <w:nsid w:val="74DE0EE3"/>
    <w:multiLevelType w:val="hybridMultilevel"/>
    <w:lvl w:ilvl="0">
      <w:lvlJc w:val="left"/>
      <w:lvlText w:val="(%1)"/>
      <w:numFmt w:val="lowerRoman"/>
      <w:start w:val="2"/>
    </w:lvl>
  </w:abstractNum>
  <w:abstractNum w:abstractNumId="18">
    <w:nsid w:val="68EBC550"/>
    <w:multiLevelType w:val="hybridMultilevel"/>
    <w:lvl w:ilvl="0">
      <w:lvlJc w:val="left"/>
      <w:lvlText w:val="%1"/>
      <w:numFmt w:val="lowerLetter"/>
      <w:start w:val="1"/>
    </w:lvl>
    <w:lvl w:ilvl="1">
      <w:lvlJc w:val="left"/>
      <w:lvlText w:val="(%2)"/>
      <w:numFmt w:val="lowerRoman"/>
      <w:start w:val="4"/>
    </w:lvl>
  </w:abstractNum>
  <w:abstractNum w:abstractNumId="19">
    <w:nsid w:val="2DF6D648"/>
    <w:multiLevelType w:val="hybridMultilevel"/>
    <w:lvl w:ilvl="0">
      <w:lvlJc w:val="left"/>
      <w:lvlText w:val="(%1)"/>
      <w:numFmt w:val="lowerLetter"/>
      <w:start w:val="5"/>
    </w:lvl>
    <w:lvl w:ilvl="1">
      <w:lvlJc w:val="left"/>
      <w:lvlText w:val="%2"/>
      <w:numFmt w:val="lowerRoman"/>
      <w:start w:val="1"/>
    </w:lvl>
  </w:abstractNum>
  <w:abstractNum w:abstractNumId="20">
    <w:nsid w:val="46B7D447"/>
    <w:multiLevelType w:val="hybridMultilevel"/>
    <w:lvl w:ilvl="0">
      <w:lvlJc w:val="left"/>
      <w:lvlText w:val="%1"/>
      <w:numFmt w:val="decimal"/>
      <w:start w:val="1"/>
    </w:lvl>
    <w:lvl w:ilvl="1">
      <w:lvlJc w:val="left"/>
      <w:lvlText w:val="(%2)"/>
      <w:numFmt w:val="lowerLetter"/>
      <w:start w:val="8"/>
    </w:lvl>
  </w:abstractNum>
  <w:abstractNum w:abstractNumId="21">
    <w:nsid w:val="4A2AC315"/>
    <w:multiLevelType w:val="hybridMultilevel"/>
    <w:lvl w:ilvl="0">
      <w:lvlJc w:val="left"/>
      <w:lvlText w:val="(%1)"/>
      <w:numFmt w:val="decimal"/>
      <w:start w:val="4"/>
    </w:lvl>
    <w:lvl w:ilvl="1">
      <w:lvlJc w:val="left"/>
      <w:lvlText w:val="(%2)"/>
      <w:numFmt w:val="lowerLetter"/>
      <w:start w:val="1"/>
    </w:lvl>
  </w:abstractNum>
  <w:abstractNum w:abstractNumId="22">
    <w:nsid w:val="39EE01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3">
    <w:nsid w:val="57FC4FBB"/>
    <w:multiLevelType w:val="hybridMultilevel"/>
    <w:lvl w:ilvl="0">
      <w:lvlJc w:val="left"/>
      <w:lvlText w:val="(%1)"/>
      <w:numFmt w:val="lowerLetter"/>
      <w:start w:val="22"/>
    </w:lvl>
    <w:lvl w:ilvl="1">
      <w:lvlJc w:val="left"/>
      <w:lvlText w:val="(%2)"/>
      <w:numFmt w:val="decimal"/>
      <w:start w:val="5"/>
    </w:lvl>
    <w:lvl w:ilvl="2">
      <w:lvlJc w:val="left"/>
      <w:lvlText w:val="%3"/>
      <w:numFmt w:val="lowerLetter"/>
      <w:start w:val="1"/>
    </w:lvl>
  </w:abstractNum>
  <w:abstractNum w:abstractNumId="24">
    <w:nsid w:val="CC1016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
    <w:nsid w:val="43F18422"/>
    <w:multiLevelType w:val="hybridMultilevel"/>
    <w:lvl w:ilvl="0">
      <w:lvlJc w:val="left"/>
      <w:lvlText w:val="%1"/>
      <w:numFmt w:val="lowerLetter"/>
      <w:start w:val="1"/>
    </w:lvl>
    <w:lvl w:ilvl="1">
      <w:lvlJc w:val="left"/>
      <w:lvlText w:val="(%2)"/>
      <w:numFmt w:val="lowerRoman"/>
      <w:start w:val="3"/>
    </w:lvl>
  </w:abstractNum>
  <w:abstractNum w:abstractNumId="26">
    <w:nsid w:val="60EF0119"/>
    <w:multiLevelType w:val="hybridMultilevel"/>
    <w:lvl w:ilvl="0">
      <w:lvlJc w:val="left"/>
      <w:lvlText w:val="(%1)"/>
      <w:numFmt w:val="lowerLetter"/>
      <w:start w:val="3"/>
    </w:lvl>
    <w:lvl w:ilvl="1">
      <w:lvlJc w:val="left"/>
      <w:lvlText w:val="%2"/>
      <w:numFmt w:val="lowerRoman"/>
      <w:start w:val="1"/>
    </w:lvl>
  </w:abstractNum>
  <w:abstractNum w:abstractNumId="27">
    <w:nsid w:val="26F324BA"/>
    <w:multiLevelType w:val="hybridMultilevel"/>
    <w:lvl w:ilvl="0">
      <w:lvlJc w:val="left"/>
      <w:lvlText w:val="(%1)"/>
      <w:numFmt w:val="decimal"/>
      <w:start w:val="9"/>
    </w:lvl>
    <w:lvl w:ilvl="1">
      <w:lvlJc w:val="left"/>
      <w:lvlText w:val="(%2)"/>
      <w:numFmt w:val="lowerLetter"/>
      <w:start w:val="1"/>
    </w:lvl>
  </w:abstractNum>
  <w:abstractNum w:abstractNumId="28">
    <w:nsid w:val="7F01579B"/>
    <w:multiLevelType w:val="hybridMultilevel"/>
    <w:lvl w:ilvl="0">
      <w:lvlJc w:val="left"/>
      <w:lvlText w:val="(%1)"/>
      <w:numFmt w:val="lowerLetter"/>
      <w:start w:val="1"/>
    </w:lvl>
  </w:abstractNum>
  <w:abstractNum w:abstractNumId="29">
    <w:nsid w:val="49DA307D"/>
    <w:multiLevelType w:val="hybridMultilevel"/>
    <w:lvl w:ilvl="0">
      <w:lvlJc w:val="left"/>
      <w:lvlText w:val="(%1)"/>
      <w:numFmt w:val="lowerLetter"/>
      <w:start w:val="4"/>
    </w:lvl>
  </w:abstractNum>
  <w:abstractNum w:abstractNumId="30">
    <w:nsid w:val="7055A5F5"/>
    <w:multiLevelType w:val="hybridMultilevel"/>
    <w:lvl w:ilvl="0">
      <w:lvlJc w:val="left"/>
      <w:lvlText w:val="(%1)"/>
      <w:numFmt w:val="lowerLetter"/>
      <w:start w:val="14"/>
    </w:lvl>
  </w:abstractNum>
  <w:abstractNum w:abstractNumId="31">
    <w:nsid w:val="5FB8370B"/>
    <w:multiLevelType w:val="hybridMultilevel"/>
    <w:lvl w:ilvl="0">
      <w:lvlJc w:val="left"/>
      <w:lvlText w:val="2"/>
      <w:numFmt w:val="bullet"/>
      <w:start w:val="1"/>
    </w:lvl>
  </w:abstractNum>
  <w:abstractNum w:abstractNumId="32">
    <w:nsid w:val="50801EE1"/>
    <w:multiLevelType w:val="hybridMultilevel"/>
    <w:lvl w:ilvl="0">
      <w:lvlJc w:val="left"/>
      <w:lvlText w:val="3"/>
      <w:numFmt w:val="bullet"/>
      <w:start w:val="1"/>
    </w:lvl>
  </w:abstractNum>
  <w:abstractNum w:abstractNumId="33">
    <w:nsid w:val="488AC1A"/>
    <w:multiLevelType w:val="hybridMultilevel"/>
    <w:lvl w:ilvl="0">
      <w:lvlJc w:val="left"/>
      <w:lvlText w:val="(%1)"/>
      <w:numFmt w:val="lowerLetter"/>
      <w:start w:val="25"/>
    </w:lvl>
  </w:abstractNum>
  <w:abstractNum w:abstractNumId="34">
    <w:nsid w:val="5FB8011C"/>
    <w:multiLevelType w:val="hybridMultilevel"/>
    <w:lvl w:ilvl="0">
      <w:lvlJc w:val="left"/>
      <w:lvlText w:val="(%1)"/>
      <w:numFmt w:val="lowerLetter"/>
      <w:start w:val="27"/>
    </w:lvl>
  </w:abstractNum>
  <w:abstractNum w:abstractNumId="35">
    <w:nsid w:val="6AA78F7F"/>
    <w:multiLevelType w:val="hybridMultilevel"/>
    <w:lvl w:ilvl="0">
      <w:lvlJc w:val="left"/>
      <w:lvlText w:val="(%1)"/>
      <w:numFmt w:val="lowerLetter"/>
      <w:start w:val="37"/>
    </w:lvl>
  </w:abstractNum>
  <w:abstractNum w:abstractNumId="36">
    <w:nsid w:val="7672BD23"/>
    <w:multiLevelType w:val="hybridMultilevel"/>
    <w:lvl w:ilvl="0">
      <w:lvlJc w:val="left"/>
      <w:lvlText w:val="%1."/>
      <w:numFmt w:val="decimal"/>
      <w:start w:val="1"/>
    </w:lvl>
    <w:lvl w:ilvl="1">
      <w:lvlJc w:val="left"/>
      <w:lvlText w:val="(%2)"/>
      <w:numFmt w:val="lowerLetter"/>
      <w:start w:val="1"/>
    </w:lvl>
  </w:abstractNum>
  <w:abstractNum w:abstractNumId="37">
    <w:nsid w:val="6FC75AF8"/>
    <w:multiLevelType w:val="hybridMultilevel"/>
    <w:lvl w:ilvl="0">
      <w:lvlJc w:val="left"/>
      <w:lvlText w:val="Y"/>
      <w:numFmt w:val="bullet"/>
      <w:start w:val="1"/>
    </w:lvl>
  </w:abstractNum>
  <w:abstractNum w:abstractNumId="38">
    <w:nsid w:val="6A5F7029"/>
    <w:multiLevelType w:val="hybridMultilevel"/>
    <w:lvl w:ilvl="0">
      <w:lvlJc w:val="left"/>
      <w:lvlText w:val="A"/>
      <w:numFmt w:val="bullet"/>
      <w:start w:val="1"/>
    </w:lvl>
  </w:abstractNum>
  <w:abstractNum w:abstractNumId="39">
    <w:nsid w:val="7D5E18F8"/>
    <w:multiLevelType w:val="hybridMultilevel"/>
    <w:lvl w:ilvl="0">
      <w:lvlJc w:val="left"/>
      <w:lvlText w:val="B"/>
      <w:numFmt w:val="bullet"/>
      <w:start w:val="1"/>
    </w:lvl>
  </w:abstractNum>
  <w:abstractNum w:abstractNumId="40">
    <w:nsid w:val="5F3534A4"/>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41">
    <w:nsid w:val="73A1821B"/>
    <w:multiLevelType w:val="hybridMultilevel"/>
    <w:lvl w:ilvl="0">
      <w:lvlJc w:val="left"/>
      <w:lvlText w:val="%1."/>
      <w:numFmt w:val="decimal"/>
      <w:start w:val="2"/>
    </w:lvl>
    <w:lvl w:ilvl="1">
      <w:lvlJc w:val="left"/>
      <w:lvlText w:val="(%2)"/>
      <w:numFmt w:val="lowerLetter"/>
      <w:start w:val="1"/>
    </w:lvl>
  </w:abstractNum>
  <w:abstractNum w:abstractNumId="42">
    <w:nsid w:val="7DE67713"/>
    <w:multiLevelType w:val="hybridMultilevel"/>
    <w:lvl w:ilvl="0">
      <w:lvlJc w:val="left"/>
      <w:lvlText w:val="(%1)"/>
      <w:numFmt w:val="lowerLetter"/>
      <w:start w:val="3"/>
    </w:lvl>
  </w:abstractNum>
  <w:abstractNum w:abstractNumId="43">
    <w:nsid w:val="555C55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44">
    <w:nsid w:val="3FA62AC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5">
    <w:nsid w:val="14FCE74E"/>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46">
    <w:nsid w:val="6A3DD3E8"/>
    <w:multiLevelType w:val="hybridMultilevel"/>
    <w:lvl w:ilvl="0">
      <w:lvlJc w:val="left"/>
      <w:lvlText w:val="(%1)"/>
      <w:numFmt w:val="lowerLetter"/>
      <w:start w:val="1"/>
    </w:lvl>
  </w:abstractNum>
  <w:abstractNum w:abstractNumId="47">
    <w:nsid w:val="71C91298"/>
    <w:multiLevelType w:val="hybridMultilevel"/>
    <w:lvl w:ilvl="0">
      <w:lvlJc w:val="left"/>
      <w:lvlText w:val="(%1)"/>
      <w:numFmt w:val="lowerLetter"/>
      <w:start w:val="2"/>
    </w:lvl>
  </w:abstractNum>
  <w:abstractNum w:abstractNumId="48">
    <w:nsid w:val="9DAF632"/>
    <w:multiLevelType w:val="hybridMultilevel"/>
    <w:lvl w:ilvl="0">
      <w:lvlJc w:val="left"/>
      <w:lvlText w:val="(%1)"/>
      <w:numFmt w:val="lowerLetter"/>
      <w:start w:val="1"/>
    </w:lvl>
  </w:abstractNum>
  <w:abstractNum w:abstractNumId="49">
    <w:nsid w:val="53299938"/>
    <w:multiLevelType w:val="hybridMultilevel"/>
    <w:lvl w:ilvl="0">
      <w:lvlJc w:val="left"/>
      <w:lvlText w:val="(%1)"/>
      <w:numFmt w:val="lowerLetter"/>
      <w:start w:val="1"/>
    </w:lvl>
  </w:abstractNum>
  <w:abstractNum w:abstractNumId="50">
    <w:nsid w:val="1FBFE8E0"/>
    <w:multiLevelType w:val="hybridMultilevel"/>
    <w:lvl w:ilvl="0">
      <w:lvlJc w:val="left"/>
      <w:lvlText w:val="%1"/>
      <w:numFmt w:val="lowerRoman"/>
      <w:start w:val="1"/>
    </w:lvl>
    <w:lvl w:ilvl="1">
      <w:lvlJc w:val="left"/>
      <w:lvlText w:val="%2."/>
      <w:numFmt w:val="decimal"/>
      <w:start w:val="5"/>
    </w:lvl>
  </w:abstractNum>
  <w:abstractNum w:abstractNumId="51">
    <w:nsid w:val="5092CA79"/>
    <w:multiLevelType w:val="hybridMultilevel"/>
    <w:lvl w:ilvl="0">
      <w:lvlJc w:val="left"/>
      <w:lvlText w:val="(%1)"/>
      <w:numFmt w:val="lowerRoman"/>
      <w:start w:val="2"/>
    </w:lvl>
    <w:lvl w:ilvl="1">
      <w:lvlJc w:val="left"/>
      <w:lvlText w:val="%2."/>
      <w:numFmt w:val="decimal"/>
      <w:start w:val="10"/>
    </w:lvl>
  </w:abstractNum>
  <w:abstractNum w:abstractNumId="52">
    <w:nsid w:val="1D545C4D"/>
    <w:multiLevelType w:val="hybridMultilevel"/>
    <w:lvl w:ilvl="0">
      <w:lvlJc w:val="left"/>
      <w:lvlText w:val="%1"/>
      <w:numFmt w:val="lowerRoman"/>
      <w:start w:val="1"/>
    </w:lvl>
    <w:lvl w:ilvl="1">
      <w:lvlJc w:val="left"/>
      <w:lvlText w:val="%2."/>
      <w:numFmt w:val="decimal"/>
      <w:start w:val="11"/>
    </w:lvl>
  </w:abstractNum>
  <w:abstractNum w:abstractNumId="53">
    <w:nsid w:val="59ADEA3D"/>
    <w:multiLevelType w:val="hybridMultilevel"/>
    <w:lvl w:ilvl="0">
      <w:lvlJc w:val="left"/>
      <w:lvlText w:val="(%1)"/>
      <w:numFmt w:val="lowerRoman"/>
      <w:start w:val="4"/>
    </w:lvl>
    <w:lvl w:ilvl="1">
      <w:lvlJc w:val="left"/>
      <w:lvlText w:val="%2."/>
      <w:numFmt w:val="decimal"/>
      <w:start w:val="13"/>
    </w:lvl>
  </w:abstractNum>
  <w:abstractNum w:abstractNumId="54">
    <w:nsid w:val="288F1A34"/>
    <w:multiLevelType w:val="hybridMultilevel"/>
    <w:lvl w:ilvl="0">
      <w:lvlJc w:val="left"/>
      <w:lvlText w:val="%1."/>
      <w:numFmt w:val="decimal"/>
      <w:start w:val="18"/>
    </w:lvl>
  </w:abstractNum>
  <w:abstractNum w:abstractNumId="55">
    <w:nsid w:val="2A155DBC"/>
    <w:multiLevelType w:val="hybridMultilevel"/>
    <w:lvl w:ilvl="0">
      <w:lvlJc w:val="left"/>
      <w:lvlText w:val="%1."/>
      <w:numFmt w:val="decimal"/>
      <w:start w:val="19"/>
    </w:lvl>
  </w:abstractNum>
  <w:abstractNum w:abstractNumId="56">
    <w:nsid w:val="1D9F6E5F"/>
    <w:multiLevelType w:val="hybridMultilevel"/>
    <w:lvl w:ilvl="0">
      <w:lvlJc w:val="left"/>
      <w:lvlText w:val="%1."/>
      <w:numFmt w:val="decimal"/>
      <w:start w:val="20"/>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1)"/>
      <w:numFmt w:val="decimal"/>
      <w:start w:val="1"/>
    </w:lvl>
  </w:abstractNum>
  <w:abstractNum w:abstractNumId="59">
    <w:nsid w:val="1CA0C5FA"/>
    <w:multiLevelType w:val="hybridMultilevel"/>
    <w:lvl w:ilvl="0">
      <w:lvlJc w:val="left"/>
      <w:lvlText w:val="%1."/>
      <w:numFmt w:val="decimal"/>
      <w:start w:val="1"/>
    </w:lvl>
    <w:lvl w:ilvl="1">
      <w:lvlJc w:val="left"/>
      <w:lvlText w:val="(%2)"/>
      <w:numFmt w:val="lowerLetter"/>
      <w:start w:val="1"/>
    </w:lvl>
  </w:abstractNum>
  <w:abstractNum w:abstractNumId="60">
    <w:nsid w:val="53584BCB"/>
    <w:multiLevelType w:val="hybridMultilevel"/>
    <w:lvl w:ilvl="0">
      <w:lvlJc w:val="left"/>
      <w:lvlText w:val="Y"/>
      <w:numFmt w:val="bullet"/>
      <w:start w:val="1"/>
    </w:lvl>
  </w:abstractNum>
  <w:abstractNum w:abstractNumId="61">
    <w:nsid w:val="415E286C"/>
    <w:multiLevelType w:val="hybridMultilevel"/>
    <w:lvl w:ilvl="0">
      <w:lvlJc w:val="left"/>
      <w:lvlText w:val="A"/>
      <w:numFmt w:val="bullet"/>
      <w:start w:val="1"/>
    </w:lvl>
  </w:abstractNum>
  <w:abstractNum w:abstractNumId="62">
    <w:nsid w:val="7C58FD05"/>
    <w:multiLevelType w:val="hybridMultilevel"/>
    <w:lvl w:ilvl="0">
      <w:lvlJc w:val="left"/>
      <w:lvlText w:val="B"/>
      <w:numFmt w:val="bullet"/>
      <w:start w:val="1"/>
    </w:lvl>
  </w:abstractNum>
  <w:abstractNum w:abstractNumId="63">
    <w:nsid w:val="23D86AA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64">
    <w:nsid w:val="45E6D486"/>
    <w:multiLevelType w:val="hybridMultilevel"/>
    <w:lvl w:ilvl="0">
      <w:lvlJc w:val="left"/>
      <w:lvlText w:val="%1."/>
      <w:numFmt w:val="decimal"/>
      <w:start w:val="2"/>
    </w:lvl>
    <w:lvl w:ilvl="1">
      <w:lvlJc w:val="left"/>
      <w:lvlText w:val="(%2)"/>
      <w:numFmt w:val="lowerLetter"/>
      <w:start w:val="1"/>
    </w:lvl>
  </w:abstractNum>
  <w:abstractNum w:abstractNumId="65">
    <w:nsid w:val="5C10FE21"/>
    <w:multiLevelType w:val="hybridMultilevel"/>
    <w:lvl w:ilvl="0">
      <w:lvlJc w:val="left"/>
      <w:lvlText w:val="(%1)"/>
      <w:numFmt w:val="lowerLetter"/>
      <w:start w:val="3"/>
    </w:lvl>
  </w:abstractNum>
  <w:abstractNum w:abstractNumId="66">
    <w:nsid w:val="E7FFA2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7">
    <w:nsid w:val="3C5991A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68">
    <w:nsid w:val="4BD8591A"/>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69">
    <w:nsid w:val="78DF6A55"/>
    <w:multiLevelType w:val="hybridMultilevel"/>
    <w:lvl w:ilvl="0">
      <w:lvlJc w:val="left"/>
      <w:lvlText w:val="(%1)"/>
      <w:numFmt w:val="lowerLetter"/>
      <w:start w:val="1"/>
    </w:lvl>
  </w:abstractNum>
  <w:abstractNum w:abstractNumId="70">
    <w:nsid w:val="39B7AAA2"/>
    <w:multiLevelType w:val="hybridMultilevel"/>
    <w:lvl w:ilvl="0">
      <w:lvlJc w:val="left"/>
      <w:lvlText w:val="(%1)"/>
      <w:numFmt w:val="lowerLetter"/>
      <w:start w:val="2"/>
    </w:lvl>
  </w:abstractNum>
  <w:abstractNum w:abstractNumId="71">
    <w:nsid w:val="2B0D8DBE"/>
    <w:multiLevelType w:val="hybridMultilevel"/>
    <w:lvl w:ilvl="0">
      <w:lvlJc w:val="left"/>
      <w:lvlText w:val="(%1)"/>
      <w:numFmt w:val="lowerLetter"/>
      <w:start w:val="1"/>
    </w:lvl>
  </w:abstractNum>
  <w:abstractNum w:abstractNumId="72">
    <w:nsid w:val="6C80EC70"/>
    <w:multiLevelType w:val="hybridMultilevel"/>
    <w:lvl w:ilvl="0">
      <w:lvlJc w:val="left"/>
      <w:lvlText w:val="(%1)"/>
      <w:numFmt w:val="lowerLetter"/>
      <w:start w:val="1"/>
    </w:lvl>
  </w:abstractNum>
  <w:abstractNum w:abstractNumId="73">
    <w:nsid w:val="379E21B5"/>
    <w:multiLevelType w:val="hybridMultilevel"/>
    <w:lvl w:ilvl="0">
      <w:lvlJc w:val="left"/>
      <w:lvlText w:val="%1"/>
      <w:numFmt w:val="lowerRoman"/>
      <w:start w:val="1"/>
    </w:lvl>
    <w:lvl w:ilvl="1">
      <w:lvlJc w:val="left"/>
      <w:lvlText w:val="%2."/>
      <w:numFmt w:val="decimal"/>
      <w:start w:val="5"/>
    </w:lvl>
  </w:abstractNum>
  <w:abstractNum w:abstractNumId="74">
    <w:nsid w:val="69E373"/>
    <w:multiLevelType w:val="hybridMultilevel"/>
    <w:lvl w:ilvl="0">
      <w:lvlJc w:val="left"/>
      <w:lvlText w:val="(%1)"/>
      <w:numFmt w:val="lowerRoman"/>
      <w:start w:val="2"/>
    </w:lvl>
    <w:lvl w:ilvl="1">
      <w:lvlJc w:val="left"/>
      <w:lvlText w:val="%2."/>
      <w:numFmt w:val="decimal"/>
      <w:start w:val="10"/>
    </w:lvl>
  </w:abstractNum>
  <w:abstractNum w:abstractNumId="75">
    <w:nsid w:val="2C27173B"/>
    <w:multiLevelType w:val="hybridMultilevel"/>
    <w:lvl w:ilvl="0">
      <w:lvlJc w:val="left"/>
      <w:lvlText w:val="%1"/>
      <w:numFmt w:val="lowerRoman"/>
      <w:start w:val="1"/>
    </w:lvl>
    <w:lvl w:ilvl="1">
      <w:lvlJc w:val="left"/>
      <w:lvlText w:val="%2."/>
      <w:numFmt w:val="decimal"/>
      <w:start w:val="11"/>
    </w:lvl>
  </w:abstractNum>
  <w:abstractNum w:abstractNumId="76">
    <w:nsid w:val="4C9B0904"/>
    <w:multiLevelType w:val="hybridMultilevel"/>
    <w:lvl w:ilvl="0">
      <w:lvlJc w:val="left"/>
      <w:lvlText w:val="(%1)"/>
      <w:numFmt w:val="lowerRoman"/>
      <w:start w:val="4"/>
    </w:lvl>
    <w:lvl w:ilvl="1">
      <w:lvlJc w:val="left"/>
      <w:lvlText w:val="%2."/>
      <w:numFmt w:val="decimal"/>
      <w:start w:val="13"/>
    </w:lvl>
  </w:abstractNum>
  <w:abstractNum w:abstractNumId="77">
    <w:nsid w:val="6AA7B75C"/>
    <w:multiLevelType w:val="hybridMultilevel"/>
    <w:lvl w:ilvl="0">
      <w:lvlJc w:val="left"/>
      <w:lvlText w:val="%1."/>
      <w:numFmt w:val="decimal"/>
      <w:start w:val="18"/>
    </w:lvl>
  </w:abstractNum>
  <w:abstractNum w:abstractNumId="78">
    <w:nsid w:val="1DF029D3"/>
    <w:multiLevelType w:val="hybridMultilevel"/>
    <w:lvl w:ilvl="0">
      <w:lvlJc w:val="left"/>
      <w:lvlText w:val="%1."/>
      <w:numFmt w:val="decimal"/>
      <w:start w:val="19"/>
    </w:lvl>
  </w:abstractNum>
  <w:abstractNum w:abstractNumId="79">
    <w:nsid w:val="5675FF36"/>
    <w:multiLevelType w:val="hybridMultilevel"/>
    <w:lvl w:ilvl="0">
      <w:lvlJc w:val="left"/>
      <w:lvlText w:val="%1."/>
      <w:numFmt w:val="decimal"/>
      <w:start w:val="20"/>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1)"/>
      <w:numFmt w:val="decimal"/>
      <w:start w:val="1"/>
    </w:lvl>
  </w:abstractNum>
  <w:abstractNum w:abstractNumId="82">
    <w:nsid w:val="2708C9AF"/>
    <w:multiLevelType w:val="hybridMultilevel"/>
    <w:lvl w:ilvl="0">
      <w:lvlJc w:val="left"/>
      <w:lvlText w:val="%1."/>
      <w:numFmt w:val="decimal"/>
      <w:start w:val="1"/>
    </w:lvl>
    <w:lvl w:ilvl="1">
      <w:lvlJc w:val="left"/>
      <w:lvlText w:val="(%2)"/>
      <w:numFmt w:val="lowerLetter"/>
      <w:start w:val="1"/>
    </w:lvl>
  </w:abstractNum>
  <w:abstractNum w:abstractNumId="83">
    <w:nsid w:val="5B25ACE2"/>
    <w:multiLevelType w:val="hybridMultilevel"/>
    <w:lvl w:ilvl="0">
      <w:lvlJc w:val="left"/>
      <w:lvlText w:val="%1."/>
      <w:numFmt w:val="decimal"/>
      <w:start w:val="2"/>
    </w:lvl>
  </w:abstractNum>
  <w:abstractNum w:abstractNumId="84">
    <w:nsid w:val="175DFCF0"/>
    <w:multiLevelType w:val="hybridMultilevel"/>
    <w:lvl w:ilvl="0">
      <w:lvlJc w:val="left"/>
      <w:lvlText w:val="(%1)"/>
      <w:numFmt w:val="lowerLetter"/>
      <w:start w:val="1"/>
    </w:lvl>
  </w:abstractNum>
  <w:abstractNum w:abstractNumId="85">
    <w:nsid w:val="4F97E3E4"/>
    <w:multiLevelType w:val="hybridMultilevel"/>
    <w:lvl w:ilvl="0">
      <w:lvlJc w:val="left"/>
      <w:lvlText w:val="(%1)"/>
      <w:numFmt w:val="lowerLetter"/>
      <w:start w:val="5"/>
    </w:lvl>
  </w:abstractNum>
  <w:abstractNum w:abstractNumId="86">
    <w:nsid w:val="53B0A9E"/>
    <w:multiLevelType w:val="hybridMultilevel"/>
    <w:lvl w:ilvl="0">
      <w:lvlJc w:val="left"/>
      <w:lvlText w:val="%1"/>
      <w:numFmt w:val="decimal"/>
      <w:start w:val="1"/>
    </w:lvl>
    <w:lvl w:ilvl="1">
      <w:lvlJc w:val="left"/>
      <w:lvlText w:val="(%2)"/>
      <w:numFmt w:val="lowerLetter"/>
      <w:start w:val="7"/>
    </w:lvl>
  </w:abstractNum>
  <w:abstractNum w:abstractNumId="87">
    <w:nsid w:val="34FD6B4F"/>
    <w:multiLevelType w:val="hybridMultilevel"/>
    <w:lvl w:ilvl="0">
      <w:lvlJc w:val="left"/>
      <w:lvlText w:val="%1)"/>
      <w:numFmt w:val="decimal"/>
      <w:start w:val="144"/>
    </w:lvl>
    <w:lvl w:ilvl="1">
      <w:lvlJc w:val="left"/>
      <w:lvlText w:val="%2"/>
      <w:numFmt w:val="lowerLetter"/>
      <w:start w:val="1"/>
    </w:lvl>
  </w:abstractNum>
  <w:abstractNum w:abstractNumId="88">
    <w:nsid w:val="5915FF32"/>
    <w:multiLevelType w:val="hybridMultilevel"/>
    <w:lvl w:ilvl="0">
      <w:lvlJc w:val="left"/>
      <w:lvlText w:val="%1"/>
      <w:numFmt w:val="decimal"/>
      <w:start w:val="1"/>
    </w:lvl>
    <w:lvl w:ilvl="1">
      <w:lvlJc w:val="left"/>
      <w:lvlText w:val="(%2)"/>
      <w:numFmt w:val="lowerLetter"/>
      <w:start w:val="13"/>
    </w:lvl>
  </w:abstractNum>
  <w:abstractNum w:abstractNumId="89">
    <w:nsid w:val="56438D15"/>
    <w:multiLevelType w:val="hybridMultilevel"/>
    <w:lvl w:ilvl="0">
      <w:lvlJc w:val="left"/>
      <w:lvlText w:val="%1."/>
      <w:numFmt w:val="decimal"/>
      <w:start w:val="3"/>
    </w:lvl>
    <w:lvl w:ilvl="1">
      <w:lvlJc w:val="left"/>
      <w:lvlText w:val="%2"/>
      <w:numFmt w:val="lowerLetter"/>
      <w:start w:val="1"/>
    </w:lvl>
  </w:abstractNum>
  <w:abstractNum w:abstractNumId="90">
    <w:nsid w:val="519E3149"/>
    <w:multiLevelType w:val="hybridMultilevel"/>
    <w:lvl w:ilvl="0">
      <w:lvlJc w:val="left"/>
      <w:lvlText w:val="(%1)"/>
      <w:numFmt w:val="lowerLetter"/>
      <w:start w:val="1"/>
    </w:lvl>
  </w:abstractNum>
  <w:abstractNum w:abstractNumId="91">
    <w:nsid w:val="2C6E4AFD"/>
    <w:multiLevelType w:val="hybridMultilevel"/>
    <w:lvl w:ilvl="0">
      <w:lvlJc w:val="left"/>
      <w:lvlText w:val="(%1)"/>
      <w:numFmt w:val="lowerLetter"/>
      <w:start w:val="2"/>
    </w:lvl>
  </w:abstractNum>
  <w:abstractNum w:abstractNumId="92">
    <w:nsid w:val="17A1B582"/>
    <w:multiLevelType w:val="hybridMultilevel"/>
    <w:lvl w:ilvl="0">
      <w:lvlJc w:val="left"/>
      <w:lvlText w:val="(%1)"/>
      <w:numFmt w:val="lowerLetter"/>
      <w:start w:val="5"/>
    </w:lvl>
  </w:abstractNum>
  <w:abstractNum w:abstractNumId="93">
    <w:nsid w:val="4DF72E4E"/>
    <w:multiLevelType w:val="hybridMultilevel"/>
    <w:lvl w:ilvl="0">
      <w:lvlJc w:val="left"/>
      <w:lvlText w:val="(%1)"/>
      <w:numFmt w:val="lowerLetter"/>
      <w:start w:val="7"/>
    </w:lvl>
  </w:abstractNum>
  <w:abstractNum w:abstractNumId="94">
    <w:nsid w:val="5046B5A9"/>
    <w:multiLevelType w:val="hybridMultilevel"/>
    <w:lvl w:ilvl="0">
      <w:lvlJc w:val="left"/>
      <w:lvlText w:val="(%1)"/>
      <w:numFmt w:val="lowerLetter"/>
      <w:start w:val="10"/>
    </w:lvl>
  </w:abstractNum>
  <w:abstractNum w:abstractNumId="95">
    <w:nsid w:val="5D888A08"/>
    <w:multiLevelType w:val="hybridMultilevel"/>
    <w:lvl w:ilvl="0">
      <w:lvlJc w:val="left"/>
      <w:lvlText w:val="(%1)"/>
      <w:numFmt w:val="lowerLetter"/>
      <w:start w:val="12"/>
    </w:lvl>
  </w:abstractNum>
  <w:abstractNum w:abstractNumId="96">
    <w:nsid w:val="2A082C70"/>
    <w:multiLevelType w:val="hybridMultilevel"/>
    <w:lvl w:ilvl="0">
      <w:lvlJc w:val="left"/>
      <w:lvlText w:val="(%1)"/>
      <w:numFmt w:val="lowerLetter"/>
      <w:start w:val="14"/>
    </w:lvl>
    <w:lvl w:ilvl="1">
      <w:lvlJc w:val="left"/>
      <w:lvlText w:val="(%2)"/>
      <w:numFmt w:val="lowerRoman"/>
      <w:start w:val="1"/>
    </w:lvl>
  </w:abstractNum>
  <w:abstractNum w:abstractNumId="97">
    <w:nsid w:val="5EC6AFD4"/>
    <w:multiLevelType w:val="hybridMultilevel"/>
    <w:lvl w:ilvl="0">
      <w:lvlJc w:val="left"/>
      <w:lvlText w:val="(%1)"/>
      <w:numFmt w:val="lowerRoman"/>
      <w:start w:val="3"/>
    </w:lvl>
  </w:abstractNum>
  <w:abstractNum w:abstractNumId="98">
    <w:nsid w:val="19E21BB2"/>
    <w:multiLevelType w:val="hybridMultilevel"/>
    <w:lvl w:ilvl="0">
      <w:lvlJc w:val="left"/>
      <w:lvlText w:val="(%1)"/>
      <w:numFmt w:val="lowerLetter"/>
      <w:start w:val="16"/>
    </w:lvl>
  </w:abstractNum>
  <w:abstractNum w:abstractNumId="99">
    <w:nsid w:val="75E0858A"/>
    <w:multiLevelType w:val="hybridMultilevel"/>
    <w:lvl w:ilvl="0">
      <w:lvlJc w:val="left"/>
      <w:lvlText w:val="(%1)"/>
      <w:numFmt w:val="lowerLetter"/>
      <w:start w:val="18"/>
    </w:lvl>
  </w:abstractNum>
  <w:abstractNum w:abstractNumId="100">
    <w:nsid w:val="57A61A29"/>
    <w:multiLevelType w:val="hybridMultilevel"/>
    <w:lvl w:ilvl="0">
      <w:lvlJc w:val="left"/>
      <w:lvlText w:val="%1"/>
      <w:numFmt w:val="lowerLetter"/>
      <w:start w:val="1"/>
    </w:lvl>
    <w:lvl w:ilvl="1">
      <w:lvlJc w:val="left"/>
      <w:lvlText w:val="(%2)"/>
      <w:numFmt w:val="lowerLetter"/>
      <w:start w:val="21"/>
    </w:lvl>
  </w:abstractNum>
  <w:abstractNum w:abstractNumId="101">
    <w:nsid w:val="5399C654"/>
    <w:multiLevelType w:val="hybridMultilevel"/>
    <w:lvl w:ilvl="0">
      <w:lvlJc w:val="left"/>
      <w:lvlText w:val="(%1)"/>
      <w:numFmt w:val="lowerLetter"/>
      <w:start w:val="35"/>
    </w:lvl>
    <w:lvl w:ilvl="1">
      <w:lvlJc w:val="left"/>
      <w:lvlText w:val="(%2)"/>
      <w:numFmt w:val="lowerLetter"/>
      <w:start w:val="22"/>
    </w:lvl>
  </w:abstractNum>
  <w:abstractNum w:abstractNumId="102">
    <w:nsid w:val="20EE1348"/>
    <w:multiLevelType w:val="hybridMultilevel"/>
    <w:lvl w:ilvl="0">
      <w:lvlJc w:val="left"/>
      <w:lvlText w:val="(%1)"/>
      <w:numFmt w:val="lowerLetter"/>
      <w:start w:val="25"/>
    </w:lvl>
  </w:abstractNum>
  <w:abstractNum w:abstractNumId="103">
    <w:nsid w:val="4427069A"/>
    <w:multiLevelType w:val="hybridMultilevel"/>
    <w:lvl w:ilvl="0">
      <w:lvlJc w:val="left"/>
      <w:lvlText w:val="(%1)"/>
      <w:numFmt w:val="lowerLetter"/>
      <w:start w:val="27"/>
    </w:lvl>
  </w:abstractNum>
  <w:abstractNum w:abstractNumId="104">
    <w:nsid w:val="B37E80A"/>
    <w:multiLevelType w:val="hybridMultilevel"/>
    <w:lvl w:ilvl="0">
      <w:lvlJc w:val="left"/>
      <w:lvlText w:val="(%1)"/>
      <w:numFmt w:val="lowerLetter"/>
      <w:start w:val="28"/>
    </w:lvl>
  </w:abstractNum>
  <w:abstractNum w:abstractNumId="105">
    <w:nsid w:val="2157F6BC"/>
    <w:multiLevelType w:val="hybridMultilevel"/>
    <w:lvl w:ilvl="0">
      <w:lvlJc w:val="left"/>
      <w:lvlText w:val="%1"/>
      <w:numFmt w:val="decimal"/>
      <w:start w:val="1"/>
    </w:lvl>
    <w:lvl w:ilvl="1">
      <w:lvlJc w:val="left"/>
      <w:lvlText w:val="(%2)"/>
      <w:numFmt w:val="lowerLetter"/>
      <w:start w:val="32"/>
    </w:lvl>
  </w:abstractNum>
  <w:abstractNum w:abstractNumId="106">
    <w:nsid w:val="704E1DD5"/>
    <w:multiLevelType w:val="hybridMultilevel"/>
    <w:lvl w:ilvl="0">
      <w:lvlJc w:val="left"/>
      <w:lvlText w:val="%1."/>
      <w:numFmt w:val="decimal"/>
      <w:start w:val="4"/>
    </w:lvl>
    <w:lvl w:ilvl="1">
      <w:lvlJc w:val="left"/>
      <w:lvlText w:val="(%2)"/>
      <w:numFmt w:val="lowerLetter"/>
      <w:start w:val="1"/>
    </w:lvl>
  </w:abstractNum>
  <w:abstractNum w:abstractNumId="107">
    <w:nsid w:val="57D2F10E"/>
    <w:multiLevelType w:val="hybridMultilevel"/>
    <w:lvl w:ilvl="0">
      <w:lvlJc w:val="left"/>
      <w:lvlText w:val="(%1)"/>
      <w:numFmt w:val="lowerLetter"/>
      <w:start w:val="4"/>
    </w:lvl>
    <w:lvl w:ilvl="1">
      <w:lvlJc w:val="left"/>
      <w:lvlText w:val="(%2)"/>
      <w:numFmt w:val="lowerLetter"/>
      <w:start w:val="9"/>
    </w:lvl>
  </w:abstractNum>
  <w:abstractNum w:abstractNumId="108">
    <w:nsid w:val="BFFAE18"/>
    <w:multiLevelType w:val="hybridMultilevel"/>
    <w:lvl w:ilvl="0">
      <w:lvlJc w:val="left"/>
      <w:lvlText w:val="(%1)"/>
      <w:numFmt w:val="lowerRoman"/>
      <w:start w:val="2"/>
    </w:lvl>
  </w:abstractNum>
  <w:abstractNum w:abstractNumId="109">
    <w:nsid w:val="E3E47A8"/>
    <w:multiLevelType w:val="hybridMultilevel"/>
    <w:lvl w:ilvl="0">
      <w:lvlJc w:val="left"/>
      <w:lvlText w:val="%1"/>
      <w:numFmt w:val="upperLetter"/>
      <w:start w:val="1"/>
    </w:lvl>
    <w:lvl w:ilvl="1">
      <w:lvlJc w:val="left"/>
      <w:lvlText w:val="(%2)"/>
      <w:numFmt w:val="lowerLetter"/>
      <w:start w:val="8"/>
    </w:lvl>
    <w:lvl w:ilvl="2">
      <w:lvlJc w:val="left"/>
      <w:lvlText w:val="(%3)"/>
      <w:numFmt w:val="lowerLetter"/>
      <w:start w:val="9"/>
    </w:lvl>
  </w:abstractNum>
  <w:abstractNum w:abstractNumId="110">
    <w:nsid w:val="2E48F044"/>
    <w:multiLevelType w:val="hybridMultilevel"/>
    <w:lvl w:ilvl="0">
      <w:lvlJc w:val="left"/>
      <w:lvlText w:val="%1"/>
      <w:numFmt w:val="lowerLetter"/>
      <w:start w:val="1"/>
    </w:lvl>
    <w:lvl w:ilvl="1">
      <w:lvlJc w:val="left"/>
      <w:lvlText w:val="(%2)"/>
      <w:numFmt w:val="lowerRoman"/>
      <w:start w:val="2"/>
    </w:lvl>
  </w:abstractNum>
  <w:abstractNum w:abstractNumId="111">
    <w:nsid w:val="49D0FEAC"/>
    <w:multiLevelType w:val="hybridMultilevel"/>
    <w:lvl w:ilvl="0">
      <w:lvlJc w:val="left"/>
      <w:lvlText w:val="(%1)"/>
      <w:numFmt w:val="lowerLetter"/>
      <w:start w:val="11"/>
    </w:lvl>
    <w:lvl w:ilvl="1">
      <w:lvlJc w:val="left"/>
      <w:lvlText w:val="%2"/>
      <w:numFmt w:val="lowerRoman"/>
      <w:start w:val="1"/>
    </w:lvl>
  </w:abstractNum>
  <w:abstractNum w:abstractNumId="112">
    <w:nsid w:val="4BEE5A5B"/>
    <w:multiLevelType w:val="hybridMultilevel"/>
    <w:lvl w:ilvl="0">
      <w:lvlJc w:val="left"/>
      <w:lvlText w:val="%1"/>
      <w:numFmt w:val="lowerRoman"/>
      <w:start w:val="1"/>
    </w:lvl>
    <w:lvl w:ilvl="1">
      <w:lvlJc w:val="left"/>
      <w:lvlText w:val="(%2)"/>
      <w:numFmt w:val="lowerLetter"/>
      <w:start w:val="12"/>
    </w:lvl>
  </w:abstractNum>
  <w:abstractNum w:abstractNumId="113">
    <w:nsid w:val="5551B9F3"/>
    <w:multiLevelType w:val="hybridMultilevel"/>
    <w:lvl w:ilvl="0">
      <w:lvlJc w:val="left"/>
      <w:lvlText w:val="(%1)"/>
      <w:numFmt w:val="lowerRoman"/>
      <w:start w:val="4"/>
    </w:lvl>
    <w:lvl w:ilvl="1">
      <w:lvlJc w:val="left"/>
      <w:lvlText w:val="%2"/>
      <w:numFmt w:val="lowerLetter"/>
      <w:start w:val="1"/>
    </w:lvl>
  </w:abstractNum>
  <w:abstractNum w:abstractNumId="114">
    <w:nsid w:val="24F6AB8E"/>
    <w:multiLevelType w:val="hybridMultilevel"/>
    <w:lvl w:ilvl="0">
      <w:lvlJc w:val="left"/>
      <w:lvlText w:val="%1"/>
      <w:numFmt w:val="decimal"/>
      <w:start w:val="1"/>
    </w:lvl>
    <w:lvl w:ilvl="1">
      <w:lvlJc w:val="left"/>
      <w:lvlText w:val="(%2)"/>
      <w:numFmt w:val="lowerLetter"/>
      <w:start w:val="14"/>
    </w:lvl>
  </w:abstractNum>
  <w:abstractNum w:abstractNumId="115">
    <w:nsid w:val="634C574C"/>
    <w:multiLevelType w:val="hybridMultilevel"/>
    <w:lvl w:ilvl="0">
      <w:lvlJc w:val="left"/>
      <w:lvlText w:val="%1."/>
      <w:numFmt w:val="decimal"/>
      <w:start w:val="5"/>
    </w:lvl>
    <w:lvl w:ilvl="1">
      <w:lvlJc w:val="left"/>
      <w:lvlText w:val="(%2)"/>
      <w:numFmt w:val="lowerLetter"/>
      <w:start w:val="1"/>
    </w:lvl>
  </w:abstractNum>
  <w:abstractNum w:abstractNumId="116">
    <w:nsid w:val="24E99DD7"/>
    <w:multiLevelType w:val="hybridMultilevel"/>
    <w:lvl w:ilvl="0">
      <w:lvlJc w:val="left"/>
      <w:lvlText w:val="%1"/>
      <w:numFmt w:val="decimal"/>
      <w:start w:val="1"/>
    </w:lvl>
    <w:lvl w:ilvl="1">
      <w:lvlJc w:val="left"/>
      <w:lvlText w:val="(%2)"/>
      <w:numFmt w:val="lowerLetter"/>
      <w:start w:val="3"/>
    </w:lvl>
  </w:abstractNum>
  <w:abstractNum w:abstractNumId="117">
    <w:nsid w:val="2A31B62D"/>
    <w:multiLevelType w:val="hybridMultilevel"/>
    <w:lvl w:ilvl="0">
      <w:lvlJc w:val="left"/>
      <w:lvlText w:val="%1."/>
      <w:numFmt w:val="decimal"/>
      <w:start w:val="6"/>
    </w:lvl>
    <w:lvl w:ilvl="1">
      <w:lvlJc w:val="left"/>
      <w:lvlText w:val="%2"/>
      <w:numFmt w:val="lowerLetter"/>
      <w:start w:val="1"/>
    </w:lvl>
  </w:abstractNum>
  <w:abstractNum w:abstractNumId="118">
    <w:nsid w:val="1849C29B"/>
    <w:multiLevelType w:val="hybridMultilevel"/>
    <w:lvl w:ilvl="0">
      <w:lvlJc w:val="left"/>
      <w:lvlText w:val="%1"/>
      <w:numFmt w:val="decimal"/>
      <w:start w:val="1"/>
    </w:lvl>
    <w:lvl w:ilvl="1">
      <w:lvlJc w:val="left"/>
      <w:lvlText w:val="(%2)"/>
      <w:numFmt w:val="lowerLetter"/>
      <w:start w:val="1"/>
    </w:lvl>
  </w:abstractNum>
  <w:abstractNum w:abstractNumId="119">
    <w:nsid w:val="7DFF9D09"/>
    <w:multiLevelType w:val="hybridMultilevel"/>
    <w:lvl w:ilvl="0">
      <w:lvlJc w:val="left"/>
      <w:lvlText w:val="%1."/>
      <w:numFmt w:val="decimal"/>
      <w:start w:val="7"/>
    </w:lvl>
    <w:lvl w:ilvl="1">
      <w:lvlJc w:val="left"/>
      <w:lvlText w:val="%2"/>
      <w:numFmt w:val="lowerLetter"/>
      <w:start w:val="1"/>
    </w:lvl>
  </w:abstractNum>
  <w:abstractNum w:abstractNumId="120">
    <w:nsid w:val="754342"/>
    <w:multiLevelType w:val="hybridMultilevel"/>
    <w:lvl w:ilvl="0">
      <w:lvlJc w:val="left"/>
      <w:lvlText w:val="(%1)"/>
      <w:numFmt w:val="lowerLetter"/>
      <w:start w:val="1"/>
    </w:lvl>
  </w:abstractNum>
  <w:abstractNum w:abstractNumId="121">
    <w:nsid w:val="69E7F3E5"/>
    <w:multiLevelType w:val="hybridMultilevel"/>
    <w:lvl w:ilvl="0">
      <w:lvlJc w:val="left"/>
      <w:lvlText w:val="(%1)"/>
      <w:numFmt w:val="lowerLetter"/>
      <w:start w:val="2"/>
    </w:lvl>
  </w:abstractNum>
  <w:abstractNum w:abstractNumId="122">
    <w:nsid w:val="2A6DE806"/>
    <w:multiLevelType w:val="hybridMultilevel"/>
    <w:lvl w:ilvl="0">
      <w:lvlJc w:val="left"/>
      <w:lvlText w:val="(%1)"/>
      <w:numFmt w:val="lowerLetter"/>
      <w:start w:val="10"/>
    </w:lvl>
  </w:abstractNum>
  <w:abstractNum w:abstractNumId="123">
    <w:nsid w:val="1816F8C4"/>
    <w:multiLevelType w:val="hybridMultilevel"/>
    <w:lvl w:ilvl="0">
      <w:lvlJc w:val="left"/>
      <w:lvlText w:val="%1."/>
      <w:numFmt w:val="decimal"/>
      <w:start w:val="8"/>
    </w:lvl>
  </w:abstractNum>
  <w:abstractNum w:abstractNumId="124">
    <w:nsid w:val="37DF223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5">
    <w:nsid w:val="7AB49DAF"/>
    <w:multiLevelType w:val="hybridMultilevel"/>
    <w:lvl w:ilvl="0">
      <w:lvlJc w:val="left"/>
      <w:lvlText w:val="%1"/>
      <w:numFmt w:val="lowerLetter"/>
      <w:start w:val="1"/>
    </w:lvl>
    <w:lvl w:ilvl="1">
      <w:lvlJc w:val="left"/>
      <w:lvlText w:val="(%2)"/>
      <w:numFmt w:val="lowerRoman"/>
      <w:start w:val="3"/>
    </w:lvl>
  </w:abstractNum>
  <w:abstractNum w:abstractNumId="126">
    <w:nsid w:val="759F82CD"/>
    <w:multiLevelType w:val="hybridMultilevel"/>
    <w:lvl w:ilvl="0">
      <w:lvlJc w:val="left"/>
      <w:lvlText w:val="(%1)"/>
      <w:numFmt w:val="lowerLetter"/>
      <w:start w:val="3"/>
    </w:lvl>
    <w:lvl w:ilvl="1">
      <w:lvlJc w:val="left"/>
      <w:lvlText w:val="%2"/>
      <w:numFmt w:val="lowerRoman"/>
      <w:start w:val="1"/>
    </w:lvl>
  </w:abstractNum>
  <w:abstractNum w:abstractNumId="127">
    <w:nsid w:val="61E74EA3"/>
    <w:multiLevelType w:val="hybridMultilevel"/>
    <w:lvl w:ilvl="0">
      <w:lvlJc w:val="left"/>
      <w:lvlText w:val="(%1)"/>
      <w:numFmt w:val="lowerLetter"/>
      <w:start w:val="4"/>
    </w:lvl>
  </w:abstractNum>
  <w:abstractNum w:abstractNumId="128">
    <w:nsid w:val="597B4D84"/>
    <w:multiLevelType w:val="hybridMultilevel"/>
    <w:lvl w:ilvl="0">
      <w:lvlJc w:val="left"/>
      <w:lvlText w:val="(%1)"/>
      <w:numFmt w:val="lowerLetter"/>
      <w:start w:val="8"/>
    </w:lvl>
  </w:abstractNum>
  <w:abstractNum w:abstractNumId="129">
    <w:nsid w:val="F819E7F"/>
    <w:multiLevelType w:val="hybridMultilevel"/>
    <w:lvl w:ilvl="0">
      <w:lvlJc w:val="left"/>
      <w:lvlText w:val="(%1)"/>
      <w:numFmt w:val="lowerRoman"/>
      <w:start w:val="1"/>
    </w:lvl>
    <w:lvl w:ilvl="1">
      <w:lvlJc w:val="left"/>
      <w:lvlText w:val="(%2)"/>
      <w:numFmt w:val="lowerRoman"/>
      <w:start w:val="1"/>
    </w:lvl>
  </w:abstractNum>
  <w:abstractNum w:abstractNumId="130">
    <w:nsid w:val="57C7D42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31">
    <w:nsid w:val="312167AD"/>
    <w:multiLevelType w:val="hybridMultilevel"/>
    <w:lvl w:ilvl="0">
      <w:lvlJc w:val="left"/>
      <w:lvlText w:val="(%1)"/>
      <w:numFmt w:val="upperLetter"/>
      <w:start w:val="3"/>
    </w:lvl>
    <w:lvl w:ilvl="1">
      <w:lvlJc w:val="left"/>
      <w:lvlText w:val="(%2)"/>
      <w:numFmt w:val="lowerLetter"/>
      <w:start w:val="9"/>
    </w:lvl>
    <w:lvl w:ilvl="2">
      <w:lvlJc w:val="left"/>
      <w:lvlText w:val="(%3)"/>
      <w:numFmt w:val="lowerRoman"/>
      <w:start w:val="3"/>
    </w:lvl>
  </w:abstractNum>
  <w:abstractNum w:abstractNumId="132">
    <w:nsid w:val="631B64D4"/>
    <w:multiLevelType w:val="hybridMultilevel"/>
    <w:lvl w:ilvl="0">
      <w:lvlJc w:val="left"/>
      <w:lvlText w:val="%1."/>
      <w:numFmt w:val="decimal"/>
      <w:start w:val="1"/>
    </w:lvl>
  </w:abstractNum>
  <w:abstractNum w:abstractNumId="133">
    <w:nsid w:val="78B5E776"/>
    <w:multiLevelType w:val="hybridMultilevel"/>
    <w:lvl w:ilvl="0">
      <w:lvlJc w:val="left"/>
      <w:lvlText w:val="%1."/>
      <w:numFmt w:val="decimal"/>
      <w:start w:val="3"/>
    </w:lvl>
  </w:abstractNum>
  <w:abstractNum w:abstractNumId="134">
    <w:nsid w:val="75486E47"/>
    <w:multiLevelType w:val="hybridMultilevel"/>
    <w:lvl w:ilvl="0">
      <w:lvlJc w:val="left"/>
      <w:lvlText w:val="%1."/>
      <w:numFmt w:val="decimal"/>
      <w:start w:val="7"/>
    </w:lvl>
  </w:abstractNum>
  <w:abstractNum w:abstractNumId="135">
    <w:nsid w:val="6E534CDE"/>
    <w:multiLevelType w:val="hybridMultilevel"/>
    <w:lvl w:ilvl="0">
      <w:lvlJc w:val="left"/>
      <w:lvlText w:val="%1."/>
      <w:numFmt w:val="upperLetter"/>
      <w:start w:val="1"/>
    </w:lvl>
  </w:abstractNum>
  <w:abstractNum w:abstractNumId="136">
    <w:nsid w:val="1A0DDE32"/>
    <w:multiLevelType w:val="hybridMultilevel"/>
    <w:lvl w:ilvl="0">
      <w:lvlJc w:val="left"/>
      <w:lvlText w:val="%1."/>
      <w:numFmt w:val="decimal"/>
      <w:start w:val="1"/>
    </w:lvl>
  </w:abstractNum>
  <w:abstractNum w:abstractNumId="137">
    <w:nsid w:val="65968C1C"/>
    <w:multiLevelType w:val="hybridMultilevel"/>
    <w:lvl w:ilvl="0">
      <w:lvlJc w:val="left"/>
      <w:lvlText w:val="(%1)"/>
      <w:numFmt w:val="lowerLetter"/>
      <w:start w:val="1"/>
    </w:lvl>
  </w:abstractNum>
  <w:abstractNum w:abstractNumId="138">
    <w:nsid w:val="46263DEC"/>
    <w:multiLevelType w:val="hybridMultilevel"/>
    <w:lvl w:ilvl="0">
      <w:lvlJc w:val="left"/>
      <w:lvlText w:val="%1"/>
      <w:numFmt w:val="lowerLetter"/>
      <w:start w:val="1"/>
    </w:lvl>
    <w:lvl w:ilvl="1">
      <w:lvlJc w:val="left"/>
      <w:lvlText w:val="(%2)"/>
      <w:numFmt w:val="lowerLetter"/>
      <w:start w:val="2"/>
    </w:lvl>
  </w:abstractNum>
  <w:abstractNum w:abstractNumId="139">
    <w:nsid w:val="260D8C4A"/>
    <w:multiLevelType w:val="hybridMultilevel"/>
    <w:lvl w:ilvl="0">
      <w:lvlJc w:val="left"/>
      <w:lvlText w:val="(%1)"/>
      <w:numFmt w:val="lowerLetter"/>
      <w:start w:val="35"/>
    </w:lvl>
    <w:lvl w:ilvl="1">
      <w:lvlJc w:val="left"/>
      <w:lvlText w:val="(%2)"/>
      <w:numFmt w:val="lowerLetter"/>
      <w:start w:val="8"/>
    </w:lvl>
  </w:abstractNum>
  <w:abstractNum w:abstractNumId="140">
    <w:nsid w:val="73D4D3C4"/>
    <w:multiLevelType w:val="hybridMultilevel"/>
    <w:lvl w:ilvl="0">
      <w:lvlJc w:val="left"/>
      <w:lvlText w:val="%1"/>
      <w:numFmt w:val="decimal"/>
      <w:start w:val="1"/>
    </w:lvl>
    <w:lvl w:ilvl="1">
      <w:lvlJc w:val="left"/>
      <w:lvlText w:val="(%2)"/>
      <w:numFmt w:val="lowerLetter"/>
      <w:start w:val="9"/>
    </w:lvl>
  </w:abstractNum>
  <w:abstractNum w:abstractNumId="141">
    <w:nsid w:val="746F2E30"/>
    <w:multiLevelType w:val="hybridMultilevel"/>
    <w:lvl w:ilvl="0">
      <w:lvlJc w:val="left"/>
      <w:lvlText w:val="%1."/>
      <w:numFmt w:val="decimal"/>
      <w:start w:val="2"/>
    </w:lvl>
    <w:lvl w:ilvl="1">
      <w:lvlJc w:val="left"/>
      <w:lvlText w:val="(%2)"/>
      <w:numFmt w:val="lowerLetter"/>
      <w:start w:val="1"/>
    </w:lvl>
  </w:abstractNum>
  <w:abstractNum w:abstractNumId="142">
    <w:nsid w:val="6FDE8AF6"/>
    <w:multiLevelType w:val="hybridMultilevel"/>
    <w:lvl w:ilvl="0">
      <w:lvlJc w:val="left"/>
      <w:lvlText w:val="(%1)"/>
      <w:numFmt w:val="lowerLetter"/>
      <w:start w:val="3"/>
    </w:lvl>
  </w:abstractNum>
  <w:abstractNum w:abstractNumId="143">
    <w:nsid w:val="3FC32E20"/>
    <w:multiLevelType w:val="hybridMultilevel"/>
    <w:lvl w:ilvl="0">
      <w:lvlJc w:val="left"/>
      <w:lvlText w:val="%1"/>
      <w:numFmt w:val="decimal"/>
      <w:start w:val="1"/>
    </w:lvl>
    <w:lvl w:ilvl="1">
      <w:lvlJc w:val="left"/>
      <w:lvlText w:val="(%2)"/>
      <w:numFmt w:val="lowerLetter"/>
      <w:start w:val="5"/>
    </w:lvl>
  </w:abstractNum>
  <w:abstractNum w:abstractNumId="144">
    <w:nsid w:val="49C0E823"/>
    <w:multiLevelType w:val="hybridMultilevel"/>
    <w:lvl w:ilvl="0">
      <w:lvlJc w:val="left"/>
      <w:lvlText w:val="%1."/>
      <w:numFmt w:val="decimal"/>
      <w:start w:val="3"/>
    </w:lvl>
    <w:lvl w:ilvl="1">
      <w:lvlJc w:val="left"/>
      <w:lvlText w:val="(%2)"/>
      <w:numFmt w:val="lowerLetter"/>
      <w:start w:val="1"/>
    </w:lvl>
  </w:abstractNum>
  <w:abstractNum w:abstractNumId="145">
    <w:nsid w:val="14D53685"/>
    <w:multiLevelType w:val="hybridMultilevel"/>
    <w:lvl w:ilvl="0">
      <w:lvlJc w:val="left"/>
      <w:lvlText w:val="%1"/>
      <w:numFmt w:val="lowerLetter"/>
      <w:start w:val="1"/>
    </w:lvl>
    <w:lvl w:ilvl="1">
      <w:lvlJc w:val="left"/>
      <w:lvlText w:val="(%2)"/>
      <w:numFmt w:val="lowerLetter"/>
      <w:start w:val="2"/>
    </w:lvl>
  </w:abstractNum>
  <w:abstractNum w:abstractNumId="146">
    <w:nsid w:val="230F856C"/>
    <w:multiLevelType w:val="hybridMultilevel"/>
    <w:lvl w:ilvl="0">
      <w:lvlJc w:val="left"/>
      <w:lvlText w:val="(%1)"/>
      <w:numFmt w:val="lowerLetter"/>
      <w:start w:val="9"/>
    </w:lvl>
    <w:lvl w:ilvl="1">
      <w:lvlJc w:val="left"/>
      <w:lvlText w:val="%2"/>
      <w:numFmt w:val="lowerLetter"/>
      <w:start w:val="1"/>
    </w:lvl>
  </w:abstractNum>
  <w:abstractNum w:abstractNumId="147">
    <w:nsid w:val="6EAA85FB"/>
    <w:multiLevelType w:val="hybridMultilevel"/>
    <w:lvl w:ilvl="0">
      <w:lvlJc w:val="left"/>
      <w:lvlText w:val="(%1)"/>
      <w:numFmt w:val="lowerLetter"/>
      <w:start w:val="5"/>
    </w:lvl>
  </w:abstractNum>
  <w:abstractNum w:abstractNumId="148">
    <w:nsid w:val="3F06ECB2"/>
    <w:multiLevelType w:val="hybridMultilevel"/>
    <w:lvl w:ilvl="0">
      <w:lvlJc w:val="left"/>
      <w:lvlText w:val="%1"/>
      <w:numFmt w:val="decimal"/>
      <w:start w:val="1"/>
    </w:lvl>
    <w:lvl w:ilvl="1">
      <w:lvlJc w:val="left"/>
      <w:lvlText w:val="(%2)"/>
      <w:numFmt w:val="lowerLetter"/>
      <w:start w:val="11"/>
    </w:lvl>
  </w:abstractNum>
  <w:abstractNum w:abstractNumId="149">
    <w:nsid w:val="3B594807"/>
    <w:multiLevelType w:val="hybridMultilevel"/>
    <w:lvl w:ilvl="0">
      <w:lvlJc w:val="left"/>
      <w:lvlText w:val="%1."/>
      <w:numFmt w:val="decimal"/>
      <w:start w:val="4"/>
    </w:lvl>
    <w:lvl w:ilvl="1">
      <w:lvlJc w:val="left"/>
      <w:lvlText w:val="(%2)"/>
      <w:numFmt w:val="lowerLetter"/>
      <w:start w:val="1"/>
    </w:lvl>
  </w:abstractNum>
  <w:abstractNum w:abstractNumId="150">
    <w:nsid w:val="6CAA2304"/>
    <w:multiLevelType w:val="hybridMultilevel"/>
    <w:lvl w:ilvl="0">
      <w:lvlJc w:val="left"/>
      <w:lvlText w:val="%1."/>
      <w:numFmt w:val="decimal"/>
      <w:start w:val="6"/>
    </w:lvl>
  </w:abstractNum>
  <w:abstractNum w:abstractNumId="151">
    <w:nsid w:val="3F7C2FF4"/>
    <w:multiLevelType w:val="hybridMultilevel"/>
    <w:lvl w:ilvl="0">
      <w:lvlJc w:val="left"/>
      <w:lvlText w:val="(%1)"/>
      <w:numFmt w:val="lowerLetter"/>
      <w:start w:val="1"/>
    </w:lvl>
  </w:abstractNum>
  <w:abstractNum w:abstractNumId="152">
    <w:nsid w:val="25413BEC"/>
    <w:multiLevelType w:val="hybridMultilevel"/>
    <w:lvl w:ilvl="0">
      <w:lvlJc w:val="left"/>
      <w:lvlText w:val="(%1)"/>
      <w:numFmt w:val="lowerLetter"/>
      <w:start w:val="2"/>
    </w:lvl>
  </w:abstractNum>
  <w:abstractNum w:abstractNumId="153">
    <w:nsid w:val="17180B0B"/>
    <w:multiLevelType w:val="hybridMultilevel"/>
    <w:lvl w:ilvl="0">
      <w:lvlJc w:val="left"/>
      <w:lvlText w:val="%1"/>
      <w:numFmt w:val="decimal"/>
      <w:start w:val="1"/>
    </w:lvl>
    <w:lvl w:ilvl="1">
      <w:lvlJc w:val="left"/>
      <w:lvlText w:val="(%2)"/>
      <w:numFmt w:val="lowerLetter"/>
      <w:start w:val="4"/>
    </w:lvl>
  </w:abstractNum>
  <w:abstractNum w:abstractNumId="154">
    <w:nsid w:val="579328B9"/>
    <w:multiLevelType w:val="hybridMultilevel"/>
    <w:lvl w:ilvl="0">
      <w:lvlJc w:val="left"/>
      <w:lvlText w:val="%1."/>
      <w:numFmt w:val="decimal"/>
      <w:start w:val="7"/>
    </w:lvl>
    <w:lvl w:ilvl="1">
      <w:lvlJc w:val="left"/>
      <w:lvlText w:val="%2"/>
      <w:numFmt w:val="lowerLetter"/>
      <w:start w:val="1"/>
    </w:lvl>
  </w:abstractNum>
  <w:abstractNum w:abstractNumId="155">
    <w:nsid w:val="5D205E20"/>
    <w:multiLevelType w:val="hybridMultilevel"/>
    <w:lvl w:ilvl="0">
      <w:lvlJc w:val="left"/>
      <w:lvlText w:val="%1."/>
      <w:numFmt w:val="decimal"/>
      <w:start w:val="8"/>
    </w:lvl>
  </w:abstractNum>
  <w:abstractNum w:abstractNumId="156">
    <w:nsid w:val="11CCA8BA"/>
    <w:multiLevelType w:val="hybridMultilevel"/>
    <w:lvl w:ilvl="0">
      <w:lvlJc w:val="left"/>
      <w:lvlText w:val="(%1)"/>
      <w:numFmt w:val="lowerLetter"/>
      <w:start w:val="1"/>
    </w:lvl>
  </w:abstractNum>
  <w:abstractNum w:abstractNumId="157">
    <w:nsid w:val="4D32AB86"/>
    <w:multiLevelType w:val="hybridMultilevel"/>
    <w:lvl w:ilvl="0">
      <w:lvlJc w:val="left"/>
      <w:lvlText w:val="%1."/>
      <w:numFmt w:val="decimal"/>
      <w:start w:val="9"/>
    </w:lvl>
  </w:abstractNum>
  <w:abstractNum w:abstractNumId="158">
    <w:nsid w:val="3F07ACC3"/>
    <w:multiLevelType w:val="hybridMultilevel"/>
    <w:lvl w:ilvl="0">
      <w:lvlJc w:val="left"/>
      <w:lvlText w:val="%1."/>
      <w:numFmt w:val="decimal"/>
      <w:start w:val="10"/>
    </w:lvl>
    <w:lvl w:ilvl="1">
      <w:lvlJc w:val="left"/>
      <w:lvlText w:val="(%2)"/>
      <w:numFmt w:val="lowerLetter"/>
      <w:start w:val="1"/>
    </w:lvl>
  </w:abstractNum>
  <w:abstractNum w:abstractNumId="159">
    <w:nsid w:val="6B47F63E"/>
    <w:multiLevelType w:val="hybridMultilevel"/>
    <w:lvl w:ilvl="0">
      <w:lvlJc w:val="left"/>
      <w:lvlText w:val="(%1)"/>
      <w:numFmt w:val="lowerLetter"/>
      <w:start w:val="5"/>
    </w:lvl>
  </w:abstractNum>
  <w:abstractNum w:abstractNumId="160">
    <w:nsid w:val="5CB44A05"/>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2025-03-26T06:11:10Z</dcterms:created>
  <dcterms:modified xsi:type="dcterms:W3CDTF">2025-03-26T06:11:10Z</dcterms:modified>
</cp:coreProperties>
</file>