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64770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87630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80010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205740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516"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9"/>
        </w:trPr>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INV</w:t>
            </w:r>
          </w:p>
        </w:tc>
        <w:tc>
          <w:tcPr>
            <w:tcW w:w="4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an SEC-registered public offering (the “Offering”) of 11,428,572 shares (the “Shares”) of the common stock, $0.0001 par value per share (the “Common Stock”), of Innventure, Inc. (the “Company”), on January 12, 2026, the Company entered into a Securities Purchase Agreement (the “Purchase Agreement”) with the purchasers party thereto (the “Purchasers”).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and warranties and agreements of the Company and the Purchasers and customary indemnification rights and obligations of the parties. Pursuant to the Purchase Agreement, and subject to certain exceptions, the Company has agreed to certain restrictions on the issuance and sale of the Common Stock or Common Stock Equivalents (as defined in the Purchase Agreement) during the 30-day period following the closing of the Offering. In addition, the Company’s executive officers and directors entered into lock-up agreements in substantially the form included as an exhibit to the Purchase Agreement, providing for a 30-day “lock-up” period with respect to sales of Common Stock and Common Stock Equivalents, subject to certain exceptions.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was made pursuant to the Company’s effective registration statement on Form S-3 (File No. 333-292427) (the “Registration Statement”), which was filed with the Securities and Exchange Commission (the “SEC”) on December 23, 2025 and declared effective by the SEC on January 9, 2026, as supplemented by a prospectus supplement, dated January 12, 2026, filed with the SEC on January 14,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Agency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12, 2026, the Company entered into a placement agency agreement (the “Placement Agency Agreement”) with Titan Partners Group LLC, a division of American Capital Partners, LLC (the “Placement Agent”), as the sole placement agent in connection with the Offering. The Offering was conducted on a reasonable "best efforts" basis and closed on January 14,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agreed to pay the Placement Agent a fee in cash equal to 7.0% of the aggregate proceeds from the sale of the Shares to the Purchasers. The Company also agreed to reimburse the Placement Agent for all reasonable and documented out-of-pocket expenses, including the accountable fees of counsel, not to exceed $100,000. The Placement Agency Agreement contains customary representations, warranties, indemnification and other provisions customary for transactions of this nature. Pursuant to the Purchase Agreement and subject to certain exceptions, the Company has agreed to certain restrictions on the issuance and sale of the Common Stock or Common Stock Equivalents (as defined in the Purchase Agreement) during the 30-day period following the closing of the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Placement Agency Agreement and the Purchase Agreement are qualified in their entirety by reference to the full text of the Placement Agency Agreement and the Purchase Agreement, copies of which are filed as Exhibits 1.01 and 10.1, respectively, to this Current Report on Form 8-K and are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opinion of Jones Day relating to the validity of the Shares is attached as Exhibit 5.1 hereto.</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12, 2026, the Company issued a press release announcing the pricing of the Offering. A copy of the press release is attached hereto as Exhibit 99.1 and is incorporated by reference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14, 2026, the Company issued a press release announcing the closing of the Offering. A copy of the press release is attached hereto as Exhibit 99.2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7" w:lineRule="exact"/>
        <w:rPr>
          <w:sz w:val="20"/>
          <w:szCs w:val="20"/>
          <w:color w:val="auto"/>
        </w:rPr>
      </w:pPr>
    </w:p>
    <w:p>
      <w:pPr>
        <w:ind w:left="160"/>
        <w:spacing w:after="0"/>
        <w:tabs>
          <w:tab w:leader="none" w:pos="5640" w:val="left"/>
        </w:tabs>
        <w:rPr>
          <w:sz w:val="20"/>
          <w:szCs w:val="20"/>
          <w:color w:val="auto"/>
        </w:rPr>
      </w:pPr>
      <w:r>
        <w:rPr>
          <w:rFonts w:ascii="Times New Roman" w:cs="Times New Roman" w:eastAsia="Times New Roman" w:hAnsi="Times New Roman"/>
          <w:sz w:val="18"/>
          <w:szCs w:val="18"/>
          <w:u w:val="single" w:color="auto"/>
          <w:color w:val="auto"/>
        </w:rPr>
        <w:t>Number</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7"/>
          <w:szCs w:val="17"/>
          <w:color w:val="auto"/>
        </w:rPr>
        <w:t>Placement Agency Agreement, dated as of January 12, 2026, by and between Innventure, Inc. and Titan Partners Group LLC</w:t>
      </w:r>
    </w:p>
    <w:p>
      <w:pPr>
        <w:spacing w:after="0" w:line="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Jones Day</w:t>
      </w:r>
    </w:p>
    <w:p>
      <w:pPr>
        <w:spacing w:after="0" w:line="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color w:val="auto"/>
        </w:rPr>
        <w:t>Form of Securities Purchase Agreement, dated as of January 12, 2026, by and among Innventure, Inc. and the purchasers party thereto</w:t>
      </w:r>
    </w:p>
    <w:p>
      <w:pPr>
        <w:spacing w:after="0" w:line="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color w:val="auto"/>
        </w:rPr>
        <w:t>Consent of Jones Day (included in Exhibit 5.1)</w:t>
      </w:r>
    </w:p>
    <w:p>
      <w:pPr>
        <w:spacing w:after="0" w:line="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January 12, 2026</w:t>
      </w:r>
    </w:p>
    <w:p>
      <w:pPr>
        <w:spacing w:after="0" w:line="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color w:val="auto"/>
        </w:rPr>
        <w:t>Press Release, dated January 14, 2026</w:t>
      </w:r>
    </w:p>
    <w:p>
      <w:pPr>
        <w:spacing w:after="0" w:line="9"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17"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Titan Partners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division of American Capital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World Trade Center, 49th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Introductory</w:t>
      </w:r>
      <w:r>
        <w:rPr>
          <w:rFonts w:ascii="Times New Roman" w:cs="Times New Roman" w:eastAsia="Times New Roman" w:hAnsi="Times New Roman"/>
          <w:sz w:val="18"/>
          <w:szCs w:val="18"/>
          <w:color w:val="auto"/>
        </w:rPr>
        <w:t>. This Placement Agency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sets forth the terms upon which Titan Partners Group LLC, a division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 Capital Partners, LLC (“</w:t>
      </w:r>
      <w:r>
        <w:rPr>
          <w:rFonts w:ascii="Times New Roman" w:cs="Times New Roman" w:eastAsia="Times New Roman" w:hAnsi="Times New Roman"/>
          <w:sz w:val="18"/>
          <w:szCs w:val="18"/>
          <w:b w:val="1"/>
          <w:bCs w:val="1"/>
          <w:color w:val="auto"/>
        </w:rPr>
        <w:t>Titan Partners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shall be engaged by Innventure,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act as the exclusive Placement Agent in connection with the registered direct offering (hereinafter referred to as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shares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the Common Stock offered in the Placement, the “</w:t>
      </w:r>
      <w:r>
        <w:rPr>
          <w:rFonts w:ascii="Times New Roman" w:cs="Times New Roman" w:eastAsia="Times New Roman" w:hAnsi="Times New Roman"/>
          <w:sz w:val="18"/>
          <w:szCs w:val="18"/>
          <w:b w:val="1"/>
          <w:bCs w:val="1"/>
          <w:color w:val="auto"/>
        </w:rPr>
        <w:t>Placement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terms of the Placement and the Placement Common Stock shall be mutually agreed upon by the Company and the purchasers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nothing herein constitutes that the Placement Agent would have the power or authority to bind the Company or any Purchaser or an obligation for the Company to issue any Placement Common Stock or complete the Placement. The date of the closing of the Placement shall be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 expressly acknowledges and agrees that the Placement Agent’s obligations hereunder are on a reasonable best efforts basis only and that the execution of this Agreement does not constitute a commitment by the Placement Agent to purchase the Placement Common Stock and does not ensure the successful placement of the Placement Common Stock or any portion thereof or the success of the Placement Agent with respect to securing any other financing on behalf of the Company. Following the prior written consent of the Company, the Placement Agent may retain other brokers or dealers to act as sub-agents or selected-dealers on its behalf in connection with the Placement. The sale of the Placement Common Stock to any Purchaser will be evidenced by the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by and among the Company and such Purchasers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Capitalized terms that are not otherwise defined herein have the meanings given to such terms in the Purchase Agreement. Prior to the signing of any Purchase Agreement, executive officers of the Company will be available upon reasonable notice and during normal business hours to answer inquiries from prospective Purchasers.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AND WARRANTIES OF THE COMPANY; 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With respect to the Placement Common Stock, each of the representations and warranties (together with any related disclosure schedules thereto) and covenants made by the Company to the Purchasers in the Purchase Agreement in connection with the Placement,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there are no affiliations with any FINRA member firm participating in the Placement among the Company’s officers, directors or, to the knowledge of the Company, any five percent (5.0%) or greater stockholder of the Company.</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to continue to retain (i) a firm of independent PCAOB registered public accountants for a period of at least one (1) year after the Closing Date and (ii) a competent transfer agent with respect to the Common Stock for a period of one (1) year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(ii) is registered as a broker/dealer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(iii) is licensed as a broker/dealer under the laws of the United States of America, applicable to the offers and sales of the Placement Common Stock by the Placement Agent, (iv) is and will be a corporate body validly existing under the laws of its place of incorporation, and</w:t>
      </w:r>
    </w:p>
    <w:p>
      <w:pPr>
        <w:spacing w:after="0" w:line="3" w:lineRule="exact"/>
        <w:rPr>
          <w:sz w:val="20"/>
          <w:szCs w:val="20"/>
          <w:color w:val="auto"/>
        </w:rPr>
      </w:pPr>
    </w:p>
    <w:p>
      <w:pPr>
        <w:jc w:val="both"/>
        <w:ind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Cash Compensation</w:t>
      </w:r>
      <w:r>
        <w:rPr>
          <w:rFonts w:ascii="Times New Roman" w:cs="Times New Roman" w:eastAsia="Times New Roman" w:hAnsi="Times New Roman"/>
          <w:sz w:val="18"/>
          <w:szCs w:val="18"/>
          <w:color w:val="auto"/>
        </w:rPr>
        <w:t>. In consideration of the services to be provided for hereunder, the Company shall pay to the Placement Agent or its respective designees a total cash fee equal to seven (7.0%) of the gross proceeds from the Placement of the total amount of Placement Common Stock sold to investors identified by the Placement Agent (collectively,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Reduction of Compensation</w:t>
      </w:r>
      <w:r>
        <w:rPr>
          <w:rFonts w:ascii="Times New Roman" w:cs="Times New Roman" w:eastAsia="Times New Roman" w:hAnsi="Times New Roman"/>
          <w:sz w:val="18"/>
          <w:szCs w:val="18"/>
          <w:color w:val="auto"/>
        </w:rPr>
        <w:t>. 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 EXPENSES</w:t>
      </w:r>
      <w:r>
        <w:rPr>
          <w:rFonts w:ascii="Times New Roman" w:cs="Times New Roman" w:eastAsia="Times New Roman" w:hAnsi="Times New Roman"/>
          <w:sz w:val="18"/>
          <w:szCs w:val="18"/>
          <w:color w:val="auto"/>
        </w:rPr>
        <w:t>. The Company agrees to pay all reasonable and documented costs, fees and expenses incurred in connection with the performance of its obligations hereunder and in connection with the transactions contemplated hereby, including, without limitation: (i) all expenses incident to the issuance, delivery and qualification of the Placement Common Stock (including all printing and engraving costs); (ii) all fees and expenses of the registrar and transfer agent for the Common Stock ; (iii) all necessary issue, transfer and other stamp taxes in connection with the issuance and sale of the Placement Common Stock;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and the Prospectus, and all amendments and supplements thereto, and this Agreement; (vi) all filing fees, reasonable attorneys’ fees and expenses incurred by the Company in connection with qualifying or registering (or obtaining exemptions from the qualification or registration of) all or any part of the Placement Common Stock for offer and sale under the state securities or blue sky laws or the securities laws of any other country; (vii) the fees and expenses associated with including the Placement Common Stock on the Trading Market; (viii) up to $100,000 for the fees and expenses of the Placement Agent, including the fees and expenses of Sullivan &amp; Worcester LLP, counsel to the Placement Agent. The Placement Agent may deduct from the net proceeds of the Offering payable to the Company on the Closing Date, the expenses set forth herein to be paid by the Company to the Placement Agent, to the extent not already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To the extent permitted by law, with respect to the Placement Common Stock, the Company will indemnify the Placement Agent and its affiliates, stockholders, directors, officers, employees, members and controlling persons (within the meaning of Section 15 of the Securities Act or Section 20 of the Exchange Act) against all losses, claims, damages, expenses and liabilities, as the same are incurred (including the reasonable fees and expenses of counsel), relating to or arising out of its activities hereunder or pursuant to this Agreement or the Purchase Agreement, including, without limitation, any failure by the Company to obtain any required consent, except to the extent that any losses, claims, damages, expenses or liabilities (or actions in respect thereof) are found in a final judgment (not subject to appeal) by a court of law to have resulted from a Placement Agent’s willful misconduct, gross negligence, fraud or intentional misrepresentation in performing the services described herein.</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Promptly after receipt by the Placement Agent of notice of any claim or the commencement of any action or proceeding with respect to which the Placement Agent is entitled to indemnity hereunder, the Placement Agent will promptly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the Placement Agent, the Company will assume the defense of such action or proceeding and will employ counsel reasonably satisfactory to the Placement Agent and will pay the fees and expenses of such counsel. Notwithstanding the preceding sentence, the Placement Agent will be entitled to employ its own counsel separate from counsel for the Company and from any other party in such action if counsel for the Placement Agent reasonably determines that it would be inappropriate under the applicable rules of professional responsibility for the same counsel to represent both the Company and the Placement Agent. In such event, the reasonable fees and disbursements of no more than one such separate counsel will be paid by the Company, in addition to fees of local counsel. The Company will have the right to settle the claim or proceeding, provided that the Company will not settle any such claim, action or proceeding without the prior written consent of the Placement Agent, which will not be unreasonably withheld.</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Company agrees to notify the Placement Agent promptly of the assertion against it or any other person of any claim or the commencement of any action or proceeding relating to a transaction contemplated by this Agreement.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If for any reason the foregoing indemnity is unavailable to the Placement Agent or insufficient to hold the Placement Agent harmless,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 under this Agreement (excluding any amounts received as reimbursement of expenses incurred by the Placement Agent). No person guilty of fraudulent misrepresentation (within the meaning of Section 11(f) of the Securities Act) shall be entitled to contribution from any person who was not guilty of such fraudulent misrepresentation.</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will be until the later of (i) January 16, 2026 and (ii) the Closing Date under the Purchase Agreement. 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the Placement Agent may do so prior to the Termination Date. The Company may elect to terminate the engagement hereunder for any reason prior to the Termination Date but will remain responsible for fees pursuant to Section 3 hereof with respect to the Placement Common Stock if sold in the Placement. Notwithstanding anything to the contrary contained herein, the provisions concerning the Company’s obligation to pay any fees actually earned pursuant to Section 3 hereof and the provisions concerning confidentiality, indemnification and contribution contained herein will survive any expiration or termination of this Agreement. If this Agreement is terminated prior to the completion of the Placement, all fees due to the Placement Agent as set forth in Section 3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and the closing of the sale of the Placement Common Stock hereunder are subject to the accuracy, when made and on the Closing Date, of the representations and warranties on the part of the Company contained herein and in the Purchase Agreement, to the performance by the Company of its obligations hereunder, and to each of the following additional terms and conditions, except as otherwise disclosed to and acknowledged and waived by the Placement Agent: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All corporate proceedings and other legal matters incident to the authorization, form, execution, delivery and validity of each of this Agreement, the Placement Common Stock, and all other legal matters relating to this Agreement and the transactions contemplated hereby with respect to the Placement Common Stock shall be reasonably satisfactory in all material respects to the Placement Agent.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Placement Agent shall have received, on the Closing Date, the favorable opinion of Jones Day, counsel to the Company, dated such Closing Date and addressed to the Placement Agent, in form and substance reasonably satisfactory to the Placement Agent.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The Placement Agent shall have received (i) a customary Officers’ Certificate, executed and delivered by the Company’s executive officers, as to the accuracy of the representations and warranties contained in the Purchase Agreement, (ii) a Chief Financial Officer’s Certificate regarding certain financial information included in the Registration Statement and Prospectus and (iii) a Secretary’s Certificate executed and delivered by the Company’s corporate secretary certifying that (A) the Company’s charter documents are true and complete, have not been modified and are in full force and effect; (B) that the resolutions of the Company’s Board of Directors relating to the Placement are in full force and effect and have not been modified; (C) as to the incumbency of the officers of the Company and (D) other customary certifications reasonably satisfactory to the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The Placement Agent shall have received an executed FINRA questionnaire from each of the Company and the Company’s executive officers and directors.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The Placement Agent shall have received, on or before the date of this Agreement, executed copies of the Lock-Up Agreement, the form of which is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from each of the persons listed therein.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Placement Agent shall have received on the Closing Date satisfactory evidence of the good standing of the Company in its jurisdiction of organization and its good standing as a foreign corporation in such other jurisdictions as the Placement Agent may reasonably request, in each case in writing or any standard form of telecommunication from the appropriate governmental authorities of such jurisdictions, dated no more than one (1) business day prior to the Closing Date.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The Placement Common Stock shall be registered under the Exchange Act.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 In addition, the Company shall have submitted a listing of additional shares notification form to the Nasdaq Stock Market LLC with respect to the Placement Shares and shall have received no objection thereto from the Nasdaq Stock Market LLC.</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No action shall have been taken and no statute, rule, regulation or order shall have been enacted, adopted or issued by any governmental agency or body which would, as of the Closing Date, prevent the issuance or sale of the Placement Common Stock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Common Stock or materially and adversely affect or potentially and adversely affect the business or operations of the Company.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The Company shall have entered into a Purchase Agreement with each of the Purchasers of the Placement Common Stock and such agreements shall be in full force and effect and shall contain representations, warranties and covenants of the Company as agreed upon between the Company and the Purchasers.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K.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conditions specified in this Section 9 shall not have been fulfilled when and as required by this Agreement, all obligations of the Placement Agent hereunder may be cancelled by the Placement Agent at, or at any time prior to, any Closing Date. Notice of such cancellation shall be given to the Company in writing or orally. Any such oral notice shall be confirmed promptly thereafter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without regard to principles of conflicts of law.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AGREEMENT/MISCELLANEOUS</w:t>
      </w:r>
      <w:r>
        <w:rPr>
          <w:rFonts w:ascii="Times New Roman" w:cs="Times New Roman" w:eastAsia="Times New Roman" w:hAnsi="Times New Roman"/>
          <w:sz w:val="18"/>
          <w:szCs w:val="18"/>
          <w:color w:val="auto"/>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Date and delivery of the Placement Common Stock.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Without the prior written consent of Placement Agent, from the date hereof until thirty (30) days after the Closing Date, the Company shall not (i) issue, enter into any agreement to issue or announce the issuance or proposed issuance of any Common Stock or common stock equivalents, other than an Exempt Issuance or (ii) file any registration statement or any amendment or supplement thereto, other than (A) the Prospectus Supplement, (B) filing a registration statement on Form S-8 in connection with any employee benefit plan, or (C) filing a registration statement on Form S-3 or a post-effective amendment to Form S-1 on Form S-3 solely for the purpose of registering shares of Common Stock or Common Stock Equivalents currently registered by the Company on Form S-1. For purposes of this Agreement, “Exempt Issuance” means the issuance of (a) shares of Common Stock or options to employees, officers or directors of the Company pursuant to any share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securities exercisable or exchangeable for or convertible into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the securities of the Company issued pursuant to the Purchase Agreement,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14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Agents the enclosed copy of this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TITAN PARTNERS GROUP LLC,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DIVISION OF AMERICAN CAPITAL PARTNERS, LLC</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Adam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28543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Adam Sands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Titan Partners Group LLC, a division of American Capital Partners, LLC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 World Trade Center, 49th Floor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Adam Sands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29317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 32827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David Yablunosky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January 12, 2026, between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and pursuant to an effective registration statement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(as defined below), the Company desires to issue and sell to each Purchaser, and each Purchaser, severally and not jointly, desires to purchase from the Company, securities of the Company as more fully described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IN CONSIDERATIO</w:t>
      </w:r>
      <w:r>
        <w:rPr>
          <w:rFonts w:ascii="Times New Roman" w:cs="Times New Roman" w:eastAsia="Times New Roman" w:hAnsi="Times New Roman"/>
          <w:sz w:val="18"/>
          <w:szCs w:val="18"/>
          <w:color w:val="auto"/>
        </w:rPr>
        <w:t>N of the mutual covenants contained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Company and each Purchaser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2" w:lineRule="exact"/>
        <w:rPr>
          <w:sz w:val="20"/>
          <w:szCs w:val="20"/>
          <w:color w:val="auto"/>
        </w:rPr>
      </w:pPr>
    </w:p>
    <w:p>
      <w:pPr>
        <w:jc w:val="both"/>
        <w:ind w:left="660" w:right="20" w:firstLine="648"/>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Auditors</w:t>
      </w:r>
      <w:r>
        <w:rPr>
          <w:rFonts w:ascii="Times New Roman" w:cs="Times New Roman" w:eastAsia="Times New Roman" w:hAnsi="Times New Roman"/>
          <w:sz w:val="18"/>
          <w:szCs w:val="18"/>
          <w:color w:val="auto"/>
        </w:rPr>
        <w:t>” means, collectively, WithumSmith+Brown, PC with offices at 1411 Broadway,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NY 10018 and BDO USA, P.C. with offices at 200 Park Avenue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10166.</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Jones Day with offices located at 1221 Peachtree Street, N.E., Suite 400, Atlanta, Georgia 30361.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4.10(a)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266065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and officers,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$3.50,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Titan Partners Group LLC, a division of American Capital Partners, LLC.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 Counsel</w:t>
      </w:r>
      <w:r>
        <w:rPr>
          <w:rFonts w:ascii="Times New Roman" w:cs="Times New Roman" w:eastAsia="Times New Roman" w:hAnsi="Times New Roman"/>
          <w:sz w:val="18"/>
          <w:szCs w:val="18"/>
          <w:color w:val="auto"/>
        </w:rPr>
        <w:t>” means Sullivan &amp; Worcester LLP, with offices located at 1251 Avenue of the Americas, 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10020.</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with Commission file No. 333-292427 which registers the sale of the Shares to the Purchasers, and includes any Rule 462(b) Registration Statement.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234950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Shares,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consolidated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OTCQB or the OTCQX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266065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$40,000,003.00 of Shares. Each Purchaser’s Subscription Amount as set forth on the signature page hereto executed by such Purchaser shall be made available for “Delivery Versus Payment” settlement with the Company or its designee.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“Delivery Versus Payment”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anything to the contrary herein and a Purchaser’s Subscription Amount set forth on the signature pages attached hereto, the number of Shares purchased by a Purchaser (and its Affiliates, including any parties aggregated with Purchaser for purposes of Nasdaq Rule 5635) hereunder shall not, when aggregated with all other shares of Common Stock owned by such Purchaser (and its Affiliates, including any parties aggregated with Purchaser for purposes of Nasdaq Rule 5635) at such time, result in such Purchaser beneficially owning (as determined in accordance with Section 13(d) of the Exchange Act) in excess of 9.9% of the then issued and outstanding Common Stock outstanding at the Closing or 9.9% of the outstanding voting power of the Company as of immediately prior to the Closing or any other closing of other purchases of Common Stock by the Purchaser aggregated with this Agreement pursuant to the Nasdaq Rules (together, the “</w:t>
      </w:r>
      <w:r>
        <w:rPr>
          <w:rFonts w:ascii="Times New Roman" w:cs="Times New Roman" w:eastAsia="Times New Roman" w:hAnsi="Times New Roman"/>
          <w:sz w:val="18"/>
          <w:szCs w:val="18"/>
          <w:u w:val="single" w:color="auto"/>
          <w:color w:val="auto"/>
        </w:rPr>
        <w:t>Beneficial Ownership and Voting Maximum</w:t>
      </w:r>
      <w:r>
        <w:rPr>
          <w:rFonts w:ascii="Times New Roman" w:cs="Times New Roman" w:eastAsia="Times New Roman" w:hAnsi="Times New Roman"/>
          <w:sz w:val="18"/>
          <w:szCs w:val="18"/>
          <w:color w:val="auto"/>
        </w:rPr>
        <w:t>”), and such Purchaser’s Subscription Amount, to the extent it would otherwise exceed the Beneficial Ownership and Voting Maximum immediately prior to the Closing, shall be conditioned upon the issuance of Shares at the Closing to the other Purchasers signatory hereto. To the extent that a Purchaser’s beneficial ownership or voting power of the Shares would otherwise be deemed to exceed the Beneficial Ownership and Voting Maximum, such Purchaser’s Subscription Amount shall automatically be reduced as necessary in order to comply with this paragraph.</w:t>
      </w:r>
    </w:p>
    <w:p>
      <w:pPr>
        <w:spacing w:after="0" w:line="20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Deliverables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40" w:hanging="491"/>
        <w:spacing w:after="0"/>
        <w:tabs>
          <w:tab w:leader="none" w:pos="1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w:t>
      </w:r>
    </w:p>
    <w:p>
      <w:pPr>
        <w:spacing w:after="0" w:line="206"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form and substance reasonably satisfactory to the Placement Agent and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1920" w:hanging="628"/>
        <w:spacing w:after="0"/>
        <w:tabs>
          <w:tab w:leader="none" w:pos="1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98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ind w:left="1900" w:hanging="6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duly executed Lock-Up Agreements;</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9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cold comfort letter from each of the Auditors addressed to the Placement Agent, both in a form and substance reasonably satisfactory in all respects to the Placement Agent; and</w:t>
      </w:r>
    </w:p>
    <w:p>
      <w:pPr>
        <w:spacing w:after="0" w:line="161" w:lineRule="exact"/>
        <w:rPr>
          <w:rFonts w:ascii="Times New Roman" w:cs="Times New Roman" w:eastAsia="Times New Roman" w:hAnsi="Times New Roman"/>
          <w:sz w:val="18"/>
          <w:szCs w:val="18"/>
          <w:color w:val="auto"/>
        </w:rPr>
      </w:pPr>
    </w:p>
    <w:p>
      <w:pPr>
        <w:ind w:left="1980" w:hanging="688"/>
        <w:spacing w:after="0"/>
        <w:tabs>
          <w:tab w:leader="none" w:pos="1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as applicable,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1920" w:hanging="628"/>
        <w:spacing w:after="0"/>
        <w:tabs>
          <w:tab w:leader="none" w:pos="1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97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56"/>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01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2007"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920" w:hanging="628"/>
        <w:spacing w:after="0"/>
        <w:tabs>
          <w:tab w:leader="none" w:pos="19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400" w:hanging="702"/>
        <w:spacing w:after="0"/>
        <w:tabs>
          <w:tab w:leader="none" w:pos="14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met:</w:t>
      </w:r>
    </w:p>
    <w:p>
      <w:pPr>
        <w:spacing w:after="0" w:line="206"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06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236855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9" w:name="page20"/>
    <w:bookmarkEnd w:id="19"/>
    <w:p>
      <w:pPr>
        <w:ind w:left="1300" w:firstLine="652"/>
        <w:spacing w:after="0" w:line="282" w:lineRule="auto"/>
        <w:tabs>
          <w:tab w:leader="none" w:pos="25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61" w:lineRule="auto"/>
        <w:tabs>
          <w:tab w:leader="none" w:pos="19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certain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and the Subsidiaries’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left="-460" w:firstLine="644"/>
        <w:spacing w:after="0" w:line="253" w:lineRule="auto"/>
        <w:tabs>
          <w:tab w:leader="none" w:pos="8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7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4.3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1" w:name="page22"/>
    <w:bookmarkEnd w:id="21"/>
    <w:p>
      <w:pPr>
        <w:jc w:val="both"/>
        <w:ind w:left="-460" w:firstLine="644"/>
        <w:spacing w:after="0" w:line="252" w:lineRule="auto"/>
        <w:tabs>
          <w:tab w:leader="none" w:pos="9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Shares;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January 9,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7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set forth on the most recent balance sheet (and the notes thereto) included in the SEC Reports is as set forth therein, and, except as described in the SEC Reports, there has not been any material change in the Company’s capitalization since such date. To the best of the Company’s knowledge, the SEC Reports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pursuant to the conversion and/or exercise of Common Stock Equivalents outstanding as of the date of the most recently filed periodic report under the Exchange Act, pursuant to the Standby Equity Purchase Agreement, dated October 24, 2023, by and between the Company and YA II PN, Ltd. (“Yorkville”), and pursuant to the Securities Purchase Agreements, dated March 25, 2025 and September 15, 2025, by and between the Company and Yorkville. Other than the preemptive rights of WTI Fund X, Inc. and WTI Fund XI, Inc. pursuant to the warrants to purchase shares of Common Stock dated October 22, 2024 and April 14, 2025, no Person has any right of first refusal, preemptive right, right of participation, or any similar right to participate in the transactions contemplated by the Transaction Documents. Except as set forth in the SEC Reports, there are no material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The issuance and sale of the Shares will not obligate the Company or any Subsidiary to issue shares of Common Stock or other securities to any Person (other than the Purchasers). Except as set forth in the SEC Reports, there are no material outstanding securities or instruments of the Company with any provision that adjusts the exercise, conversion, exchange or reset price of such security or instrument upon an issuance of securities by the Company. Except as set forth in the SEC Reports, there are no outstanding securities or instruments of the Company that contain any redemption or similar provisions, and there are no contracts, commitments, understandings or arrangements by which the Company is or may become bound to redeem a security of the Company. Except as set forth in the SEC Reports,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Except as set forth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2" w:name="page23"/>
    <w:bookmarkEnd w:id="22"/>
    <w:p>
      <w:pPr>
        <w:jc w:val="both"/>
        <w:ind w:left="-460" w:firstLine="644"/>
        <w:spacing w:after="0" w:line="252" w:lineRule="auto"/>
        <w:tabs>
          <w:tab w:leader="none" w:pos="8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9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248285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3" w:name="page24"/>
    <w:bookmarkEnd w:id="23"/>
    <w:p>
      <w:pPr>
        <w:jc w:val="both"/>
        <w:ind w:left="-460" w:firstLine="644"/>
        <w:spacing w:after="0" w:line="253" w:lineRule="auto"/>
        <w:tabs>
          <w:tab w:leader="none" w:pos="6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244475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4" w:name="page25"/>
    <w:bookmarkEnd w:id="24"/>
    <w:p>
      <w:pPr>
        <w:jc w:val="both"/>
        <w:ind w:left="-460" w:firstLine="644"/>
        <w:spacing w:after="0" w:line="253" w:lineRule="auto"/>
        <w:tabs>
          <w:tab w:leader="none" w:pos="8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To the Company’s knowledge,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5" w:name="page26"/>
    <w:bookmarkEnd w:id="25"/>
    <w:p>
      <w:pPr>
        <w:jc w:val="both"/>
        <w:ind w:left="-460" w:firstLine="644"/>
        <w:spacing w:after="0" w:line="258" w:lineRule="auto"/>
        <w:tabs>
          <w:tab w:leader="none" w:pos="8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245745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6" w:name="page27"/>
    <w:bookmarkEnd w:id="26"/>
    <w:p>
      <w:pPr>
        <w:jc w:val="both"/>
        <w:ind w:left="-460" w:right="20" w:firstLine="644"/>
        <w:spacing w:after="0" w:line="258" w:lineRule="auto"/>
        <w:tabs>
          <w:tab w:leader="none" w:pos="8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9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19" w:lineRule="exact"/>
        <w:tabs>
          <w:tab w:leader="none" w:pos="8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7" w:name="page28"/>
    <w:bookmarkEnd w:id="27"/>
    <w:p>
      <w:pPr>
        <w:jc w:val="both"/>
        <w:ind w:left="-460" w:firstLine="644"/>
        <w:spacing w:after="0" w:line="253" w:lineRule="auto"/>
        <w:tabs>
          <w:tab w:leader="none" w:pos="9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7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stockholder approval provisions of any Trading Market on which any of the securities of the Company are listed or designated.</w:t>
      </w:r>
    </w:p>
    <w:p>
      <w:pPr>
        <w:spacing w:after="0" w:line="183" w:lineRule="exact"/>
        <w:rPr>
          <w:sz w:val="20"/>
          <w:szCs w:val="20"/>
          <w:color w:val="auto"/>
        </w:rPr>
      </w:pPr>
    </w:p>
    <w:p>
      <w:pPr>
        <w:jc w:val="both"/>
        <w:ind w:left="-460" w:firstLine="644"/>
        <w:spacing w:after="0" w:line="252" w:lineRule="auto"/>
        <w:tabs>
          <w:tab w:leader="none" w:pos="7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material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247015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-969645</wp:posOffset>
            </wp:positionV>
            <wp:extent cx="25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-986790</wp:posOffset>
            </wp:positionV>
            <wp:extent cx="285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8" w:name="page29"/>
    <w:bookmarkEnd w:id="28"/>
    <w:p>
      <w:pPr>
        <w:jc w:val="both"/>
        <w:ind w:left="4" w:firstLine="644"/>
        <w:spacing w:after="0" w:line="255" w:lineRule="auto"/>
        <w:tabs>
          <w:tab w:leader="none" w:pos="13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34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3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current accounting firm is WithumSmith+Brown, PC.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2025.</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3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The Company acknowledges and agrees that, to its knowledge, each of the Purchasers is acting solely in the capacity of an arm’s length purchaser with respect to the Transaction Documents and the transactions contemplated thereby. The Company further acknowledges, to its knowledge,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 Anything in this Agreement or elsewhere herein to the contrary notwithstanding (except for Sections 3.2 (f)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w:t>
      </w:r>
      <w:r>
        <w:rPr>
          <w:rFonts w:ascii="Times New Roman" w:cs="Times New Roman" w:eastAsia="Times New Roman" w:hAnsi="Times New Roman"/>
          <w:sz w:val="18"/>
          <w:szCs w:val="18"/>
          <w:color w:val="auto"/>
        </w:rPr>
        <w:t xml:space="preserve"> Shares for any specified term; (ii) past or future </w:t>
      </w:r>
      <w:r>
        <w:rPr>
          <w:rFonts w:ascii="Times New Roman" w:cs="Times New Roman" w:eastAsia="Times New Roman" w:hAnsi="Times New Roman"/>
          <w:sz w:val="18"/>
          <w:szCs w:val="18"/>
          <w:u w:val="single" w:color="auto"/>
          <w:color w:val="auto"/>
        </w:rPr>
        <w:t>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w:t>
      </w:r>
      <w:r>
        <w:rPr>
          <w:rFonts w:ascii="Times New Roman" w:cs="Times New Roman" w:eastAsia="Times New Roman" w:hAnsi="Times New Roman"/>
          <w:sz w:val="18"/>
          <w:szCs w:val="18"/>
          <w:color w:val="auto"/>
        </w:rPr>
        <w:t xml:space="preserve">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241935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-1249045</wp:posOffset>
            </wp:positionV>
            <wp:extent cx="19627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-1266190</wp:posOffset>
            </wp:positionV>
            <wp:extent cx="1965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5960" cy="8890"/>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9" w:name="page30"/>
    <w:bookmarkEnd w:id="29"/>
    <w:p>
      <w:pPr>
        <w:jc w:val="both"/>
        <w:ind w:left="-460" w:firstLine="644"/>
        <w:spacing w:after="0" w:line="258" w:lineRule="auto"/>
        <w:tabs>
          <w:tab w:leader="none" w:pos="8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Placement Agent in connection with the placement of the Shares.</w:t>
      </w:r>
    </w:p>
    <w:p>
      <w:pPr>
        <w:spacing w:after="0" w:line="183"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has not been notified of, and has no knowledge of any event or condition that would reasonably be expected to result in, any security breach or other compromise to its IT Systems and Data, except as would not, in the case of this clause (i), individually or in the aggregate, reasonably be expected to have a Material Adverse Effect; (ii)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 and (iii) the Company has implemented and maintained commercially reasonable safeguards to maintain and protect its material confidential information and the integrity, continuous operation, redundancy and security of all IT Systems and Data.</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0" w:name="page31"/>
    <w:bookmarkEnd w:id="30"/>
    <w:p>
      <w:pPr>
        <w:jc w:val="both"/>
        <w:ind w:left="660" w:firstLine="644"/>
        <w:spacing w:after="0" w:line="282" w:lineRule="auto"/>
        <w:tabs>
          <w:tab w:leader="none" w:pos="20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9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-313055</wp:posOffset>
            </wp:positionV>
            <wp:extent cx="28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jc w:val="both"/>
        <w:ind w:left="380" w:firstLine="924"/>
        <w:spacing w:after="0" w:line="253" w:lineRule="auto"/>
        <w:tabs>
          <w:tab w:leader="none" w:pos="19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380" w:firstLine="924"/>
        <w:spacing w:after="0" w:line="261" w:lineRule="auto"/>
        <w:tabs>
          <w:tab w:leader="none" w:pos="20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740" w:firstLine="924"/>
        <w:spacing w:after="0" w:line="282" w:lineRule="auto"/>
        <w:tabs>
          <w:tab w:leader="none" w:pos="8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Shares, it was, and as of the date hereof it is an “accredited investor” as defined in Rule 501(a)(1), (a)(2), (a)(3), (a)(7), (a)(8), (a)(9), (a)(12) or (a)(13) under the Securities Act.</w:t>
      </w:r>
    </w:p>
    <w:p>
      <w:pPr>
        <w:spacing w:after="0" w:line="161" w:lineRule="exact"/>
        <w:rPr>
          <w:rFonts w:ascii="Times New Roman" w:cs="Times New Roman" w:eastAsia="Times New Roman" w:hAnsi="Times New Roman"/>
          <w:sz w:val="18"/>
          <w:szCs w:val="18"/>
          <w:color w:val="auto"/>
        </w:rPr>
      </w:pPr>
    </w:p>
    <w:p>
      <w:pPr>
        <w:jc w:val="both"/>
        <w:ind w:left="-740" w:firstLine="924"/>
        <w:spacing w:after="0" w:line="261" w:lineRule="auto"/>
        <w:tabs>
          <w:tab w:leader="none" w:pos="9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740" w:firstLine="924"/>
        <w:spacing w:after="0" w:line="253" w:lineRule="auto"/>
        <w:tabs>
          <w:tab w:leader="none" w:pos="9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of the Placement Agent has made or makes any representation as to the Company or the quality of the Shares and the Placement Agent and any Affiliate of the Placement Agent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740" w:firstLine="924"/>
        <w:spacing w:after="0" w:line="253" w:lineRule="auto"/>
        <w:tabs>
          <w:tab w:leader="none" w:pos="9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or any of its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Stockholder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working capital purposes and shall not use such proceeds: (a) for the satisfaction of any portion of the Company’s debt (other than redemption of the Company’s existing convertible debentures or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4.7, the Company will indemnify and hold each Purchaser and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other Transaction Documents. The indemnification required by this Section 4.7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The Shares shall be issued free of legends.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7" w:lineRule="auto"/>
        <w:tabs>
          <w:tab w:leader="none" w:pos="19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without the prior written consent of the Placement Agent, the Company shall not (i) issue, enter into any agreement to issue or announce the issuance or proposed issuance of any shares of Common Stock or Common Stock Equivalents or (ii) file any registration statement or amendment or supplement thereto, other than (A) the Prospectus Supplement,</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registration statement on Form S-8 in connection with any employee benefit plan, or (C) filing a registration statement on Form S-3 or a post-effective amendment to Form S-1 on Form S-3 solely for the purpose of registering shares of Common Stock or Common Stock Equivalents currently registered by the Company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4.10 shall not apply in respect of an Exempt Issuance.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4.3.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4.7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tabs>
          <w:tab w:leader="none" w:pos="1360" w:val="left"/>
          <w:tab w:leader="none" w:pos="22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(including any electronic signature covered by the U.S. federal ESIGN Act of 2000, Uniform Electronic Transactions Act, the Electronic Signatures and Records Act or other applicable law, e.g., </w:t>
      </w:r>
      <w:r>
        <w:rPr>
          <w:rFonts w:ascii="Times New Roman" w:cs="Times New Roman" w:eastAsia="Times New Roman" w:hAnsi="Times New Roman"/>
          <w:sz w:val="18"/>
          <w:szCs w:val="18"/>
          <w:u w:val="single" w:color="auto"/>
          <w:color w:val="auto"/>
        </w:rPr>
        <w:t>www.docusign.com</w:t>
      </w:r>
      <w:r>
        <w:rPr>
          <w:rFonts w:ascii="Times New Roman" w:cs="Times New Roman" w:eastAsia="Times New Roman" w:hAnsi="Times New Roman"/>
          <w:sz w:val="18"/>
          <w:szCs w:val="18"/>
          <w:color w:val="auto"/>
        </w:rPr>
        <w:t>), such signature shall create a valid and binding obligation of the party executing (or on whose behalf such signature is executed) with the same force and effect as if such “.pdf” signature page were an original thereof.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Shares</w:t>
      </w:r>
      <w:r>
        <w:rPr>
          <w:rFonts w:ascii="Times New Roman" w:cs="Times New Roman" w:eastAsia="Times New Roman" w:hAnsi="Times New Roman"/>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Placement Agent Counsel. Placement Agent Counsel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 xml:space="preserve">5.20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INNVENTURE, INC.</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7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 ***</w:t>
            </w:r>
          </w:p>
        </w:tc>
      </w:tr>
      <w:tr>
        <w:trPr>
          <w:trHeight w:val="198"/>
        </w:trPr>
        <w:tc>
          <w:tcPr>
            <w:tcW w:w="340" w:type="dxa"/>
            <w:vAlign w:val="bottom"/>
          </w:tcPr>
          <w:p>
            <w:pPr>
              <w:spacing w:after="0"/>
              <w:rPr>
                <w:sz w:val="17"/>
                <w:szCs w:val="17"/>
                <w:color w:val="auto"/>
              </w:rPr>
            </w:pPr>
          </w:p>
        </w:tc>
        <w:tc>
          <w:tcPr>
            <w:tcW w:w="64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Gregory W. Haskell</w:t>
            </w:r>
          </w:p>
        </w:tc>
        <w:tc>
          <w:tcPr>
            <w:tcW w:w="1420" w:type="dxa"/>
            <w:vAlign w:val="bottom"/>
          </w:tcPr>
          <w:p>
            <w:pPr>
              <w:spacing w:after="0"/>
              <w:rPr>
                <w:sz w:val="17"/>
                <w:szCs w:val="17"/>
                <w:color w:val="auto"/>
              </w:rPr>
            </w:pPr>
          </w:p>
        </w:tc>
      </w:tr>
      <w:tr>
        <w:trPr>
          <w:trHeight w:val="234"/>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420" w:type="dxa"/>
            <w:vAlign w:val="bottom"/>
          </w:tcPr>
          <w:p>
            <w:pPr>
              <w:spacing w:after="0"/>
              <w:rPr>
                <w:sz w:val="20"/>
                <w:szCs w:val="20"/>
                <w:color w:val="auto"/>
              </w:rPr>
            </w:pPr>
          </w:p>
        </w:tc>
      </w:tr>
      <w:tr>
        <w:trPr>
          <w:trHeight w:val="4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tc>
        <w:tc>
          <w:tcPr>
            <w:tcW w:w="1420" w:type="dxa"/>
            <w:vAlign w:val="bottom"/>
          </w:tcPr>
          <w:p>
            <w:pPr>
              <w:spacing w:after="0"/>
              <w:rPr>
                <w:sz w:val="24"/>
                <w:szCs w:val="24"/>
                <w:color w:val="auto"/>
              </w:rPr>
            </w:pPr>
          </w:p>
        </w:tc>
      </w:tr>
      <w:tr>
        <w:trPr>
          <w:trHeight w:val="41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Innventure, Inc.</w:t>
            </w:r>
          </w:p>
        </w:tc>
        <w:tc>
          <w:tcPr>
            <w:tcW w:w="1420" w:type="dxa"/>
            <w:vAlign w:val="bottom"/>
          </w:tcPr>
          <w:p>
            <w:pPr>
              <w:spacing w:after="0"/>
              <w:rPr>
                <w:sz w:val="24"/>
                <w:szCs w:val="24"/>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6900 Tavistock Lakes Blvd, Suite 400</w:t>
            </w:r>
          </w:p>
        </w:tc>
        <w:tc>
          <w:tcPr>
            <w:tcW w:w="1420" w:type="dxa"/>
            <w:vAlign w:val="bottom"/>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Orlando, FL 32827</w:t>
            </w:r>
          </w:p>
        </w:tc>
        <w:tc>
          <w:tcPr>
            <w:tcW w:w="1420" w:type="dxa"/>
            <w:vAlign w:val="bottom"/>
          </w:tcPr>
          <w:p>
            <w:pPr>
              <w:spacing w:after="0"/>
              <w:rPr>
                <w:sz w:val="18"/>
                <w:szCs w:val="18"/>
                <w:color w:val="auto"/>
              </w:rPr>
            </w:pP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Gregory W. Haskell</w:t>
            </w:r>
          </w:p>
        </w:tc>
        <w:tc>
          <w:tcPr>
            <w:tcW w:w="1420" w:type="dxa"/>
            <w:vAlign w:val="bottom"/>
          </w:tcPr>
          <w:p>
            <w:pPr>
              <w:spacing w:after="0"/>
              <w:rPr>
                <w:sz w:val="20"/>
                <w:szCs w:val="20"/>
                <w:color w:val="auto"/>
              </w:rPr>
            </w:pPr>
          </w:p>
        </w:tc>
      </w:tr>
      <w:tr>
        <w:trPr>
          <w:trHeight w:val="4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w:t>
            </w:r>
          </w:p>
        </w:tc>
        <w:tc>
          <w:tcPr>
            <w:tcW w:w="1420" w:type="dxa"/>
            <w:vAlign w:val="bottom"/>
          </w:tcPr>
          <w:p>
            <w:pPr>
              <w:spacing w:after="0"/>
              <w:rPr>
                <w:sz w:val="24"/>
                <w:szCs w:val="24"/>
                <w:color w:val="auto"/>
              </w:rPr>
            </w:pPr>
          </w:p>
        </w:tc>
      </w:tr>
      <w:tr>
        <w:trPr>
          <w:trHeight w:val="41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Jones Day</w:t>
            </w:r>
          </w:p>
        </w:tc>
        <w:tc>
          <w:tcPr>
            <w:tcW w:w="1420" w:type="dxa"/>
            <w:vAlign w:val="bottom"/>
          </w:tcPr>
          <w:p>
            <w:pPr>
              <w:spacing w:after="0"/>
              <w:rPr>
                <w:sz w:val="24"/>
                <w:szCs w:val="24"/>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1221 Peachtree St NE, Suite 400</w:t>
            </w:r>
          </w:p>
        </w:tc>
        <w:tc>
          <w:tcPr>
            <w:tcW w:w="1420" w:type="dxa"/>
            <w:vAlign w:val="bottom"/>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Atlanta, GA 30361</w:t>
            </w:r>
          </w:p>
        </w:tc>
        <w:tc>
          <w:tcPr>
            <w:tcW w:w="1420" w:type="dxa"/>
            <w:vAlign w:val="bottom"/>
          </w:tcPr>
          <w:p>
            <w:pPr>
              <w:spacing w:after="0"/>
              <w:rPr>
                <w:sz w:val="18"/>
                <w:szCs w:val="18"/>
                <w:color w:val="auto"/>
              </w:rPr>
            </w:pP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Thomas Short</w:t>
            </w:r>
          </w:p>
        </w:tc>
        <w:tc>
          <w:tcPr>
            <w:tcW w:w="142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[PURCHASER SIGNATURE PAGES TO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48520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52035"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5715</wp:posOffset>
            </wp:positionV>
            <wp:extent cx="36347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3474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5715</wp:posOffset>
            </wp:positionV>
            <wp:extent cx="43459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594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5715</wp:posOffset>
            </wp:positionV>
            <wp:extent cx="44234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2341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5715</wp:posOffset>
            </wp:positionV>
            <wp:extent cx="399478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947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143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32143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32143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143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3214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3214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wp:posOffset>
            </wp:positionV>
            <wp:extent cx="17056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10718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127698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3"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2026</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1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Securities Purchase Agreement, dated as of January 12, 2026 (the “Purchase Agreement”), between Innventure, Inc. (the “Company”)</w:t>
            </w:r>
          </w:p>
        </w:tc>
      </w:tr>
      <w:tr>
        <w:trPr>
          <w:trHeight w:val="196"/>
        </w:trPr>
        <w:tc>
          <w:tcPr>
            <w:tcW w:w="440" w:type="dxa"/>
            <w:vAlign w:val="bottom"/>
          </w:tcPr>
          <w:p>
            <w:pPr>
              <w:spacing w:after="0"/>
              <w:rPr>
                <w:sz w:val="17"/>
                <w:szCs w:val="17"/>
                <w:color w:val="auto"/>
              </w:rPr>
            </w:pPr>
          </w:p>
        </w:tc>
        <w:tc>
          <w:tcPr>
            <w:tcW w:w="5220" w:type="dxa"/>
            <w:vAlign w:val="bottom"/>
            <w:gridSpan w:val="3"/>
          </w:tcPr>
          <w:p>
            <w:pPr>
              <w:ind w:left="200"/>
              <w:spacing w:after="0" w:line="196" w:lineRule="exact"/>
              <w:rPr>
                <w:sz w:val="20"/>
                <w:szCs w:val="20"/>
                <w:color w:val="auto"/>
              </w:rPr>
            </w:pPr>
            <w:r>
              <w:rPr>
                <w:rFonts w:ascii="Times New Roman" w:cs="Times New Roman" w:eastAsia="Times New Roman" w:hAnsi="Times New Roman"/>
                <w:sz w:val="18"/>
                <w:szCs w:val="18"/>
                <w:color w:val="auto"/>
              </w:rPr>
              <w:t>and the purchasers signatory thereto (the “Purchasers”).</w:t>
            </w:r>
          </w:p>
        </w:tc>
        <w:tc>
          <w:tcPr>
            <w:tcW w:w="152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Capitalized terms used but not defined in this letter agreement (this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shall have the meanings set forth in the Purchase Agreement. Pursuant to the Purchase Agreement and in satisfaction of a condition of the Company’s obligations under the Purchase Agreement, the undersigned irrevocably agrees with the Company that, from the date hereof until thirty (30) days after the Closing Date (such period, the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respect to, any Common Stock or securities convertible, exchangeable or exercisable into, Common Stock beneficially owned, held or hereafter acquired by the undersigned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or make any demand for or exercise any right or cause to be filed a registration, including any amendments thereto, with respect to the registration of any Common Stock or Common Stock Equivalents or publicly disclose the intention to do any of the foregoing. Beneficial ownership shall be calculated in accordance with Section 13(d) of the Exchange Act. In order to enforce this covenant, the Company shall impose irrevocable stop-transfer instructions preventing the transfer agent of the Company from effecting any actions in violation of this Letter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and subject to the conditions below, the undersigned may transfer the Securities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charitable contribution(s); (ii) 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 (iii) to any corporation, partnership, limited liability company, or other business entity all of the equity holders of which consist of the undersigned and/or the immediate family of the undersigned; (iv) if the undersigned is a corporation, partnership, limited liability company, trust or other business entity (a) to another corporation, partnership, limited liability company, trust or other business entity that is an Affiliate of the undersigned, (b) in the form of a distribution to limited partners, limited liability company members or stockholders of the undersigned, or (c) in connection with a sale, merger or transfer of all or substantially all of the assets of the undersigned or any other change of control of the undersigned, not undertaken for the purpose of avoiding the restrictions imposed by this Letter Agreement; (v) if the undersigned is a trust, to the beneficiary of such trust; or (vi) by will, other testamentary document or intestate succession to the legal representative, heir, beneficiary or a member of the immediate family of the undersigned, provided that, in the case of any transfer pursuant to the foregoing clauses, it shall be a condition to any such transfer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other than a filing on Form 4 made after the expiration of the Restricted Period or, with respect to clause (i) above, any filing under Section 16(a) of the Exchange Act that clearly indicates that the filing relates to the circumstances described in clause (i), and (4) neither the undersigned nor any donee, trustee, distributee or transferee, as the case may be, otherwise voluntarily effects any public filing or report regarding such transfers, with respect to transfer.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notwithstanding the foregoing, this Letter Agreement shall not restrict (i) the delivery of any Common Stock to the undersigned upon the exercise of any securities issued to the undersigned pursuant to any grants, awards or payouts under the Company’s equity and other-incentive based plans; provided that any Common Stock or Securities acquired in connection with any such exercise will be subject to the restrictions set forth in this Letter Agreement; and provided further that the filing of any Form 4, Form 144 or other filing required under the Exchange Act in connection with such exercise shall not be deemed a public announcement for purposes of this Letter Agreement; and provided further that that no prior notice to or consent of the underwriters shall be required in connection with any such exercises or (ii) any sales of Common Stock pursuant to a trading plan that complies with Rule 10b5-1 under the Exchange Act that was adopted by the undersigned prior to the date of this Letter Agreement, so long as such trading plan has not been amended, modified or replaced after such date, and no discretionary action is taken by the undersigned with respect to such sales during the Lock-Up Period; provided that the filing of any Form 4, Form 144 or other filing required under the Exchange Act in connection with such sales shall not be deemed a public announcement for purposes of this Letter Agreement; and provided further that no prior notice to or consent of the underwriters shall be required in connection with any sales pursuant to such trading plan. For the avoidance of doubt, any administrative or ministerial actions taken by the broker administering such trading plan that do not alter the amount, price or timing of sales shall not be deemed an amendment or modification.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undersigned may enter into any new plan established in compliance with Rule 10b5-1 under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acknowledges that the execution, delivery and performance of this Letter Agreement is a material inducement to each Purchaser to complete the transactions contemplated by the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shall be binding on successors and assigns of the undersigned with respect to the Securities and any such successor or assign shall enter into a similar agreement for the benefit of the Purchasers.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understood that, this Letter Agreement shall automatically terminate, and the undersigned shall be released from its obligations hereunder, upon the earliest to occur, if any, of (i) prior to the execution of the Purchase Agreement, the Company advises Titan Partners Group LLC, a division of American Capital Partners, LLC, in writing that it has determined not to proceed with the offering, (ii) the Purchase Agreement is executed but is terminated prior to payment for and delivery of any Securities pursuant to the Purchase Agreement, or (iii) February 1, 2026, in the event that the Purchase Agreement has not been executed by such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is intended for the benefit of the parties hereto and their respective successors and permitted assigns and is not for the benefit of, nor may any provisions hereof be enforced by, any other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SIGNATURE PAGE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two or more counterparts, all of which when taken together may be considered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in Company, if 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900430</wp:posOffset>
            </wp:positionV>
            <wp:extent cx="21431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21431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21431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0693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right="2560" w:hanging="647"/>
        <w:spacing w:after="0" w:line="527" w:lineRule="auto"/>
        <w:rPr>
          <w:sz w:val="20"/>
          <w:szCs w:val="20"/>
          <w:color w:val="auto"/>
        </w:rPr>
      </w:pPr>
      <w:r>
        <w:rPr>
          <w:rFonts w:ascii="Times New Roman" w:cs="Times New Roman" w:eastAsia="Times New Roman" w:hAnsi="Times New Roman"/>
          <w:sz w:val="17"/>
          <w:szCs w:val="17"/>
          <w:color w:val="auto"/>
        </w:rPr>
        <w:t>Number of shares of Common Stock underlying subject to warrants, options, debentures or other convertible securities By signing below, the Company agrees to enforce the restrictions on transfer set forth in this Letter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0745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156845</wp:posOffset>
            </wp:positionV>
            <wp:extent cx="123444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1221 PEACHTREE STREET, N.E. • SUITE 400 • ATLANTA, GEORGIA 30361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+1.404.521.3939 • JONESDAY.COM</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11,428,572 Shares of Common Stock of Innventure,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We are acting as counsel for Innventure,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issuance and sale of 11,428,572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(i) the Securities Purchase Agreement, dated as of January 12, 2026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by and among the Company and the purchasers party thereto or (ii) otherwise to be issued in the manner and for the consideration stated in the Registration Statement and the Prospectus (each as defined below).</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opinions expressed herein, we have examined such documents, records and matters of law as we have deemed relevant or necessary for purposes of such opinions. Based on the foregoing, and subject to the further limitations, qualifications and assumptions set forth herein, we are of the opinion that the Shares, when issued and delivered in the manner and for the consideration stated in the Registration Statement and the Prospectus and, as applicable, pursuant to the terms of the Purchase Agreement against payment of the consideration therefor as provided therein, will be validly issued, fully paid and non-assessable.</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to facts material to the opinions and assumptions expressed herein, we have relied upon oral or written statements and representations of officers and other representatives of the Company and others. The opinions expressed herein are limited to the General Corporation Law of the State of Delaware as currently in effect, and we express no opinion as to the effect of the laws of any other jurisdiction.</w:t>
      </w:r>
    </w:p>
    <w:p>
      <w:pPr>
        <w:spacing w:after="0" w:line="347" w:lineRule="exact"/>
        <w:rPr>
          <w:sz w:val="20"/>
          <w:szCs w:val="20"/>
          <w:color w:val="auto"/>
        </w:rPr>
      </w:pPr>
    </w:p>
    <w:p>
      <w:pPr>
        <w:jc w:val="center"/>
        <w:spacing w:after="0" w:line="229" w:lineRule="auto"/>
        <w:rPr>
          <w:sz w:val="20"/>
          <w:szCs w:val="20"/>
          <w:color w:val="auto"/>
        </w:rPr>
      </w:pPr>
      <w:r>
        <w:rPr>
          <w:rFonts w:ascii="Times New Roman" w:cs="Times New Roman" w:eastAsia="Times New Roman" w:hAnsi="Times New Roman"/>
          <w:sz w:val="14"/>
          <w:szCs w:val="14"/>
          <w:color w:val="auto"/>
        </w:rPr>
        <w:t>AMSTERDAM • ATLANTA • BEIJING • BOSTON • BRISBANE • BRUSSELS • CHICAGO • CLEVELAND • COLUMBUS • DALLAS DETROIT • DUBAI • DÜSSELDORF • FRANKFURT • HONG KONG • HOUSTON • IRVINE • LONDON • LOS ANGELES • MADRID MELBOURNE • MEXICO CITY • MIAMI • MILAN • MINNEAPOLIS • MUNICH • NEW YORK • PARIS • PERTH • PITTSBURGH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SAN DIEGO • SAN FRANCISCO • SÃO PAULO • SHANGHAI • SILICON VALLEY • SINGAPORE • SYDNEY • TAIPEI • TOKYO •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6457315</wp:posOffset>
            </wp:positionH>
            <wp:positionV relativeFrom="page">
              <wp:posOffset>88900</wp:posOffset>
            </wp:positionV>
            <wp:extent cx="88265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882650" cy="128905"/>
                    </a:xfrm>
                    <a:prstGeom prst="rect">
                      <a:avLst/>
                    </a:prstGeom>
                    <a:noFill/>
                  </pic:spPr>
                </pic:pic>
              </a:graphicData>
            </a:graphic>
          </wp:anchor>
        </w:drawing>
        <w:t>Innventure,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Current Report on Form 8-K dated the date hereof filed by the Company and incorporated by reference into the Registration Statement on Form S-3 (Registration No. 333-292427)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by the Company to effect the registration of the Shares under the Securities Act of 1933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to the reference to Jones Day under the caption “Legal Matters” in the prospectus, dated January 9, 2026, constituting a part of such Registration Statement, and the prospectus supplement, dated January 12, 2026 (together,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40" w:right="51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January 12, 2026, between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and pursuant to an effective registration statement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(as defined below), the Company desires to issue and sell to each Purchaser, and each Purchaser, severally and not jointly, desires to purchase from the Company, securities of the Company as more fully described in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 IN CONSIDERATIO</w:t>
      </w:r>
      <w:r>
        <w:rPr>
          <w:rFonts w:ascii="Times New Roman" w:cs="Times New Roman" w:eastAsia="Times New Roman" w:hAnsi="Times New Roman"/>
          <w:sz w:val="18"/>
          <w:szCs w:val="18"/>
          <w:color w:val="auto"/>
        </w:rPr>
        <w:t>N of the mutual covenants contained in this Agreement,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Company and each Purchaser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2" w:lineRule="exact"/>
        <w:rPr>
          <w:sz w:val="20"/>
          <w:szCs w:val="20"/>
          <w:color w:val="auto"/>
        </w:rPr>
      </w:pPr>
    </w:p>
    <w:p>
      <w:pPr>
        <w:jc w:val="both"/>
        <w:ind w:left="660" w:right="20" w:firstLine="648"/>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Auditors</w:t>
      </w:r>
      <w:r>
        <w:rPr>
          <w:rFonts w:ascii="Times New Roman" w:cs="Times New Roman" w:eastAsia="Times New Roman" w:hAnsi="Times New Roman"/>
          <w:sz w:val="18"/>
          <w:szCs w:val="18"/>
          <w:color w:val="auto"/>
        </w:rPr>
        <w:t>” means, collectively, WithumSmith+Brown, PC with offices at 1411 Broadway,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NY 10018 and BDO USA, P.C. with offices at 200 Park Avenue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10166.</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Jones Day with offices located at 1221 Peachtree Street, N.E., Suite 400, Atlanta, Georgia 30361.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4.10(a)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266065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and officers,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$3.50,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Titan Partners Group LLC, a division of American Capital Partners, LLC.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 Counsel</w:t>
      </w:r>
      <w:r>
        <w:rPr>
          <w:rFonts w:ascii="Times New Roman" w:cs="Times New Roman" w:eastAsia="Times New Roman" w:hAnsi="Times New Roman"/>
          <w:sz w:val="18"/>
          <w:szCs w:val="18"/>
          <w:color w:val="auto"/>
        </w:rPr>
        <w:t>” means Sullivan &amp; Worcester LLP, with offices located at 1251 Avenue of the Americas, 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10020.</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with Commission file No. 333-292427 which registers the sale of the Shares to the Purchasers, and includes any Rule 462(b) Registration Statement.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234950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52" w:name="page53"/>
    <w:bookmarkEnd w:id="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means any registration statement prepared by the Company registering additional Shares,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consolidated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OTCQB or the OTCQX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266065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$40,000,003.00 of Shares. Each Purchaser’s Subscription Amount as set forth on the signature page hereto executed by such Purchaser shall be made available for “Delivery Versus Payment” settlement with the Company or its designee.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 settlement of the Shares shall occur via “Delivery Versus Payment”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Notwithstanding anything to the contrary herein and a Purchaser’s Subscription Amount set forth on the signature pages attached hereto, the number of Shares purchased by a Purchaser (and its Affiliates, including any parties aggregated with Purchaser for purposes of Nasdaq Rule 5635) hereunder shall not, when aggregated with all other shares of Common Stock owned by such Purchaser (and its Affiliates, including any parties aggregated with Purchaser for purposes of Nasdaq Rule 5635) at such time, result in such Purchaser beneficially owning (as determined in accordance with Section 13(d) of the Exchange Act) in excess of 9.9% of the then issued and outstanding Common Stock outstanding at the Closing or 9.9% of the outstanding voting power of the Company as of immediately prior to the Closing or any other closing of other purchases of Common Stock by the Purchaser aggregated with this Agreement pursuant to the Nasdaq Rules (together, the “</w:t>
      </w:r>
      <w:r>
        <w:rPr>
          <w:rFonts w:ascii="Times New Roman" w:cs="Times New Roman" w:eastAsia="Times New Roman" w:hAnsi="Times New Roman"/>
          <w:sz w:val="18"/>
          <w:szCs w:val="18"/>
          <w:u w:val="single" w:color="auto"/>
          <w:color w:val="auto"/>
        </w:rPr>
        <w:t>Beneficial Ownership and Voting Maximum</w:t>
      </w:r>
      <w:r>
        <w:rPr>
          <w:rFonts w:ascii="Times New Roman" w:cs="Times New Roman" w:eastAsia="Times New Roman" w:hAnsi="Times New Roman"/>
          <w:sz w:val="18"/>
          <w:szCs w:val="18"/>
          <w:color w:val="auto"/>
        </w:rPr>
        <w:t>”), and such Purchaser’s Subscription Amount, to the extent it would otherwise exceed the Beneficial Ownership and Voting Maximum immediately prior to the Closing, shall be conditioned upon the issuance of Shares at the Closing to the other Purchasers signatory hereto. To the extent that a Purchaser’s beneficial ownership or voting power of the Shares would otherwise be deemed to exceed the Beneficial Ownership and Voting Maximum, such Purchaser’s Subscription Amount shall automatically be reduced as necessary in order to comply with this paragraph.</w:t>
      </w:r>
    </w:p>
    <w:p>
      <w:pPr>
        <w:spacing w:after="0" w:line="20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Deliverables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40" w:hanging="491"/>
        <w:spacing w:after="0"/>
        <w:tabs>
          <w:tab w:leader="none" w:pos="1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indicated below), the Company shall deliver or cause to be delivered to each Purchaser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w:t>
      </w:r>
    </w:p>
    <w:p>
      <w:pPr>
        <w:spacing w:after="0" w:line="206"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2700" w:hanging="748"/>
        <w:spacing w:after="0"/>
        <w:tabs>
          <w:tab w:leader="none" w:pos="2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form and substance reasonably satisfactory to the Placement Agent and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ind w:left="1920" w:hanging="628"/>
        <w:spacing w:after="0"/>
        <w:tabs>
          <w:tab w:leader="none" w:pos="19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98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ind w:left="1900" w:hanging="608"/>
        <w:spacing w:after="0"/>
        <w:tabs>
          <w:tab w:leader="none" w:pos="19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duly executed Lock-Up Agreements;</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99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cold comfort letter from each of the Auditors addressed to the Placement Agent, both in a form and substance reasonably satisfactory in all respects to the Placement Agent; and</w:t>
      </w:r>
    </w:p>
    <w:p>
      <w:pPr>
        <w:spacing w:after="0" w:line="161" w:lineRule="exact"/>
        <w:rPr>
          <w:rFonts w:ascii="Times New Roman" w:cs="Times New Roman" w:eastAsia="Times New Roman" w:hAnsi="Times New Roman"/>
          <w:sz w:val="18"/>
          <w:szCs w:val="18"/>
          <w:color w:val="auto"/>
        </w:rPr>
      </w:pPr>
    </w:p>
    <w:p>
      <w:pPr>
        <w:ind w:left="1980" w:hanging="688"/>
        <w:spacing w:after="0"/>
        <w:tabs>
          <w:tab w:leader="none" w:pos="1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6"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as applicable,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06" w:lineRule="exact"/>
        <w:rPr>
          <w:rFonts w:ascii="Times New Roman" w:cs="Times New Roman" w:eastAsia="Times New Roman" w:hAnsi="Times New Roman"/>
          <w:sz w:val="18"/>
          <w:szCs w:val="18"/>
          <w:color w:val="auto"/>
        </w:rPr>
      </w:pPr>
    </w:p>
    <w:p>
      <w:pPr>
        <w:ind w:left="1920" w:hanging="628"/>
        <w:spacing w:after="0"/>
        <w:tabs>
          <w:tab w:leader="none" w:pos="19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2"/>
        <w:spacing w:after="0" w:line="282" w:lineRule="auto"/>
        <w:tabs>
          <w:tab w:leader="none" w:pos="19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56"/>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01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2007"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920" w:hanging="628"/>
        <w:spacing w:after="0"/>
        <w:tabs>
          <w:tab w:leader="none" w:pos="192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400" w:hanging="702"/>
        <w:spacing w:after="0"/>
        <w:tabs>
          <w:tab w:leader="none" w:pos="14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met:</w:t>
      </w:r>
    </w:p>
    <w:p>
      <w:pPr>
        <w:spacing w:after="0" w:line="206"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068"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236855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55" w:name="page56"/>
    <w:bookmarkEnd w:id="55"/>
    <w:p>
      <w:pPr>
        <w:ind w:left="1300" w:firstLine="652"/>
        <w:spacing w:after="0" w:line="282" w:lineRule="auto"/>
        <w:tabs>
          <w:tab w:leader="none" w:pos="258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61" w:lineRule="auto"/>
        <w:tabs>
          <w:tab w:leader="none" w:pos="19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certain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and the Subsidiaries’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left="-460" w:firstLine="644"/>
        <w:spacing w:after="0" w:line="253" w:lineRule="auto"/>
        <w:tabs>
          <w:tab w:leader="none" w:pos="8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7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4.3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7" w:name="page58"/>
    <w:bookmarkEnd w:id="57"/>
    <w:p>
      <w:pPr>
        <w:jc w:val="both"/>
        <w:ind w:left="-460" w:firstLine="644"/>
        <w:spacing w:after="0" w:line="252" w:lineRule="auto"/>
        <w:tabs>
          <w:tab w:leader="none" w:pos="9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Shares;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January 9,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7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set forth on the most recent balance sheet (and the notes thereto) included in the SEC Reports is as set forth therein, and, except as described in the SEC Reports, there has not been any material change in the Company’s capitalization since such date. To the best of the Company’s knowledge, the SEC Reports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pursuant to the conversion and/or exercise of Common Stock Equivalents outstanding as of the date of the most recently filed periodic report under the Exchange Act, pursuant to the Standby Equity Purchase Agreement, dated October 24, 2023, by and between the Company and YA II PN, Ltd. (“Yorkville”), and pursuant to the Securities Purchase Agreements, dated March 25, 2025 and September 15, 2025, by and between the Company and Yorkville. Other than the preemptive rights of WTI Fund X, Inc. and WTI Fund XI, Inc. pursuant to the warrants to purchase shares of Common Stock dated October 22, 2024 and April 14, 2025, no Person has any right of first refusal, preemptive right, right of participation, or any similar right to participate in the transactions contemplated by the Transaction Documents. Except as set forth in the SEC Reports, there are no material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The issuance and sale of the Shares will not obligate the Company or any Subsidiary to issue shares of Common Stock or other securities to any Person (other than the Purchasers). Except as set forth in the SEC Reports, there are no material outstanding securities or instruments of the Company with any provision that adjusts the exercise, conversion, exchange or reset price of such security or instrument upon an issuance of securities by the Company. Except as set forth in the SEC Reports, there are no outstanding securities or instruments of the Company that contain any redemption or similar provisions, and there are no contracts, commitments, understandings or arrangements by which the Company is or may become bound to redeem a security of the Company. Except as set forth in the SEC Reports,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Except as set forth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8" w:name="page59"/>
    <w:bookmarkEnd w:id="58"/>
    <w:p>
      <w:pPr>
        <w:jc w:val="both"/>
        <w:ind w:left="-460" w:firstLine="644"/>
        <w:spacing w:after="0" w:line="252" w:lineRule="auto"/>
        <w:tabs>
          <w:tab w:leader="none" w:pos="8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Shares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248285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59" w:name="page60"/>
    <w:bookmarkEnd w:id="59"/>
    <w:p>
      <w:pPr>
        <w:jc w:val="both"/>
        <w:ind w:left="-460" w:firstLine="644"/>
        <w:spacing w:after="0" w:line="253" w:lineRule="auto"/>
        <w:tabs>
          <w:tab w:leader="none" w:pos="6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244475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0" w:name="page61"/>
    <w:bookmarkEnd w:id="60"/>
    <w:p>
      <w:pPr>
        <w:jc w:val="both"/>
        <w:ind w:left="-460" w:firstLine="644"/>
        <w:spacing w:after="0" w:line="253" w:lineRule="auto"/>
        <w:tabs>
          <w:tab w:leader="none" w:pos="8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To the Company’s knowledge,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To the Company’s knowledge,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1" w:name="page62"/>
    <w:bookmarkEnd w:id="61"/>
    <w:p>
      <w:pPr>
        <w:jc w:val="both"/>
        <w:ind w:left="-460" w:firstLine="644"/>
        <w:spacing w:after="0" w:line="258" w:lineRule="auto"/>
        <w:tabs>
          <w:tab w:leader="none" w:pos="8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245745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2" w:name="page63"/>
    <w:bookmarkEnd w:id="62"/>
    <w:p>
      <w:pPr>
        <w:jc w:val="both"/>
        <w:ind w:left="-460" w:right="20" w:firstLine="644"/>
        <w:spacing w:after="0" w:line="258" w:lineRule="auto"/>
        <w:tabs>
          <w:tab w:leader="none" w:pos="8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0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9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19" w:lineRule="exact"/>
        <w:tabs>
          <w:tab w:leader="none" w:pos="8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252095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3" w:name="page64"/>
    <w:bookmarkEnd w:id="63"/>
    <w:p>
      <w:pPr>
        <w:jc w:val="both"/>
        <w:ind w:left="-460" w:firstLine="644"/>
        <w:spacing w:after="0" w:line="253" w:lineRule="auto"/>
        <w:tabs>
          <w:tab w:leader="none" w:pos="9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7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stockholder approval provisions of any Trading Market on which any of the securities of the Company are listed or designated.</w:t>
      </w:r>
    </w:p>
    <w:p>
      <w:pPr>
        <w:spacing w:after="0" w:line="183" w:lineRule="exact"/>
        <w:rPr>
          <w:sz w:val="20"/>
          <w:szCs w:val="20"/>
          <w:color w:val="auto"/>
        </w:rPr>
      </w:pPr>
    </w:p>
    <w:p>
      <w:pPr>
        <w:jc w:val="both"/>
        <w:ind w:left="-460" w:firstLine="644"/>
        <w:spacing w:after="0" w:line="252" w:lineRule="auto"/>
        <w:tabs>
          <w:tab w:leader="none" w:pos="7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and (ii)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material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247015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-969645</wp:posOffset>
            </wp:positionV>
            <wp:extent cx="254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-986790</wp:posOffset>
            </wp:positionV>
            <wp:extent cx="285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4" w:name="page65"/>
    <w:bookmarkEnd w:id="64"/>
    <w:p>
      <w:pPr>
        <w:jc w:val="both"/>
        <w:ind w:left="4" w:firstLine="644"/>
        <w:spacing w:after="0" w:line="255" w:lineRule="auto"/>
        <w:tabs>
          <w:tab w:leader="none" w:pos="134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3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39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current accounting firm is WithumSmith+Brown, PC.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2025.</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3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Shares</w:t>
      </w:r>
      <w:r>
        <w:rPr>
          <w:rFonts w:ascii="Times New Roman" w:cs="Times New Roman" w:eastAsia="Times New Roman" w:hAnsi="Times New Roman"/>
          <w:sz w:val="18"/>
          <w:szCs w:val="18"/>
          <w:color w:val="auto"/>
        </w:rPr>
        <w:t>. The Company acknowledges and agrees that, to its knowledge, each of the Purchasers is acting solely in the capacity of an arm’s length purchaser with respect to the Transaction Documents and the transactions contemplated thereby. The Company further acknowledges, to its knowledge,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5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 Anything in this Agreement or elsewhere herein to the contrary notwithstanding (except for Sections 3.2 (f)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w:t>
      </w:r>
      <w:r>
        <w:rPr>
          <w:rFonts w:ascii="Times New Roman" w:cs="Times New Roman" w:eastAsia="Times New Roman" w:hAnsi="Times New Roman"/>
          <w:sz w:val="18"/>
          <w:szCs w:val="18"/>
          <w:color w:val="auto"/>
        </w:rPr>
        <w:t xml:space="preserve"> Shares for any specified term; (ii) past or future </w:t>
      </w:r>
      <w:r>
        <w:rPr>
          <w:rFonts w:ascii="Times New Roman" w:cs="Times New Roman" w:eastAsia="Times New Roman" w:hAnsi="Times New Roman"/>
          <w:sz w:val="18"/>
          <w:szCs w:val="18"/>
          <w:u w:val="single" w:color="auto"/>
          <w:color w:val="auto"/>
        </w:rPr>
        <w:t>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w:t>
      </w:r>
      <w:r>
        <w:rPr>
          <w:rFonts w:ascii="Times New Roman" w:cs="Times New Roman" w:eastAsia="Times New Roman" w:hAnsi="Times New Roman"/>
          <w:sz w:val="18"/>
          <w:szCs w:val="18"/>
          <w:color w:val="auto"/>
        </w:rPr>
        <w:t xml:space="preserve">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241935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-1249045</wp:posOffset>
            </wp:positionV>
            <wp:extent cx="19627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6278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-1266190</wp:posOffset>
            </wp:positionV>
            <wp:extent cx="19659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5960" cy="8890"/>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65" w:name="page66"/>
    <w:bookmarkEnd w:id="65"/>
    <w:p>
      <w:pPr>
        <w:jc w:val="both"/>
        <w:ind w:left="-460" w:firstLine="644"/>
        <w:spacing w:after="0" w:line="258" w:lineRule="auto"/>
        <w:tabs>
          <w:tab w:leader="none" w:pos="8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Placement Agent in connection with the placement of the Shares.</w:t>
      </w:r>
    </w:p>
    <w:p>
      <w:pPr>
        <w:spacing w:after="0" w:line="183"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has not been notified of, and has no knowledge of any event or condition that would reasonably be expected to result in, any security breach or other compromise to its IT Systems and Data, except as would not, in the case of this clause (i), individually or in the aggregate, reasonably be expected to have a Material Adverse Effect; (ii)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 and (iii) the Company has implemented and maintained commercially reasonable safeguards to maintain and protect its material confidential information and the integrity, continuous operation, redundancy and security of all IT Systems and Data.</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6" w:name="page67"/>
    <w:bookmarkEnd w:id="66"/>
    <w:p>
      <w:pPr>
        <w:jc w:val="both"/>
        <w:ind w:left="660" w:firstLine="644"/>
        <w:spacing w:after="0" w:line="282" w:lineRule="auto"/>
        <w:tabs>
          <w:tab w:leader="none" w:pos="203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-313055</wp:posOffset>
            </wp:positionV>
            <wp:extent cx="285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jc w:val="both"/>
        <w:ind w:left="380" w:firstLine="924"/>
        <w:spacing w:after="0" w:line="253" w:lineRule="auto"/>
        <w:tabs>
          <w:tab w:leader="none" w:pos="192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left="380" w:firstLine="924"/>
        <w:spacing w:after="0" w:line="261" w:lineRule="auto"/>
        <w:tabs>
          <w:tab w:leader="none" w:pos="201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740" w:firstLine="924"/>
        <w:spacing w:after="0" w:line="282" w:lineRule="auto"/>
        <w:tabs>
          <w:tab w:leader="none" w:pos="8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Shares, it was, and as of the date hereof it is an “accredited investor” as defined in Rule 501(a)(1), (a)(2), (a)(3), (a)(7), (a)(8), (a)(9), (a)(12) or (a)(13) under the Securities Act.</w:t>
      </w:r>
    </w:p>
    <w:p>
      <w:pPr>
        <w:spacing w:after="0" w:line="161" w:lineRule="exact"/>
        <w:rPr>
          <w:rFonts w:ascii="Times New Roman" w:cs="Times New Roman" w:eastAsia="Times New Roman" w:hAnsi="Times New Roman"/>
          <w:sz w:val="18"/>
          <w:szCs w:val="18"/>
          <w:color w:val="auto"/>
        </w:rPr>
      </w:pPr>
    </w:p>
    <w:p>
      <w:pPr>
        <w:jc w:val="both"/>
        <w:ind w:left="-740" w:firstLine="924"/>
        <w:spacing w:after="0" w:line="261" w:lineRule="auto"/>
        <w:tabs>
          <w:tab w:leader="none" w:pos="9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left="-740" w:firstLine="924"/>
        <w:spacing w:after="0" w:line="253" w:lineRule="auto"/>
        <w:tabs>
          <w:tab w:leader="none" w:pos="9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of the Placement Agent has made or makes any representation as to the Company or the quality of the Shares and the Placement Agent and any Affiliate of the Placement Agent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left="-740" w:firstLine="924"/>
        <w:spacing w:after="0" w:line="253" w:lineRule="auto"/>
        <w:tabs>
          <w:tab w:leader="none" w:pos="9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241935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or any of its officers, directors, employees, Affiliates or agents, including, without limitation, the Placement Agent,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Stockholder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working capital purposes and shall not use such proceeds: (a) for the satisfaction of any portion of the Company’s debt (other than redemption of the Company’s existing convertible debentures or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4.7, the Company will indemnify and hold each Purchaser and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other Transaction Documents. The indemnification required by this Section 4.7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The Shares shall be issued free of legends.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firstLine="644"/>
        <w:spacing w:after="0" w:line="257" w:lineRule="auto"/>
        <w:tabs>
          <w:tab w:leader="none" w:pos="19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without the prior written consent of the Placement Agent, the Company shall not (i) issue, enter into any agreement to issue or announce the issuance or proposed issuance of any shares of Common Stock or Common Stock Equivalents or (ii) file any registration statement or amendment or supplement thereto, other than (A) the Prospectus Supplement,</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4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registration statement on Form S-8 in connection with any employee benefit plan, or (C) filing a registration statement on Form S-3 or a post-effective amendment to Form S-1 on Form S-3 solely for the purpose of registering shares of Common Stock or Common Stock Equivalents currently registered by the Company on 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4.10 shall not apply in respect of an Exempt Issuance.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4.3.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4.7 and this Section 5.8.</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tabs>
          <w:tab w:leader="none" w:pos="1360" w:val="left"/>
          <w:tab w:leader="none" w:pos="22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(including any electronic signature covered by the U.S. federal ESIGN Act of 2000, Uniform Electronic Transactions Act, the Electronic Signatures and Records Act or other applicable law, e.g., </w:t>
      </w:r>
      <w:r>
        <w:rPr>
          <w:rFonts w:ascii="Times New Roman" w:cs="Times New Roman" w:eastAsia="Times New Roman" w:hAnsi="Times New Roman"/>
          <w:sz w:val="18"/>
          <w:szCs w:val="18"/>
          <w:u w:val="single" w:color="auto"/>
          <w:color w:val="auto"/>
        </w:rPr>
        <w:t>www.docusign.com</w:t>
      </w:r>
      <w:r>
        <w:rPr>
          <w:rFonts w:ascii="Times New Roman" w:cs="Times New Roman" w:eastAsia="Times New Roman" w:hAnsi="Times New Roman"/>
          <w:sz w:val="18"/>
          <w:szCs w:val="18"/>
          <w:color w:val="auto"/>
        </w:rPr>
        <w:t>), such signature shall create a valid and binding obligation of the party executing (or on whose behalf such signature is executed) with the same force and effect as if such “.pdf” signature page were an original thereof.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Shares</w:t>
      </w:r>
      <w:r>
        <w:rPr>
          <w:rFonts w:ascii="Times New Roman" w:cs="Times New Roman" w:eastAsia="Times New Roman" w:hAnsi="Times New Roman"/>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Placement Agent Counsel. Placement Agent Counsel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 xml:space="preserve">5.20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INNVENTURE, INC.</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7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 ***</w:t>
            </w:r>
          </w:p>
        </w:tc>
      </w:tr>
      <w:tr>
        <w:trPr>
          <w:trHeight w:val="198"/>
        </w:trPr>
        <w:tc>
          <w:tcPr>
            <w:tcW w:w="340" w:type="dxa"/>
            <w:vAlign w:val="bottom"/>
          </w:tcPr>
          <w:p>
            <w:pPr>
              <w:spacing w:after="0"/>
              <w:rPr>
                <w:sz w:val="17"/>
                <w:szCs w:val="17"/>
                <w:color w:val="auto"/>
              </w:rPr>
            </w:pPr>
          </w:p>
        </w:tc>
        <w:tc>
          <w:tcPr>
            <w:tcW w:w="64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Gregory W. Haskell</w:t>
            </w:r>
          </w:p>
        </w:tc>
        <w:tc>
          <w:tcPr>
            <w:tcW w:w="1420" w:type="dxa"/>
            <w:vAlign w:val="bottom"/>
          </w:tcPr>
          <w:p>
            <w:pPr>
              <w:spacing w:after="0"/>
              <w:rPr>
                <w:sz w:val="17"/>
                <w:szCs w:val="17"/>
                <w:color w:val="auto"/>
              </w:rPr>
            </w:pPr>
          </w:p>
        </w:tc>
      </w:tr>
      <w:tr>
        <w:trPr>
          <w:trHeight w:val="234"/>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420" w:type="dxa"/>
            <w:vAlign w:val="bottom"/>
          </w:tcPr>
          <w:p>
            <w:pPr>
              <w:spacing w:after="0"/>
              <w:rPr>
                <w:sz w:val="20"/>
                <w:szCs w:val="20"/>
                <w:color w:val="auto"/>
              </w:rPr>
            </w:pPr>
          </w:p>
        </w:tc>
      </w:tr>
      <w:tr>
        <w:trPr>
          <w:trHeight w:val="4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tc>
        <w:tc>
          <w:tcPr>
            <w:tcW w:w="1420" w:type="dxa"/>
            <w:vAlign w:val="bottom"/>
          </w:tcPr>
          <w:p>
            <w:pPr>
              <w:spacing w:after="0"/>
              <w:rPr>
                <w:sz w:val="24"/>
                <w:szCs w:val="24"/>
                <w:color w:val="auto"/>
              </w:rPr>
            </w:pPr>
          </w:p>
        </w:tc>
      </w:tr>
      <w:tr>
        <w:trPr>
          <w:trHeight w:val="41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Innventure, Inc.</w:t>
            </w:r>
          </w:p>
        </w:tc>
        <w:tc>
          <w:tcPr>
            <w:tcW w:w="1420" w:type="dxa"/>
            <w:vAlign w:val="bottom"/>
          </w:tcPr>
          <w:p>
            <w:pPr>
              <w:spacing w:after="0"/>
              <w:rPr>
                <w:sz w:val="24"/>
                <w:szCs w:val="24"/>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6900 Tavistock Lakes Blvd, Suite 400</w:t>
            </w:r>
          </w:p>
        </w:tc>
        <w:tc>
          <w:tcPr>
            <w:tcW w:w="1420" w:type="dxa"/>
            <w:vAlign w:val="bottom"/>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Orlando, FL 32827</w:t>
            </w:r>
          </w:p>
        </w:tc>
        <w:tc>
          <w:tcPr>
            <w:tcW w:w="1420" w:type="dxa"/>
            <w:vAlign w:val="bottom"/>
          </w:tcPr>
          <w:p>
            <w:pPr>
              <w:spacing w:after="0"/>
              <w:rPr>
                <w:sz w:val="18"/>
                <w:szCs w:val="18"/>
                <w:color w:val="auto"/>
              </w:rPr>
            </w:pP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Gregory W. Haskell</w:t>
            </w:r>
          </w:p>
        </w:tc>
        <w:tc>
          <w:tcPr>
            <w:tcW w:w="1420" w:type="dxa"/>
            <w:vAlign w:val="bottom"/>
          </w:tcPr>
          <w:p>
            <w:pPr>
              <w:spacing w:after="0"/>
              <w:rPr>
                <w:sz w:val="20"/>
                <w:szCs w:val="20"/>
                <w:color w:val="auto"/>
              </w:rPr>
            </w:pPr>
          </w:p>
        </w:tc>
      </w:tr>
      <w:tr>
        <w:trPr>
          <w:trHeight w:val="4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w:t>
            </w:r>
          </w:p>
        </w:tc>
        <w:tc>
          <w:tcPr>
            <w:tcW w:w="1420" w:type="dxa"/>
            <w:vAlign w:val="bottom"/>
          </w:tcPr>
          <w:p>
            <w:pPr>
              <w:spacing w:after="0"/>
              <w:rPr>
                <w:sz w:val="24"/>
                <w:szCs w:val="24"/>
                <w:color w:val="auto"/>
              </w:rPr>
            </w:pPr>
          </w:p>
        </w:tc>
      </w:tr>
      <w:tr>
        <w:trPr>
          <w:trHeight w:val="41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Jones Day</w:t>
            </w:r>
          </w:p>
        </w:tc>
        <w:tc>
          <w:tcPr>
            <w:tcW w:w="1420" w:type="dxa"/>
            <w:vAlign w:val="bottom"/>
          </w:tcPr>
          <w:p>
            <w:pPr>
              <w:spacing w:after="0"/>
              <w:rPr>
                <w:sz w:val="24"/>
                <w:szCs w:val="24"/>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1221 Peachtree St NE, Suite 400</w:t>
            </w:r>
          </w:p>
        </w:tc>
        <w:tc>
          <w:tcPr>
            <w:tcW w:w="1420" w:type="dxa"/>
            <w:vAlign w:val="bottom"/>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Atlanta, GA 30361</w:t>
            </w:r>
          </w:p>
        </w:tc>
        <w:tc>
          <w:tcPr>
            <w:tcW w:w="1420" w:type="dxa"/>
            <w:vAlign w:val="bottom"/>
          </w:tcPr>
          <w:p>
            <w:pPr>
              <w:spacing w:after="0"/>
              <w:rPr>
                <w:sz w:val="18"/>
                <w:szCs w:val="18"/>
                <w:color w:val="auto"/>
              </w:rPr>
            </w:pP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Thomas Short</w:t>
            </w:r>
          </w:p>
        </w:tc>
        <w:tc>
          <w:tcPr>
            <w:tcW w:w="142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[PURCHASER SIGNATURE PAGES TO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48520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52035"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5715</wp:posOffset>
            </wp:positionV>
            <wp:extent cx="363474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3474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5715</wp:posOffset>
            </wp:positionV>
            <wp:extent cx="434594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4594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5715</wp:posOffset>
            </wp:positionV>
            <wp:extent cx="442341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2341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5715</wp:posOffset>
            </wp:positionV>
            <wp:extent cx="399478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94785"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143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32143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32143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143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32143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32143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wp:posOffset>
            </wp:positionV>
            <wp:extent cx="170561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10718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127698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3"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2026</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1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Securities Purchase Agreement, dated as of January 12, 2026 (the “Purchase Agreement”), between Innventure, Inc. (the “Company”)</w:t>
            </w:r>
          </w:p>
        </w:tc>
      </w:tr>
      <w:tr>
        <w:trPr>
          <w:trHeight w:val="196"/>
        </w:trPr>
        <w:tc>
          <w:tcPr>
            <w:tcW w:w="440" w:type="dxa"/>
            <w:vAlign w:val="bottom"/>
          </w:tcPr>
          <w:p>
            <w:pPr>
              <w:spacing w:after="0"/>
              <w:rPr>
                <w:sz w:val="17"/>
                <w:szCs w:val="17"/>
                <w:color w:val="auto"/>
              </w:rPr>
            </w:pPr>
          </w:p>
        </w:tc>
        <w:tc>
          <w:tcPr>
            <w:tcW w:w="5220" w:type="dxa"/>
            <w:vAlign w:val="bottom"/>
            <w:gridSpan w:val="3"/>
          </w:tcPr>
          <w:p>
            <w:pPr>
              <w:ind w:left="200"/>
              <w:spacing w:after="0" w:line="196" w:lineRule="exact"/>
              <w:rPr>
                <w:sz w:val="20"/>
                <w:szCs w:val="20"/>
                <w:color w:val="auto"/>
              </w:rPr>
            </w:pPr>
            <w:r>
              <w:rPr>
                <w:rFonts w:ascii="Times New Roman" w:cs="Times New Roman" w:eastAsia="Times New Roman" w:hAnsi="Times New Roman"/>
                <w:sz w:val="18"/>
                <w:szCs w:val="18"/>
                <w:color w:val="auto"/>
              </w:rPr>
              <w:t>and the purchasers signatory thereto (the “Purchasers”).</w:t>
            </w:r>
          </w:p>
        </w:tc>
        <w:tc>
          <w:tcPr>
            <w:tcW w:w="1520" w:type="dxa"/>
            <w:vAlign w:val="bottom"/>
            <w:tcBorders>
              <w:top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Capitalized terms used but not defined in this letter agreement (this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shall have the meanings set forth in the Purchase Agreement. Pursuant to the Purchase Agreement and in satisfaction of a condition of the Company’s obligations under the Purchase Agreement, the undersigned irrevocably agrees with the Company that, from the date hereof until thirty (30) days after the Closing Date (such period, the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respect to, any Common Stock or securities convertible, exchangeable or exercisable into, Common Stock beneficially owned, held or hereafter acquired by the undersigned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or make any demand for or exercise any right or cause to be filed a registration, including any amendments thereto, with respect to the registration of any Common Stock or Common Stock Equivalents or publicly disclose the intention to do any of the foregoing. Beneficial ownership shall be calculated in accordance with Section 13(d) of the Exchange Act. In order to enforce this covenant, the Company shall impose irrevocable stop-transfer instructions preventing the transfer agent of the Company from effecting any actions in violation of this Letter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and subject to the conditions below, the undersigned may transfer the Securities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charitable contribution(s); (ii) 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 (iii) to any corporation, partnership, limited liability company, or other business entity all of the equity holders of which consist of the undersigned and/or the immediate family of the undersigned; (iv) if the undersigned is a corporation, partnership, limited liability company, trust or other business entity (a) to another corporation, partnership, limited liability company, trust or other business entity that is an Affiliate of the undersigned, (b) in the form of a distribution to limited partners, limited liability company members or stockholders of the undersigned, or (c) in connection with a sale, merger or transfer of all or substantially all of the assets of the undersigned or any other change of control of the undersigned, not undertaken for the purpose of avoiding the restrictions imposed by this Letter Agreement; (v) if the undersigned is a trust, to the beneficiary of such trust; or (vi) by will, other testamentary document or intestate succession to the legal representative, heir, beneficiary or a member of the immediate family of the undersigned, provided that, in the case of any transfer pursuant to the foregoing clauses, it shall be a condition to any such transfer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other than a filing on Form 4 made after the expiration of the Restricted Period or, with respect to clause (i) above, any filing under Section 16(a) of the Exchange Act that clearly indicates that the filing relates to the circumstances described in clause (i), and (4) neither the undersigned nor any donee, trustee, distributee or transferee, as the case may be, otherwise voluntarily effects any public filing or report regarding such transfers, with respect to transfer.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notwithstanding the foregoing, this Letter Agreement shall not restrict (i) the delivery of any Common Stock to the undersigned upon the exercise of any securities issued to the undersigned pursuant to any grants, awards or payouts under the Company’s equity and other-incentive based plans; provided that any Common Stock or Securities acquired in connection with any such exercise will be subject to the restrictions set forth in this Letter Agreement; and provided further that the filing of any Form 4, Form 144 or other filing required under the Exchange Act in connection with such exercise shall not be deemed a public announcement for purposes of this Letter Agreement; and provided further that that no prior notice to or consent of the underwriters shall be required in connection with any such exercises or (ii) any sales of Common Stock pursuant to a trading plan that complies with Rule 10b5-1 under the Exchange Act that was adopted by the undersigned prior to the date of this Letter Agreement, so long as such trading plan has not been amended, modified or replaced after such date, and no discretionary action is taken by the undersigned with respect to such sales during the Lock-Up Period; provided that the filing of any Form 4, Form 144 or other filing required under the Exchange Act in connection with such sales shall not be deemed a public announcement for purposes of this Letter Agreement; and provided further that no prior notice to or consent of the underwriters shall be required in connection with any sales pursuant to such trading plan. For the avoidance of doubt, any administrative or ministerial actions taken by the broker administering such trading plan that do not alter the amount, price or timing of sales shall not be deemed an amendment or modification.</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undersigned may enter into any new plan established in compliance with Rule 10b5-1 under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acknowledges that the execution, delivery and performance of this Letter Agreement is a material inducement to each Purchaser to complete the transactions contemplated by the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any Purchaser and that no Purchaser is entitled to cast any votes on the matters herein contemplated and that no issuance or sale of the Securities is created or intended by virtue of this Letter Agreement.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shall be binding on successors and assigns of the undersigned with respect to the Securities and any such successor or assign shall enter into a similar agreement for the benefit of the Purchasers.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understood that, this Letter Agreement shall automatically terminate, and the undersigned shall be released from its obligations hereunder, upon the earliest to occur, if any, of (i) prior to the execution of the Purchase Agreement, the Company advises Titan Partners Group LLC, a division of American Capital Partners, LLC, in writing that it has determined not to proceed with the offering, (ii) the Purchase Agreement is executed but is terminated prior to payment for and delivery of any Securities pursuant to the Purchase Agreement, or (iii) February 1, 2026, in the event that the Purchase Agreement has not been executed by such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is intended for the benefit of the parties hereto and their respective successors and permitted assigns and is not for the benefit of, nor may any provisions hereof be enforced by, any other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SIGNATURE PAGE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two or more counterparts, all of which when taken together may be considered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in Company, if 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900430</wp:posOffset>
            </wp:positionV>
            <wp:extent cx="21431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21431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431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21431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06933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right="2560" w:hanging="647"/>
        <w:spacing w:after="0" w:line="527" w:lineRule="auto"/>
        <w:rPr>
          <w:sz w:val="20"/>
          <w:szCs w:val="20"/>
          <w:color w:val="auto"/>
        </w:rPr>
      </w:pPr>
      <w:r>
        <w:rPr>
          <w:rFonts w:ascii="Times New Roman" w:cs="Times New Roman" w:eastAsia="Times New Roman" w:hAnsi="Times New Roman"/>
          <w:sz w:val="17"/>
          <w:szCs w:val="17"/>
          <w:color w:val="auto"/>
        </w:rPr>
        <w:t>Number of shares of Common Stock underlying subject to warrants, options, debentures or other convertible securities By signing below, the Company agrees to enforce the restrictions on transfer set forth in this Letter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20745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Announces Pricing of $40 Million Registered Direct Offering of Common Stock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the proceeds from the offering, Innventure expects to fully repay all outstanding convertible debentures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ORLANDO, Fla., Jan. 12, 2026 (GLOBAL NEWSWIRE) -- Innventure, Inc. (NASDAQ: INV) (“Innventure” or the “Company”), an industrial growth conglomerate, today announced it has entered into securities purchase agreements with four institutional investors for the purchase and sale of 11,428,572 shares of common stock for gross proceeds of approximately $40 million, before deducting placement agent fees and offering expenses. The offering is expected to close on or about January 14, 2026, subject to the satisfaction of customary closing conditions.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use the net proceeds from this offering to all repay outstanding obligations under the convertible debentures, subject to the terms of the securities purchase agreement, dated September 15, 2025, and for working capital and general corporate purposes, which may include the repayment of certain other outstanding indebtedness and the ability of the Company to exercise its right to receive equity in Accelsius in lieu of cash for Accelsius’ repayment of approximately $8 million principal amount of intercompany convertible debt and interest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Titan Partners is acting as sole placement agent for the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is being made pursuant to an effective shelf registration statement on Form S-3 (File No. 333-292427), previously filed with the Securities and Exchange Commission (the “SEC”) on December 23, 2025 and subsequently declared effective by the SEC on January 9, 2026. The final terms of the Offering will be disclosed in a prospectus supplement to be filed with the SEC, which will be available for free on the SEC’s website at www.sec.gov.</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Innventure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capital-intensive scale-up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may include, but are not limited to, statements regarding the Offering, including the type of securities that may be issued in the Offering, the size, pricing or other terms of the Offering and the plan of distribution for the Offering; the estimated expenses of the Offering; the intended use of the net proceeds of the Offering; and the expected timing and closing of the Offering.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 and the following: (a) the Company’s ability to consummate the Offering; (b) the Company’s ability to use the net proceeds of the Offering in a manner that will increase the value of shareholders’ investment; (c)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the Company’s and its subsidiaries’ ability to invest in growth initiatives; (d) the implementation, market acceptance and success of the Company’s and its subsidiaries’ business models and growth strategies; (e) the Company’s and its subsidiaries’ future capital requirements and sources and uses of cash; (f) the Company’s ability to maintain control over its subsidiaries, (g) the Company’s access to funds under the Standby Equity Purchase Agreement with YA II PN, Ltd. due to certain conditions, restrictions and limitations set forth therein and in other agreements with YA II PN, Ltd.; (h) certain restrictions and limitations set forth in the Company’s debt instruments, which may impair the Company’s financial and operating flexibility; (i) the Company’s and its subsidiaries’ ability to generate liquidity and maintain sufficient capital to operate as anticipated; (j) the Company’s and its subsidiaries’ ability to obtain funding for their operations and future growth and to continue as going concerns; (k) the risk that the technology solutions that the Company and its subsidiaries license or acquire from third parties or develop internally may not function as anticipated or provide the benefits anticipated;</w:t>
      </w:r>
    </w:p>
    <w:p>
      <w:pPr>
        <w:spacing w:after="0" w:line="10" w:lineRule="exact"/>
        <w:rPr>
          <w:sz w:val="20"/>
          <w:szCs w:val="20"/>
          <w:color w:val="auto"/>
        </w:rPr>
      </w:pPr>
    </w:p>
    <w:p>
      <w:pPr>
        <w:jc w:val="both"/>
        <w:ind w:firstLine="8"/>
        <w:spacing w:after="0" w:line="251" w:lineRule="auto"/>
        <w:tabs>
          <w:tab w:leader="none" w:pos="24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the Company’s and its subsidiaries’ competitors and industry; (m) the ability of the Company and its subsidiaries to scale the operations of their respective businesses; (n) the ability of the Company and its subsidiaries to establish substantial commercial sales of their products; (o) the ability of the Company and its subsidiaries to compete against companies with greater capital and other resources or superior technology or products; (p) the Company and its subsidiaries’ ability to meet, and to continue to meet, applicable regulatory requirements for the use of their respective products and the numerous regulatory requirements generally applicable to their businesses; (q) the outcome of any legal proceedings against the Company or its subsidiaries; (r)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(s) the risk that the launch of new companies distracts the Company’s management from its and its other subsidiaries’ operations; (t) the risk that the Company may be deemed an investment company under the Investment Company Act, which would impose burdensome compliance requirements and restrictions on its activities; (u) the ability of the Company and its subsidiaries to sufficiently protect their intellectual property rights and to avoid or resolve in a timely and cost-effective manner any disputes that may arise relating to its use of the intellectual property of third parties; (v) the risk of a cyber-attack or a failure of the Company’s or its subsidiaries’ information technology and data security infrastructure; (w) geopolitical risk and changes in applicable laws or regulations; (x) potential adverse effects of other economic, business, and/or competitive factors; (y) operational risks related to the Company and its subsidiaries that have limited or no operating history; and (z) limited liquidity and trading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statements to reflect events or circumstances after the date of this press release or to reflect the occurrence of unanticipated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color w:val="auto"/>
        </w:rPr>
        <w:t>Laurie Steinberg, Solebury Strategic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press@innventure.com</w:t>
      </w:r>
    </w:p>
    <w:p>
      <w:pPr>
        <w:spacing w:after="0" w:line="203" w:lineRule="exact"/>
        <w:rPr>
          <w:sz w:val="20"/>
          <w:szCs w:val="20"/>
          <w:color w:val="auto"/>
        </w:rPr>
      </w:pPr>
    </w:p>
    <w:p>
      <w:pPr>
        <w:ind w:right="5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Sloan Bohlen, Solebury Strategic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investorrelations@innventure.com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Announces Closing of $40 Million Registered Direct Offering of Common Stock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the proceeds from the offering, Innventure expects to fully repay all outstanding convertible debentures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ORLANDO, Fla., Jan. 14, 2026 (GLOBAL NEWSWIRE) -- Innventure, Inc. (NASDAQ: INV) (“Innventure” or the “Company”), an industrial growth conglomerate, today announced that it has closed its previously announced registered direct offering of common stock to four institutional investors via a securities purchase agreement. The offering resulted in gross proceeds of approximately $40 million, before deducting offering expenses.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use the net proceeds from the offering to redeem its outstanding convertible debentures and for working capital and general corporate purposes, which may include the ability of the Company to exercise its right to receive equity in Accelsius in lieu of cash for Accelsius’ repayment of approximately $8 million of intercompany convertible debt and associated interest. If exercised, this debt would convert into the same series of securities purchased by strategic investors in the recently announced Accelsius $65 million sale of Series B-1 Units, which was completed based on a post-money valuation of approximately $665 million.</w:t>
      </w:r>
    </w:p>
    <w:p>
      <w:pPr>
        <w:spacing w:after="0" w:line="143"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“This offering strengthens much more than our balance sheet, it further accelerates Innventure’s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strategy. Our model is built to unlock value from breakthrough technologies, and this capital allows us to advance that mission with even greater conviction. We now have enhanced flexibility to increase our ownership in Accelsius, a business that is rapidly scaling in the 2-phase, direct-to-chip cooling market with an expected sales opportunity pipeline exceeding $1 billion and significant strategic engagement across the industry,” said Bill Haskell, Chief Executive Officer of Innventure. “We are well positioned for growth and remain focused on driving durable shareholder value as we move through the quarters and years ahead.”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Titan Partners acted as sole placement agent for the offering. Northland Capital Markets has served as a Capital Markets Advisor to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offering was made pursuant to an effective shelf registration statement on Form S-3 (File No. 333-292427), previously filed with the Securities and Exchange Commission (the “SEC”) on December 23, 2025 and subsequently declared effective by the SEC on January 9, 2026. The final terms of the offering were disclosed in a prospectus supplement filed with the SEC, which are available for free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About Innventure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Innventure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capital-intensive scale-up expertise.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may include, but are not limited to, statements regarding the Offering, including the type of securities that may be issued in the Offering, the size, pricing or other terms of the Offering and the plan of distribution for the Offering; the estimated expenses of the Offering; the intended use of the net proceeds of the Offering; and the expected timing and closing of the Offering.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 and the following: (a) the Company’s ability to use the net proceeds of the Offering in a manner that will increase the value of shareholders’ investment; (b)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(c) the Company’s and its subsidiaries’ ability to invest in growth initiatives; (d) the implementation, market acceptance and success of the Company’s and its subsidiaries’ business models and growth strategies; (e) the Company’s and its subsidiaries’ future capital requirements and sources and uses of cash; (f) the Company’s ability to maintain control over its subsidiaries, (g) the Company’s access to funds under a Standby Equity Purchase Agreement due to certain conditions, restrictions and limitations set forth therein and in other agreements; (h) certain restrictions and limitations set forth in the Company’s debt instruments, which may impair the Company’s financial and operating flexibility; (i) the Company’s and its subsidiaries’ ability to generate liquidity and maintain sufficient capital to operate as anticipated; (j) the Company’s and its subsidiaries’ ability to obtain funding for their operations and future growth and to continue as going concerns; (k) the risk that the technology solutions that the Company and its subsidiaries license or acquire from third parties or develop internally may not function as anticipated or provide the benefits anticipated; (l) developments and projections relating to the Company’s and its subsidiaries’ competitors and industry; (m) the ability of the Company and its subsidiaries to scale the operations of their respective businesses; (n) the ability of the Company and its subsidiaries to establish substantial commercial sales of their products; (o) the ability of the Company and its subsidiaries to compete against companies with greater capital and other resources or superior technology or products; (p) the Company and its subsidiaries’ ability to meet, and to continue to meet, applicable regulatory requirements for the use of their respective products and the numerous regulatory requirements generally applicable to their businesses; (q) the outcome of any legal proceedings against the Company or its subsidiaries; (r)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(s) the risk that the launch of new companies distracts the Company’s management from its and its other subsidiaries’ operations; (t) the risk that the Company may be deemed an investment company under the Investment Company Act, which would impose burdensome compliance requirements and restrictions on its activities; (u) the ability of the Company and its subsidiaries to sufficiently protect their intellectual property rights and to avoid or resolve in a timely and cost-effective manner any disputes that may arise relating to its use of the intellectual property of third parties; (v) the risk of a cyber-attack or a failure of the Company’s or its subsidiaries’ information technology and data security infrastructure; (w) geopolitical risk and changes in applicable laws or regulations; (x) potential adverse effects of other economic, business, and/or competitive factors; (y) operational risks related to the Company and its subsidiaries that have limited or no operating history; and (z) limited liquidity and trading of the Company’s securities.</w:t>
      </w: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ind w:right="20"/>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statements to reflect events or circumstances after the date of this press release or to reflect the occurrence of unanticipated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color w:val="auto"/>
        </w:rPr>
        <w:t>Laurie Steinberg, Solebury Strategic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press@innventure.com</w:t>
      </w:r>
    </w:p>
    <w:p>
      <w:pPr>
        <w:spacing w:after="0" w:line="203" w:lineRule="exact"/>
        <w:rPr>
          <w:sz w:val="20"/>
          <w:szCs w:val="20"/>
          <w:color w:val="auto"/>
        </w:rPr>
      </w:pPr>
    </w:p>
    <w:p>
      <w:pPr>
        <w:ind w:right="5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Investor Relations Contact: </w:t>
      </w:r>
      <w:r>
        <w:rPr>
          <w:rFonts w:ascii="Times New Roman" w:cs="Times New Roman" w:eastAsia="Times New Roman" w:hAnsi="Times New Roman"/>
          <w:sz w:val="18"/>
          <w:szCs w:val="18"/>
          <w:color w:val="auto"/>
        </w:rPr>
        <w:t>Sloan Bohlen, Solebury Strategic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investorrelations@innventure.com</w:t>
      </w: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lowerRoman"/>
      <w:start w:val="5"/>
    </w:lvl>
  </w:abstractNum>
  <w:abstractNum w:abstractNumId="2">
    <w:nsid w:val="2CA88611"/>
    <w:multiLevelType w:val="hybridMultilevel"/>
    <w:lvl w:ilvl="0">
      <w:lvlJc w:val="left"/>
      <w:lvlText w:val="(%1)"/>
      <w:numFmt w:val="lowerLetter"/>
      <w:start w:val="1"/>
    </w:lvl>
    <w:lvl w:ilvl="1">
      <w:lvlJc w:val="left"/>
      <w:lvlText w:val="(%2)"/>
      <w:numFmt w:val="lowerRoman"/>
      <w:start w:val="1"/>
    </w:lvl>
  </w:abstractNum>
  <w:abstractNum w:abstractNumId="3">
    <w:nsid w:val="836C40E"/>
    <w:multiLevelType w:val="hybridMultilevel"/>
    <w:lvl w:ilvl="0">
      <w:lvlJc w:val="left"/>
      <w:lvlText w:val="%1"/>
      <w:numFmt w:val="lowerLetter"/>
      <w:start w:val="1"/>
    </w:lvl>
    <w:lvl w:ilvl="1">
      <w:lvlJc w:val="left"/>
      <w:lvlText w:val="(%2)"/>
      <w:numFmt w:val="lowerRoman"/>
      <w:start w:val="3"/>
    </w:lvl>
  </w:abstractNum>
  <w:abstractNum w:abstractNumId="4">
    <w:nsid w:val="2901D82"/>
    <w:multiLevelType w:val="hybridMultilevel"/>
    <w:lvl w:ilvl="0">
      <w:lvlJc w:val="left"/>
      <w:lvlText w:val="(%1)"/>
      <w:numFmt w:val="lowerLetter"/>
      <w:start w:val="2"/>
    </w:lvl>
    <w:lvl w:ilvl="1">
      <w:lvlJc w:val="left"/>
      <w:lvlText w:val="(%2)"/>
      <w:numFmt w:val="lowerRoman"/>
      <w:start w:val="1"/>
    </w:lvl>
  </w:abstractNum>
  <w:abstractNum w:abstractNumId="5">
    <w:nsid w:val="3A95F87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
    <w:nsid w:val="8138641"/>
    <w:multiLevelType w:val="hybridMultilevel"/>
    <w:lvl w:ilvl="0">
      <w:lvlJc w:val="left"/>
      <w:lvlText w:val="(%1)"/>
      <w:numFmt w:val="lowerRoman"/>
      <w:start w:val="2"/>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3"/>
    </w:lvl>
  </w:abstractNum>
  <w:abstractNum w:abstractNumId="9">
    <w:nsid w:val="737B8DDC"/>
    <w:multiLevelType w:val="hybridMultilevel"/>
    <w:lvl w:ilvl="0">
      <w:lvlJc w:val="left"/>
      <w:lvlText w:val="(%1)"/>
      <w:numFmt w:val="lowerLetter"/>
      <w:start w:val="6"/>
    </w:lvl>
  </w:abstractNum>
  <w:abstractNum w:abstractNumId="10">
    <w:nsid w:val="6CEAF087"/>
    <w:multiLevelType w:val="hybridMultilevel"/>
    <w:lvl w:ilvl="0">
      <w:lvlJc w:val="left"/>
      <w:lvlText w:val="(%1)"/>
      <w:numFmt w:val="lowerLetter"/>
      <w:start w:val="8"/>
    </w:lvl>
  </w:abstractNum>
  <w:abstractNum w:abstractNumId="11">
    <w:nsid w:val="22221A70"/>
    <w:multiLevelType w:val="hybridMultilevel"/>
    <w:lvl w:ilvl="0">
      <w:lvlJc w:val="left"/>
      <w:lvlText w:val="(%1)"/>
      <w:numFmt w:val="lowerLetter"/>
      <w:start w:val="10"/>
    </w:lvl>
  </w:abstractNum>
  <w:abstractNum w:abstractNumId="12">
    <w:nsid w:val="4516DDE9"/>
    <w:multiLevelType w:val="hybridMultilevel"/>
    <w:lvl w:ilvl="0">
      <w:lvlJc w:val="left"/>
      <w:lvlText w:val="(%1)"/>
      <w:numFmt w:val="lowerLetter"/>
      <w:start w:val="13"/>
    </w:lvl>
  </w:abstractNum>
  <w:abstractNum w:abstractNumId="13">
    <w:nsid w:val="3006C83E"/>
    <w:multiLevelType w:val="hybridMultilevel"/>
    <w:lvl w:ilvl="0">
      <w:lvlJc w:val="left"/>
      <w:lvlText w:val="(%1)"/>
      <w:numFmt w:val="lowerLetter"/>
      <w:start w:val="17"/>
    </w:lvl>
  </w:abstractNum>
  <w:abstractNum w:abstractNumId="14">
    <w:nsid w:val="614FD4A1"/>
    <w:multiLevelType w:val="hybridMultilevel"/>
    <w:lvl w:ilvl="0">
      <w:lvlJc w:val="left"/>
      <w:lvlText w:val="(%1)"/>
      <w:numFmt w:val="lowerLetter"/>
      <w:start w:val="20"/>
    </w:lvl>
  </w:abstractNum>
  <w:abstractNum w:abstractNumId="15">
    <w:nsid w:val="419AC241"/>
    <w:multiLevelType w:val="hybridMultilevel"/>
    <w:lvl w:ilvl="0">
      <w:lvlJc w:val="left"/>
      <w:lvlText w:val="(%1)"/>
      <w:numFmt w:val="lowerLetter"/>
      <w:start w:val="25"/>
    </w:lvl>
  </w:abstractNum>
  <w:abstractNum w:abstractNumId="16">
    <w:nsid w:val="5577F8E1"/>
    <w:multiLevelType w:val="hybridMultilevel"/>
    <w:lvl w:ilvl="0">
      <w:lvlJc w:val="left"/>
      <w:lvlText w:val="(%1)"/>
      <w:numFmt w:val="lowerLetter"/>
      <w:start w:val="27"/>
    </w:lvl>
  </w:abstractNum>
  <w:abstractNum w:abstractNumId="17">
    <w:nsid w:val="440BADFC"/>
    <w:multiLevelType w:val="hybridMultilevel"/>
    <w:lvl w:ilvl="0">
      <w:lvlJc w:val="left"/>
      <w:lvlText w:val="%1"/>
      <w:numFmt w:val="lowerLetter"/>
      <w:start w:val="1"/>
    </w:lvl>
    <w:lvl w:ilvl="1">
      <w:lvlJc w:val="left"/>
      <w:lvlText w:val="(%2)"/>
      <w:numFmt w:val="lowerLetter"/>
      <w:start w:val="28"/>
    </w:lvl>
  </w:abstractNum>
  <w:abstractNum w:abstractNumId="18">
    <w:nsid w:val="5072367"/>
    <w:multiLevelType w:val="hybridMultilevel"/>
    <w:lvl w:ilvl="0">
      <w:lvlJc w:val="left"/>
      <w:lvlText w:val="(%1)"/>
      <w:numFmt w:val="lowerLetter"/>
      <w:start w:val="61"/>
    </w:lvl>
    <w:lvl w:ilvl="1">
      <w:lvlJc w:val="left"/>
      <w:lvlText w:val="(%2)"/>
      <w:numFmt w:val="lowerLetter"/>
      <w:start w:val="29"/>
    </w:lvl>
  </w:abstractNum>
  <w:abstractNum w:abstractNumId="19">
    <w:nsid w:val="3804823E"/>
    <w:multiLevelType w:val="hybridMultilevel"/>
    <w:lvl w:ilvl="0">
      <w:lvlJc w:val="left"/>
      <w:lvlText w:val="(%1)"/>
      <w:numFmt w:val="lowerLetter"/>
      <w:start w:val="33"/>
    </w:lvl>
  </w:abstractNum>
  <w:abstractNum w:abstractNumId="20">
    <w:nsid w:val="77465F01"/>
    <w:multiLevelType w:val="hybridMultilevel"/>
    <w:lvl w:ilvl="0">
      <w:lvlJc w:val="left"/>
      <w:lvlText w:val="(%1)"/>
      <w:numFmt w:val="lowerLetter"/>
      <w:start w:val="38"/>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1)"/>
      <w:numFmt w:val="lowerLetter"/>
      <w:start w:val="3"/>
    </w:lvl>
  </w:abstractNum>
  <w:abstractNum w:abstractNumId="23">
    <w:nsid w:val="2463B9EA"/>
    <w:multiLevelType w:val="hybridMultilevel"/>
    <w:lvl w:ilvl="0">
      <w:lvlJc w:val="left"/>
      <w:lvlText w:val="%1"/>
      <w:numFmt w:val="upperLetter"/>
      <w:start w:val="1"/>
    </w:lvl>
    <w:lvl w:ilvl="1">
      <w:lvlJc w:val="left"/>
      <w:lvlText w:val="(%2)"/>
      <w:numFmt w:val="lowerLetter"/>
      <w:start w:val="1"/>
    </w:lvl>
  </w:abstractNum>
  <w:abstractNum w:abstractNumId="24">
    <w:nsid w:val="5E884ADC"/>
    <w:multiLevelType w:val="hybridMultilevel"/>
    <w:lvl w:ilvl="0">
      <w:lvlJc w:val="left"/>
      <w:lvlText w:val="(%1)"/>
      <w:numFmt w:val="upperLetter"/>
      <w:start w:val="2"/>
    </w:lvl>
    <w:lvl w:ilvl="1">
      <w:lvlJc w:val="left"/>
      <w:lvlText w:val="%2"/>
      <w:numFmt w:val="lowerLetter"/>
      <w:start w:val="1"/>
    </w:lvl>
  </w:abstractNum>
  <w:abstractNum w:abstractNumId="25">
    <w:nsid w:val="51EAD36B"/>
    <w:multiLevelType w:val="hybridMultilevel"/>
    <w:lvl w:ilvl="0">
      <w:lvlJc w:val="left"/>
      <w:lvlText w:val="(%1)"/>
      <w:numFmt w:val="lowerLetter"/>
      <w:start w:val="2"/>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lowerLetter"/>
      <w:start w:val="1"/>
    </w:lvl>
    <w:lvl w:ilvl="1">
      <w:lvlJc w:val="left"/>
      <w:lvlText w:val="(%2)"/>
      <w:numFmt w:val="lowerRoman"/>
      <w:start w:val="1"/>
    </w:lvl>
  </w:abstractNum>
  <w:abstractNum w:abstractNumId="28">
    <w:nsid w:val="153EA438"/>
    <w:multiLevelType w:val="hybridMultilevel"/>
    <w:lvl w:ilvl="0">
      <w:lvlJc w:val="left"/>
      <w:lvlText w:val="%1"/>
      <w:numFmt w:val="lowerLetter"/>
      <w:start w:val="1"/>
    </w:lvl>
    <w:lvl w:ilvl="1">
      <w:lvlJc w:val="left"/>
      <w:lvlText w:val="(%2)"/>
      <w:numFmt w:val="lowerRoman"/>
      <w:start w:val="3"/>
    </w:lvl>
  </w:abstractNum>
  <w:abstractNum w:abstractNumId="29">
    <w:nsid w:val="3855585C"/>
    <w:multiLevelType w:val="hybridMultilevel"/>
    <w:lvl w:ilvl="0">
      <w:lvlJc w:val="left"/>
      <w:lvlText w:val="(%1)"/>
      <w:numFmt w:val="lowerLetter"/>
      <w:start w:val="2"/>
    </w:lvl>
    <w:lvl w:ilvl="1">
      <w:lvlJc w:val="left"/>
      <w:lvlText w:val="(%2)"/>
      <w:numFmt w:val="lowerRoman"/>
      <w:start w:val="1"/>
    </w:lvl>
  </w:abstractNum>
  <w:abstractNum w:abstractNumId="30">
    <w:nsid w:val="70A64E2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1">
    <w:nsid w:val="6A2342EC"/>
    <w:multiLevelType w:val="hybridMultilevel"/>
    <w:lvl w:ilvl="0">
      <w:lvlJc w:val="left"/>
      <w:lvlText w:val="(%1)"/>
      <w:numFmt w:val="lowerRoman"/>
      <w:start w:val="2"/>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3"/>
    </w:lvl>
  </w:abstractNum>
  <w:abstractNum w:abstractNumId="34">
    <w:nsid w:val="725A06FB"/>
    <w:multiLevelType w:val="hybridMultilevel"/>
    <w:lvl w:ilvl="0">
      <w:lvlJc w:val="left"/>
      <w:lvlText w:val="(%1)"/>
      <w:numFmt w:val="lowerLetter"/>
      <w:start w:val="6"/>
    </w:lvl>
  </w:abstractNum>
  <w:abstractNum w:abstractNumId="35">
    <w:nsid w:val="2CD89A32"/>
    <w:multiLevelType w:val="hybridMultilevel"/>
    <w:lvl w:ilvl="0">
      <w:lvlJc w:val="left"/>
      <w:lvlText w:val="(%1)"/>
      <w:numFmt w:val="lowerLetter"/>
      <w:start w:val="8"/>
    </w:lvl>
  </w:abstractNum>
  <w:abstractNum w:abstractNumId="36">
    <w:nsid w:val="57E4CCAF"/>
    <w:multiLevelType w:val="hybridMultilevel"/>
    <w:lvl w:ilvl="0">
      <w:lvlJc w:val="left"/>
      <w:lvlText w:val="(%1)"/>
      <w:numFmt w:val="lowerLetter"/>
      <w:start w:val="10"/>
    </w:lvl>
  </w:abstractNum>
  <w:abstractNum w:abstractNumId="37">
    <w:nsid w:val="7A6D8D3C"/>
    <w:multiLevelType w:val="hybridMultilevel"/>
    <w:lvl w:ilvl="0">
      <w:lvlJc w:val="left"/>
      <w:lvlText w:val="(%1)"/>
      <w:numFmt w:val="lowerLetter"/>
      <w:start w:val="13"/>
    </w:lvl>
  </w:abstractNum>
  <w:abstractNum w:abstractNumId="38">
    <w:nsid w:val="4B588F54"/>
    <w:multiLevelType w:val="hybridMultilevel"/>
    <w:lvl w:ilvl="0">
      <w:lvlJc w:val="left"/>
      <w:lvlText w:val="(%1)"/>
      <w:numFmt w:val="lowerLetter"/>
      <w:start w:val="17"/>
    </w:lvl>
  </w:abstractNum>
  <w:abstractNum w:abstractNumId="39">
    <w:nsid w:val="542289EC"/>
    <w:multiLevelType w:val="hybridMultilevel"/>
    <w:lvl w:ilvl="0">
      <w:lvlJc w:val="left"/>
      <w:lvlText w:val="(%1)"/>
      <w:numFmt w:val="lowerLetter"/>
      <w:start w:val="20"/>
    </w:lvl>
  </w:abstractNum>
  <w:abstractNum w:abstractNumId="40">
    <w:nsid w:val="6DE91B18"/>
    <w:multiLevelType w:val="hybridMultilevel"/>
    <w:lvl w:ilvl="0">
      <w:lvlJc w:val="left"/>
      <w:lvlText w:val="(%1)"/>
      <w:numFmt w:val="lowerLetter"/>
      <w:start w:val="25"/>
    </w:lvl>
  </w:abstractNum>
  <w:abstractNum w:abstractNumId="41">
    <w:nsid w:val="38437FDB"/>
    <w:multiLevelType w:val="hybridMultilevel"/>
    <w:lvl w:ilvl="0">
      <w:lvlJc w:val="left"/>
      <w:lvlText w:val="(%1)"/>
      <w:numFmt w:val="lowerLetter"/>
      <w:start w:val="27"/>
    </w:lvl>
  </w:abstractNum>
  <w:abstractNum w:abstractNumId="42">
    <w:nsid w:val="7644A45C"/>
    <w:multiLevelType w:val="hybridMultilevel"/>
    <w:lvl w:ilvl="0">
      <w:lvlJc w:val="left"/>
      <w:lvlText w:val="%1"/>
      <w:numFmt w:val="lowerLetter"/>
      <w:start w:val="1"/>
    </w:lvl>
    <w:lvl w:ilvl="1">
      <w:lvlJc w:val="left"/>
      <w:lvlText w:val="(%2)"/>
      <w:numFmt w:val="lowerLetter"/>
      <w:start w:val="28"/>
    </w:lvl>
  </w:abstractNum>
  <w:abstractNum w:abstractNumId="43">
    <w:nsid w:val="32FFF902"/>
    <w:multiLevelType w:val="hybridMultilevel"/>
    <w:lvl w:ilvl="0">
      <w:lvlJc w:val="left"/>
      <w:lvlText w:val="(%1)"/>
      <w:numFmt w:val="lowerLetter"/>
      <w:start w:val="61"/>
    </w:lvl>
    <w:lvl w:ilvl="1">
      <w:lvlJc w:val="left"/>
      <w:lvlText w:val="(%2)"/>
      <w:numFmt w:val="lowerLetter"/>
      <w:start w:val="29"/>
    </w:lvl>
  </w:abstractNum>
  <w:abstractNum w:abstractNumId="44">
    <w:nsid w:val="684A481A"/>
    <w:multiLevelType w:val="hybridMultilevel"/>
    <w:lvl w:ilvl="0">
      <w:lvlJc w:val="left"/>
      <w:lvlText w:val="(%1)"/>
      <w:numFmt w:val="lowerLetter"/>
      <w:start w:val="33"/>
    </w:lvl>
  </w:abstractNum>
  <w:abstractNum w:abstractNumId="45">
    <w:nsid w:val="579478FE"/>
    <w:multiLevelType w:val="hybridMultilevel"/>
    <w:lvl w:ilvl="0">
      <w:lvlJc w:val="left"/>
      <w:lvlText w:val="(%1)"/>
      <w:numFmt w:val="lowerLetter"/>
      <w:start w:val="38"/>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3"/>
    </w:lvl>
  </w:abstractNum>
  <w:abstractNum w:abstractNumId="48">
    <w:nsid w:val="1BA026FA"/>
    <w:multiLevelType w:val="hybridMultilevel"/>
    <w:lvl w:ilvl="0">
      <w:lvlJc w:val="left"/>
      <w:lvlText w:val="%1"/>
      <w:numFmt w:val="upperLetter"/>
      <w:start w:val="1"/>
    </w:lvl>
    <w:lvl w:ilvl="1">
      <w:lvlJc w:val="left"/>
      <w:lvlText w:val="(%2)"/>
      <w:numFmt w:val="lowerLetter"/>
      <w:start w:val="1"/>
    </w:lvl>
  </w:abstractNum>
  <w:abstractNum w:abstractNumId="49">
    <w:nsid w:val="79A1DEAA"/>
    <w:multiLevelType w:val="hybridMultilevel"/>
    <w:lvl w:ilvl="0">
      <w:lvlJc w:val="left"/>
      <w:lvlText w:val="(%1)"/>
      <w:numFmt w:val="upperLetter"/>
      <w:start w:val="2"/>
    </w:lvl>
    <w:lvl w:ilvl="1">
      <w:lvlJc w:val="left"/>
      <w:lvlText w:val="%2"/>
      <w:numFmt w:val="lowerLetter"/>
      <w:start w:val="1"/>
    </w:lvl>
  </w:abstractNum>
  <w:abstractNum w:abstractNumId="50">
    <w:nsid w:val="75C6C33A"/>
    <w:multiLevelType w:val="hybridMultilevel"/>
    <w:lvl w:ilvl="0">
      <w:lvlJc w:val="left"/>
      <w:lvlText w:val="(%1)"/>
      <w:numFmt w:val="lowerLetter"/>
      <w:start w:val="2"/>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2026-01-14T16:55:01Z</dcterms:created>
  <dcterms:modified xsi:type="dcterms:W3CDTF">2026-01-14T16:55:01Z</dcterms:modified>
</cp:coreProperties>
</file>