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4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our Quarterly Report on Form 10-Q which was filed with the SEC on August 14, 2025 (the “Quarterly Report”). Accordingly, we have attached the Quarterly Report to this prospectus supplement. Capitalized terms used in this prospectus supplement and not otherwise defined herein have the meanings specified in the Prospectus.</w:t>
      </w:r>
    </w:p>
    <w:p>
      <w:pPr>
        <w:spacing w:after="0" w:line="15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6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August 13, 2025, the closing price of our Common Stock was $4.67 per share.</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19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14, 2025.</w:t>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0"/>
          <w:szCs w:val="20"/>
          <w:color w:val="auto"/>
        </w:rPr>
      </w:pPr>
    </w:p>
    <w:p>
      <w:pPr>
        <w:ind w:left="620" w:hanging="594"/>
        <w:spacing w:after="0"/>
        <w:tabs>
          <w:tab w:leader="none" w:pos="6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0"/>
          <w:szCs w:val="20"/>
          <w:color w:val="auto"/>
        </w:rPr>
      </w:pPr>
    </w:p>
    <w:p>
      <w:pPr>
        <w:ind w:left="620" w:hanging="594"/>
        <w:spacing w:after="0"/>
        <w:tabs>
          <w:tab w:leader="none" w:pos="6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001-42303</w:t>
      </w:r>
    </w:p>
    <w:p>
      <w:pPr>
        <w:spacing w:after="0" w:line="17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3"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52"/>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4000" w:type="dxa"/>
            <w:vAlign w:val="bottom"/>
          </w:tcPr>
          <w:p>
            <w:pPr>
              <w:spacing w:after="0"/>
              <w:rPr>
                <w:sz w:val="20"/>
                <w:szCs w:val="20"/>
                <w:color w:val="auto"/>
              </w:rPr>
            </w:pPr>
          </w:p>
        </w:tc>
      </w:tr>
      <w:tr>
        <w:trPr>
          <w:trHeight w:val="302"/>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4000" w:type="dxa"/>
            <w:vAlign w:val="bottom"/>
          </w:tcPr>
          <w:p>
            <w:pPr>
              <w:spacing w:after="0"/>
              <w:rPr>
                <w:sz w:val="24"/>
                <w:szCs w:val="24"/>
                <w:color w:val="auto"/>
              </w:rPr>
            </w:pPr>
          </w:p>
        </w:tc>
      </w:tr>
      <w:tr>
        <w:trPr>
          <w:trHeight w:val="265"/>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Orlando, Florida</w:t>
            </w:r>
          </w:p>
        </w:tc>
        <w:tc>
          <w:tcPr>
            <w:tcW w:w="40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43"/>
        </w:trPr>
        <w:tc>
          <w:tcPr>
            <w:tcW w:w="44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4500" w:type="dxa"/>
            <w:vAlign w:val="bottom"/>
            <w:tcBorders>
              <w:left w:val="single" w:sz="8" w:color="auto"/>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4500" w:type="dxa"/>
            <w:vAlign w:val="bottom"/>
            <w:tcBorders>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60"/>
          </w:cols>
          <w:pgMar w:left="320" w:top="1440" w:right="319" w:bottom="1440" w:gutter="0" w:footer="0" w:header="0"/>
          <w:type w:val="continuous"/>
        </w:sectPr>
      </w:pPr>
    </w:p>
    <w:bookmarkStart w:id="2" w:name="page3"/>
    <w:bookmarkEnd w:id="2"/>
    <w:p>
      <w:pPr>
        <w:spacing w:after="0" w:line="19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6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80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800"/>
              <w:spacing w:after="0"/>
              <w:rPr>
                <w:sz w:val="20"/>
                <w:szCs w:val="20"/>
                <w:color w:val="auto"/>
              </w:rPr>
            </w:pPr>
            <w:r>
              <w:rPr>
                <w:rFonts w:ascii="Wingdings" w:cs="Wingdings" w:eastAsia="Wingdings" w:hAnsi="Wingdings"/>
                <w:sz w:val="18"/>
                <w:szCs w:val="18"/>
                <w:b w:val="1"/>
                <w:bCs w:val="1"/>
                <w:color w:val="auto"/>
              </w:rPr>
              <w:t>x</w:t>
            </w: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w w:val="94"/>
              </w:rPr>
              <w:t>x</w:t>
            </w:r>
          </w:p>
        </w:tc>
      </w:tr>
      <w:tr>
        <w:trPr>
          <w:trHeight w:val="486"/>
        </w:trPr>
        <w:tc>
          <w:tcPr>
            <w:tcW w:w="2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00" w:lineRule="exact"/>
        <w:rPr>
          <w:sz w:val="20"/>
          <w:szCs w:val="20"/>
          <w:color w:val="auto"/>
        </w:rPr>
      </w:pP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12, 2025, the registrant had 56,025,554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37"/>
        </w:trPr>
        <w:tc>
          <w:tcPr>
            <w:tcW w:w="10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02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Controls and Procedures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527"/>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Risk Factors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5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9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40" w:top="1440" w:right="33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(“Form 10-Q”) to “Innventure,” the “Company,” “we,” “our” or “us” refer to Innventure, Inc. and its consolidated subsidiaries.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as amended (the “Securities Act”), and Section 21E of the Securities Exchange Act of 1934, as amended (the “Exchange Act”), including statements about the Company’s business model, the financial condition, results of operations, earnings outlook and the prospects for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Forward-looking statements generally relate to future events or the Company’s future financial or operating performance and may refer to projections, forecasts or other characterizations of future events or circumstances, including any underlying assumptions.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the section of the Company’s Annual Report on Form 10-K for the fiscal year ended December 31, 2024 (the “2024 Annual Report”) entitled “Risk Factors,” those discussed and identified in other public filings made with the Securities and Exchange Commission (the “SEC”) by the Company and the following:</w:t>
      </w:r>
    </w:p>
    <w:p>
      <w:pPr>
        <w:spacing w:after="0" w:line="135" w:lineRule="exact"/>
        <w:rPr>
          <w:sz w:val="20"/>
          <w:szCs w:val="20"/>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future capital requirements and sources and uses of cash;</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unfavorable economic or other conditions which could cause the need for Innventure to evaluate and potentially record additional impairment charges for all, or a portion of, its goodwill and other intangible assets;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 including: (i) Innventure’s ability to obtain funding for its operations and future growth; and (ii) Innventure’s ability to continue as a going concern;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maintain control over the Innventure Companies;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imposed by, and to satisfy its obligations to, the WTI Lenders (as defined below), under the WTI Facility (as defined below);</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access to funds under the Standby Equity Purchase Agreement (the “SEPA”) with YA II PN, Ltd. (“Yorkville”), including exchange caps, issuances and subscriptions based on trading volumes,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Innventure’s ability to continue to access the funds available under the SEPA due to certain conditions, restrictions and limitations set forth therein;</w:t>
      </w:r>
    </w:p>
    <w:p>
      <w:pPr>
        <w:spacing w:after="0" w:line="108"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debt instruments, which may impair Innventure’s financial and operating flexibility;</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obtain funding for their operations, future growth and to continue as going concerns;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technology solutions that Innventure and the Innventure Companies license or acquire from third parties or develop internally may not function as anticipated or provide the benefits anticipated;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respective products and the numerous regulatory requirements generally applicable to their businesses;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(“MNCs”) or other third parties (collectively, “Technology Solutions Providers”) and to satisfy the requirements imposed by or to avoid disagreements with its current and future Technology Solutions Providers;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subsidiaries and their respective operations;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(the “Investment Company Act”), which would impose burdensome compliance requirements and restrictions on its activities;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the Innventure Companies, which have limited or no operating history;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440" w:right="339" w:bottom="1440" w:gutter="0" w:footer="0" w:header="0"/>
        </w:sectPr>
      </w:pPr>
    </w:p>
    <w:bookmarkStart w:id="6" w:name="page7"/>
    <w:bookmarkEnd w:id="6"/>
    <w:p>
      <w:pPr>
        <w:spacing w:after="0" w:line="19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97155</wp:posOffset>
            </wp:positionV>
            <wp:extent cx="2048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2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2025 (Unaudited)</w:t>
            </w:r>
          </w:p>
        </w:tc>
        <w:tc>
          <w:tcPr>
            <w:tcW w:w="180" w:type="dxa"/>
            <w:vAlign w:val="bottom"/>
          </w:tcPr>
          <w:p>
            <w:pPr>
              <w:spacing w:after="0"/>
              <w:rPr>
                <w:sz w:val="14"/>
                <w:szCs w:val="14"/>
                <w:color w:val="auto"/>
              </w:rPr>
            </w:pPr>
          </w:p>
        </w:tc>
        <w:tc>
          <w:tcPr>
            <w:tcW w:w="13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9"/>
        </w:trPr>
        <w:tc>
          <w:tcPr>
            <w:tcW w:w="80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6,965</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11,119</w:t>
            </w:r>
          </w:p>
        </w:tc>
      </w:tr>
      <w:tr>
        <w:trPr>
          <w:trHeight w:val="29"/>
        </w:trPr>
        <w:tc>
          <w:tcPr>
            <w:tcW w:w="8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Due from related parties</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w:t>
            </w:r>
          </w:p>
        </w:tc>
      </w:tr>
      <w:tr>
        <w:trPr>
          <w:trHeight w:val="29"/>
        </w:trPr>
        <w:tc>
          <w:tcPr>
            <w:tcW w:w="8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 net</w:t>
            </w: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5,178</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3,170</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24,286</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32,424</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28,734</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w:t>
            </w:r>
          </w:p>
        </w:tc>
      </w:tr>
      <w:tr>
        <w:trPr>
          <w:trHeight w:val="29"/>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Intangible assets, net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171,345</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182,153</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323,463</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667,936</w:t>
            </w:r>
          </w:p>
        </w:tc>
      </w:tr>
      <w:tr>
        <w:trPr>
          <w:trHeight w:val="29"/>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r>
      <w:tr>
        <w:trPr>
          <w:trHeight w:val="20"/>
        </w:trPr>
        <w:tc>
          <w:tcPr>
            <w:tcW w:w="8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1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555,985</w:t>
            </w:r>
          </w:p>
        </w:tc>
        <w:tc>
          <w:tcPr>
            <w:tcW w:w="66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Deficit</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318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3,710</w:t>
            </w:r>
          </w:p>
        </w:tc>
        <w:tc>
          <w:tcPr>
            <w:tcW w:w="66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10,603</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9,273</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31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2,594</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2,478</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Contract liabilities</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690</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notes payable - current</w:t>
            </w:r>
          </w:p>
        </w:tc>
        <w:tc>
          <w:tcPr>
            <w:tcW w:w="31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payable - current</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27,502</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Embedded derivative liability</w:t>
            </w:r>
          </w:p>
        </w:tc>
        <w:tc>
          <w:tcPr>
            <w:tcW w:w="31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1,796</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 current</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700</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Obligation to issue equity</w:t>
            </w:r>
          </w:p>
        </w:tc>
        <w:tc>
          <w:tcPr>
            <w:tcW w:w="31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4,158</w:t>
            </w:r>
          </w:p>
        </w:tc>
      </w:tr>
      <w:tr>
        <w:trPr>
          <w:trHeight w:val="29"/>
        </w:trPr>
        <w:tc>
          <w:tcPr>
            <w:tcW w:w="5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Warrant liability</w:t>
            </w:r>
          </w:p>
        </w:tc>
        <w:tc>
          <w:tcPr>
            <w:tcW w:w="3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22,996</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34,023</w:t>
            </w:r>
          </w:p>
        </w:tc>
      </w:tr>
      <w:tr>
        <w:trPr>
          <w:trHeight w:val="194"/>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3180" w:type="dxa"/>
            <w:vAlign w:val="bottom"/>
          </w:tcPr>
          <w:p>
            <w:pPr>
              <w:spacing w:after="0"/>
              <w:rPr>
                <w:sz w:val="16"/>
                <w:szCs w:val="16"/>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292</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Related party convertible promissory notes - current</w:t>
            </w:r>
          </w:p>
        </w:tc>
        <w:tc>
          <w:tcPr>
            <w:tcW w:w="3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1,002</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318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380</w:t>
            </w: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72,317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69,347</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 payable, net of current portion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13,654</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Term convertible notes, net of current portion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2,451</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convertible promissory notes, net of current portion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Earnout liability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14,752</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liability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net of current portion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27,353</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r>
      <w:tr>
        <w:trPr>
          <w:trHeight w:val="20"/>
        </w:trPr>
        <w:tc>
          <w:tcPr>
            <w:tcW w:w="8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129,925</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138,996</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16)</w:t>
            </w: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w:t>
            </w: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57"/>
        </w:trPr>
        <w:tc>
          <w:tcPr>
            <w:tcW w:w="802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8"/>
              </w:rPr>
              <w:t>Series B Preferred Stock, $0.0001 par value, 3,000,000 shares designated, 33,144 and 1,102,000 shares issued and outstanding as of June 30, 2025 and</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4"/>
        </w:trPr>
        <w:tc>
          <w:tcPr>
            <w:tcW w:w="80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57"/>
        </w:trPr>
        <w:tc>
          <w:tcPr>
            <w:tcW w:w="8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Series C Preferred Stock, $0.0001 par value, 5,000,000 shares designated, 150,000 and — shares issued and outstanding as of June 30, 2025 and</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74"/>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Stock, $0.0001 par value, 250,000,000 shares authorized, 55,221,494 and 44,597,154 shares issued and outstanding as of June 30, 2025 and</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4"/>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525,346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502,865</w:t>
            </w:r>
          </w:p>
        </w:tc>
      </w:tr>
      <w:tr>
        <w:trPr>
          <w:trHeight w:val="173"/>
        </w:trPr>
        <w:tc>
          <w:tcPr>
            <w:tcW w:w="8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 gain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r>
      <w:tr>
        <w:trPr>
          <w:trHeight w:val="30"/>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(305,512)</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(78,262)</w:t>
            </w:r>
          </w:p>
        </w:tc>
      </w:tr>
      <w:tr>
        <w:trPr>
          <w:trHeight w:val="20"/>
        </w:trPr>
        <w:tc>
          <w:tcPr>
            <w:tcW w:w="8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Innventure, Inc., Stockholders’ Equity</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218,551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425,516</w:t>
            </w:r>
          </w:p>
        </w:tc>
      </w:tr>
      <w:tr>
        <w:trPr>
          <w:trHeight w:val="30"/>
        </w:trPr>
        <w:tc>
          <w:tcPr>
            <w:tcW w:w="8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2"/>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207,509</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340,777</w:t>
            </w: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426,060</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766,293</w:t>
            </w:r>
          </w:p>
        </w:tc>
      </w:tr>
      <w:tr>
        <w:trPr>
          <w:trHeight w:val="30"/>
        </w:trPr>
        <w:tc>
          <w:tcPr>
            <w:tcW w:w="80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555,985</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20"/>
        </w:trPr>
        <w:tc>
          <w:tcPr>
            <w:tcW w:w="80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40" w:type="dxa"/>
            <w:vAlign w:val="bottom"/>
            <w:gridSpan w:val="5"/>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4"/>
                <w:szCs w:val="14"/>
                <w:color w:val="auto"/>
              </w:rPr>
            </w:pPr>
          </w:p>
        </w:tc>
        <w:tc>
          <w:tcPr>
            <w:tcW w:w="13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37"/>
        </w:trPr>
        <w:tc>
          <w:tcPr>
            <w:tcW w:w="4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18,569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38,245</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16,283</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2,208</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6,068</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 impairment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113,344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346,557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143,050</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11,509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404,472</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22,265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(142,574)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(11,286)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(403,772)</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(21,818)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 and Income</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gain (loss) on investments</w:t>
            </w: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gain (loss) on investments – due to related parties</w:t>
            </w:r>
          </w:p>
        </w:tc>
        <w:tc>
          <w:tcPr>
            <w:tcW w:w="20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7,176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23,605</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method investment (loss) income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gain on conversion of available for sale investment</w:t>
            </w: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extinguishment of related party debt</w:t>
            </w: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conversion of promissory notes</w:t>
            </w:r>
          </w:p>
        </w:tc>
        <w:tc>
          <w:tcPr>
            <w:tcW w:w="20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Miscellaneous other expense</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Non-operating (Expense) Income</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5,204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2,978</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(143,495)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(398,568)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(18,840)</w:t>
            </w: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(141,275)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(11,314)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(394,949)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(18,840)</w:t>
            </w:r>
          </w:p>
        </w:tc>
        <w:tc>
          <w:tcPr>
            <w:tcW w:w="0" w:type="dxa"/>
            <w:vAlign w:val="bottom"/>
          </w:tcPr>
          <w:p>
            <w:pPr>
              <w:spacing w:after="0"/>
              <w:rPr>
                <w:sz w:val="1"/>
                <w:szCs w:val="1"/>
                <w:color w:val="auto"/>
              </w:rPr>
            </w:pPr>
          </w:p>
        </w:tc>
      </w:tr>
      <w:tr>
        <w:trPr>
          <w:trHeight w:val="193"/>
        </w:trPr>
        <w:tc>
          <w:tcPr>
            <w:tcW w:w="4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net loss attributable to</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(57,048)</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(167,725)</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0" w:type="dxa"/>
            <w:vAlign w:val="bottom"/>
          </w:tcPr>
          <w:p>
            <w:pPr>
              <w:spacing w:after="0"/>
              <w:rPr>
                <w:sz w:val="1"/>
                <w:szCs w:val="1"/>
                <w:color w:val="auto"/>
              </w:rPr>
            </w:pPr>
          </w:p>
        </w:tc>
      </w:tr>
      <w:tr>
        <w:trPr>
          <w:trHeight w:val="158"/>
        </w:trPr>
        <w:tc>
          <w:tcPr>
            <w:tcW w:w="450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Net Loss Attributable to Innventure, Inc. Stockholders / Innventure</w:t>
            </w: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LLC Unitholders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(84,227)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(227,224)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(12,507)</w:t>
            </w:r>
          </w:p>
        </w:tc>
        <w:tc>
          <w:tcPr>
            <w:tcW w:w="0" w:type="dxa"/>
            <w:vAlign w:val="bottom"/>
          </w:tcPr>
          <w:p>
            <w:pPr>
              <w:spacing w:after="0"/>
              <w:rPr>
                <w:sz w:val="1"/>
                <w:szCs w:val="1"/>
                <w:color w:val="auto"/>
              </w:rPr>
            </w:pPr>
          </w:p>
        </w:tc>
      </w:tr>
      <w:tr>
        <w:trPr>
          <w:trHeight w:val="37"/>
        </w:trPr>
        <w:tc>
          <w:tcPr>
            <w:tcW w:w="4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and diluted weighted average common shares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52,546,491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49,417,092</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net of taxes: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gain (loss) on available for sale debt securities - related party</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Reclassification of realized gain on conversion of available for sale</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investments</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net of taxes</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(2,198)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net of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(141,086)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(397,147)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(18,840)</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comprehensive loss attributable to</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(57,048)</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(167,725)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0" w:type="dxa"/>
            <w:vAlign w:val="bottom"/>
          </w:tcPr>
          <w:p>
            <w:pPr>
              <w:spacing w:after="0"/>
              <w:rPr>
                <w:sz w:val="1"/>
                <w:szCs w:val="1"/>
                <w:color w:val="auto"/>
              </w:rPr>
            </w:pPr>
          </w:p>
        </w:tc>
      </w:tr>
      <w:tr>
        <w:trPr>
          <w:trHeight w:val="24"/>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5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Comprehensive Loss Attributable to Innventure, Inc. Stockholders /</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(84,038)</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(7,288)</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(229,422)</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(12,507)</w:t>
            </w:r>
          </w:p>
        </w:tc>
        <w:tc>
          <w:tcPr>
            <w:tcW w:w="0" w:type="dxa"/>
            <w:vAlign w:val="bottom"/>
          </w:tcPr>
          <w:p>
            <w:pPr>
              <w:spacing w:after="0"/>
              <w:rPr>
                <w:sz w:val="1"/>
                <w:szCs w:val="1"/>
                <w:color w:val="auto"/>
              </w:rPr>
            </w:pPr>
          </w:p>
        </w:tc>
      </w:tr>
      <w:tr>
        <w:trPr>
          <w:trHeight w:val="20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Innventure LLC Unitholders</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0880"/>
          </w:cols>
          <w:pgMar w:left="320" w:top="12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880"/>
          </w:cols>
          <w:pgMar w:left="320" w:top="121" w:right="6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 (Predecessor)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(Deficit)</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2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8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7"/>
                <w:szCs w:val="17"/>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38,122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(64,284)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(18,486)</w:t>
            </w:r>
          </w:p>
        </w:tc>
        <w:tc>
          <w:tcPr>
            <w:tcW w:w="0" w:type="dxa"/>
            <w:vAlign w:val="bottom"/>
          </w:tcPr>
          <w:p>
            <w:pPr>
              <w:spacing w:after="0"/>
              <w:rPr>
                <w:sz w:val="1"/>
                <w:szCs w:val="1"/>
                <w:color w:val="auto"/>
              </w:rPr>
            </w:pPr>
          </w:p>
        </w:tc>
      </w:tr>
      <w:tr>
        <w:trPr>
          <w:trHeight w:val="193"/>
        </w:trPr>
        <w:tc>
          <w:tcPr>
            <w:tcW w:w="4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(7,526)</w:t>
            </w:r>
          </w:p>
        </w:tc>
        <w:tc>
          <w:tcPr>
            <w:tcW w:w="0" w:type="dxa"/>
            <w:vAlign w:val="bottom"/>
          </w:tcPr>
          <w:p>
            <w:pPr>
              <w:spacing w:after="0"/>
              <w:rPr>
                <w:sz w:val="1"/>
                <w:szCs w:val="1"/>
                <w:color w:val="auto"/>
              </w:rPr>
            </w:pPr>
          </w:p>
        </w:tc>
      </w:tr>
      <w:tr>
        <w:trPr>
          <w:trHeight w:val="37"/>
        </w:trPr>
        <w:tc>
          <w:tcPr>
            <w:tcW w:w="4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 issued to non-controlling interest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0" w:type="dxa"/>
            <w:vAlign w:val="bottom"/>
          </w:tcPr>
          <w:p>
            <w:pPr>
              <w:spacing w:after="0"/>
              <w:rPr>
                <w:sz w:val="1"/>
                <w:szCs w:val="1"/>
                <w:color w:val="auto"/>
              </w:rPr>
            </w:pPr>
          </w:p>
        </w:tc>
      </w:tr>
      <w:tr>
        <w:trPr>
          <w:trHeight w:val="193"/>
        </w:trPr>
        <w:tc>
          <w:tcPr>
            <w:tcW w:w="4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preferred units, net of issuance costs</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0" w:type="dxa"/>
            <w:vAlign w:val="bottom"/>
          </w:tcPr>
          <w:p>
            <w:pPr>
              <w:spacing w:after="0"/>
              <w:rPr>
                <w:sz w:val="1"/>
                <w:szCs w:val="1"/>
                <w:color w:val="auto"/>
              </w:rPr>
            </w:pPr>
          </w:p>
        </w:tc>
      </w:tr>
      <w:tr>
        <w:trPr>
          <w:trHeight w:val="37"/>
        </w:trPr>
        <w:tc>
          <w:tcPr>
            <w:tcW w:w="4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80"/>
        </w:trPr>
        <w:tc>
          <w:tcPr>
            <w:tcW w:w="4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units to non-controlling interest in exchange of</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convertible promissory notes</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0" w:type="dxa"/>
            <w:vAlign w:val="bottom"/>
          </w:tcPr>
          <w:p>
            <w:pPr>
              <w:spacing w:after="0"/>
              <w:rPr>
                <w:sz w:val="1"/>
                <w:szCs w:val="1"/>
                <w:color w:val="auto"/>
              </w:rPr>
            </w:pPr>
          </w:p>
        </w:tc>
      </w:tr>
      <w:tr>
        <w:trPr>
          <w:trHeight w:val="37"/>
        </w:trPr>
        <w:tc>
          <w:tcPr>
            <w:tcW w:w="4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45,688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895</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(73,918)</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11,543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(10,519)</w:t>
            </w:r>
          </w:p>
        </w:tc>
        <w:tc>
          <w:tcPr>
            <w:tcW w:w="0" w:type="dxa"/>
            <w:vAlign w:val="bottom"/>
          </w:tcPr>
          <w:p>
            <w:pPr>
              <w:spacing w:after="0"/>
              <w:rPr>
                <w:sz w:val="1"/>
                <w:szCs w:val="1"/>
                <w:color w:val="auto"/>
              </w:rPr>
            </w:pPr>
          </w:p>
        </w:tc>
      </w:tr>
      <w:tr>
        <w:trPr>
          <w:trHeight w:val="37"/>
        </w:trPr>
        <w:tc>
          <w:tcPr>
            <w:tcW w:w="4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(11,314)</w:t>
            </w:r>
          </w:p>
        </w:tc>
        <w:tc>
          <w:tcPr>
            <w:tcW w:w="0" w:type="dxa"/>
            <w:vAlign w:val="bottom"/>
          </w:tcPr>
          <w:p>
            <w:pPr>
              <w:spacing w:after="0"/>
              <w:rPr>
                <w:sz w:val="1"/>
                <w:szCs w:val="1"/>
                <w:color w:val="auto"/>
              </w:rPr>
            </w:pPr>
          </w:p>
        </w:tc>
      </w:tr>
      <w:tr>
        <w:trPr>
          <w:trHeight w:val="193"/>
        </w:trPr>
        <w:tc>
          <w:tcPr>
            <w:tcW w:w="4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Units issued to non-controlling interest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7,348</w:t>
            </w:r>
          </w:p>
        </w:tc>
        <w:tc>
          <w:tcPr>
            <w:tcW w:w="0" w:type="dxa"/>
            <w:vAlign w:val="bottom"/>
          </w:tcPr>
          <w:p>
            <w:pPr>
              <w:spacing w:after="0"/>
              <w:rPr>
                <w:sz w:val="1"/>
                <w:szCs w:val="1"/>
                <w:color w:val="auto"/>
              </w:rPr>
            </w:pPr>
          </w:p>
        </w:tc>
      </w:tr>
      <w:tr>
        <w:trPr>
          <w:trHeight w:val="37"/>
        </w:trPr>
        <w:tc>
          <w:tcPr>
            <w:tcW w:w="4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Issuance of preferred units, net of issuance costs</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93"/>
        </w:trPr>
        <w:tc>
          <w:tcPr>
            <w:tcW w:w="4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37"/>
        </w:trPr>
        <w:tc>
          <w:tcPr>
            <w:tcW w:w="4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48,540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940</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(81,568)</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15,113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(11,702)</w:t>
            </w:r>
          </w:p>
        </w:tc>
        <w:tc>
          <w:tcPr>
            <w:tcW w:w="0" w:type="dxa"/>
            <w:vAlign w:val="bottom"/>
          </w:tcPr>
          <w:p>
            <w:pPr>
              <w:spacing w:after="0"/>
              <w:rPr>
                <w:sz w:val="1"/>
                <w:szCs w:val="1"/>
                <w:color w:val="auto"/>
              </w:rPr>
            </w:pPr>
          </w:p>
        </w:tc>
      </w:tr>
      <w:tr>
        <w:trPr>
          <w:trHeight w:val="37"/>
        </w:trPr>
        <w:tc>
          <w:tcPr>
            <w:tcW w:w="4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and Stockholders' Equity (Deficit) (Successor)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140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Series B Preferred Stock</w:t>
            </w:r>
          </w:p>
        </w:tc>
        <w:tc>
          <w:tcPr>
            <w:tcW w:w="138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Series C Preferred Stock</w:t>
            </w:r>
          </w:p>
        </w:tc>
        <w:tc>
          <w:tcPr>
            <w:tcW w:w="108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3"/>
                <w:szCs w:val="3"/>
                <w:color w:val="auto"/>
              </w:rPr>
            </w:pPr>
          </w:p>
        </w:tc>
        <w:tc>
          <w:tcPr>
            <w:tcW w:w="68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Controlling</w:t>
            </w:r>
          </w:p>
        </w:tc>
        <w:tc>
          <w:tcPr>
            <w:tcW w:w="8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5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OCI</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40" w:type="dxa"/>
            <w:vAlign w:val="bottom"/>
          </w:tcPr>
          <w:p>
            <w:pPr>
              <w:spacing w:after="0"/>
              <w:rPr>
                <w:sz w:val="12"/>
                <w:szCs w:val="12"/>
                <w:color w:val="auto"/>
              </w:rPr>
            </w:pPr>
          </w:p>
        </w:tc>
        <w:tc>
          <w:tcPr>
            <w:tcW w:w="6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1,102,000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44,597,154</w:t>
            </w:r>
          </w:p>
        </w:tc>
        <w:tc>
          <w:tcPr>
            <w:tcW w:w="36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502,865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(78,262)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909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340,777</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766,293</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3"/>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(142,997)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(110,677)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(253,674)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Series B Preferred Stock</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buyback</w:t>
            </w: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9"/>
              </w:rPr>
              <w:t>Series B Preferred Stock issued</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21,808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 paid-in-kind dividends</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8"/>
              </w:rPr>
              <w:t>Issuance of common shares, net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161,964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issuance costs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earnout shares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2,344,682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gain, net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taxes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Conversion of related party</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2,310,848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23,109</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notes</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Series C Preferred</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5,663</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net</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right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Non-controlling interest issued</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(26,303)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33,249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6,946</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and related transfers</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Distributions to Stockholders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5,841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preferred dividends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47"/>
        </w:trPr>
        <w:tc>
          <w:tcPr>
            <w:tcW w:w="1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1,118,808</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47,103,800</w:t>
            </w:r>
          </w:p>
        </w:tc>
        <w:tc>
          <w:tcPr>
            <w:tcW w:w="80" w:type="dxa"/>
            <w:vAlign w:val="bottom"/>
          </w:tcPr>
          <w:p>
            <w:pPr>
              <w:spacing w:after="0"/>
              <w:rPr>
                <w:sz w:val="12"/>
                <w:szCs w:val="12"/>
                <w:color w:val="auto"/>
              </w:rPr>
            </w:pPr>
          </w:p>
        </w:tc>
        <w:tc>
          <w:tcPr>
            <w:tcW w:w="28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484,256</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(221,285)</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(1,478)</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264,247</w:t>
            </w:r>
          </w:p>
        </w:tc>
        <w:tc>
          <w:tcPr>
            <w:tcW w:w="8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525,745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2,885,848</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28,728</w:t>
            </w:r>
          </w:p>
        </w:tc>
        <w:tc>
          <w:tcPr>
            <w:tcW w:w="0" w:type="dxa"/>
            <w:vAlign w:val="bottom"/>
          </w:tcPr>
          <w:p>
            <w:pPr>
              <w:spacing w:after="0"/>
              <w:rPr>
                <w:sz w:val="1"/>
                <w:szCs w:val="1"/>
                <w:color w:val="auto"/>
              </w:rPr>
            </w:pPr>
          </w:p>
        </w:tc>
      </w:tr>
      <w:tr>
        <w:trPr>
          <w:trHeight w:val="36"/>
        </w:trPr>
        <w:tc>
          <w:tcPr>
            <w:tcW w:w="15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(84,227)</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(57,048)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(141,275)</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8"/>
              </w:rPr>
              <w:t>Issuance of common shares, net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481,325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2,625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2,625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 issuance costs</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gain, net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of taxes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Non-controlling interest issued</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and related transfers</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8,494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9,406</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preferred dividends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Conversion to Common Stock</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(1,085,664)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7,636,369</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27,269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27,270</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(2,735,848)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(27,272)</w:t>
            </w:r>
          </w:p>
        </w:tc>
        <w:tc>
          <w:tcPr>
            <w:tcW w:w="0" w:type="dxa"/>
            <w:vAlign w:val="bottom"/>
          </w:tcPr>
          <w:p>
            <w:pPr>
              <w:spacing w:after="0"/>
              <w:rPr>
                <w:sz w:val="1"/>
                <w:szCs w:val="1"/>
                <w:color w:val="auto"/>
              </w:rPr>
            </w:pPr>
          </w:p>
        </w:tc>
      </w:tr>
      <w:tr>
        <w:trPr>
          <w:trHeight w:val="148"/>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Transfer of Series C Preferred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 from Mezzanine equity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 Stockholders' equity</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w:t>
            </w: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33,144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150,000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55,221,494</w:t>
            </w:r>
          </w:p>
        </w:tc>
        <w:tc>
          <w:tcPr>
            <w:tcW w:w="36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525,346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(305,512)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(1,289)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207,509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426,060</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78"/>
        </w:trPr>
        <w:tc>
          <w:tcPr>
            <w:tcW w:w="7440" w:type="dxa"/>
            <w:vAlign w:val="bottom"/>
          </w:tcPr>
          <w:p>
            <w:pPr>
              <w:spacing w:after="0"/>
              <w:rPr>
                <w:sz w:val="15"/>
                <w:szCs w:val="15"/>
                <w:color w:val="auto"/>
              </w:rPr>
            </w:pPr>
          </w:p>
        </w:tc>
        <w:tc>
          <w:tcPr>
            <w:tcW w:w="19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0"/>
        </w:trPr>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(394,949)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(18,840)</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i w:val="1"/>
                <w:iCs w:val="1"/>
                <w:color w:val="auto"/>
              </w:rPr>
              <w:t>Adjustments to reconcile net loss to net cash and cash equivalents used in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 on debt securities - related party</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payables due to related parties</w:t>
            </w:r>
          </w:p>
        </w:tc>
        <w:tc>
          <w:tcPr>
            <w:tcW w:w="3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interest expense on notes payable</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gain on investments</w:t>
            </w:r>
          </w:p>
        </w:tc>
        <w:tc>
          <w:tcPr>
            <w:tcW w:w="3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method investment gain (loss)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gain on conversion of available for sale investments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extinguishment of related party debt</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conversion of promissory notes</w:t>
            </w:r>
          </w:p>
        </w:tc>
        <w:tc>
          <w:tcPr>
            <w:tcW w:w="34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Goodwill impairment</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346,557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 of patent installment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costs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Inventory</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93"/>
        </w:trPr>
        <w:tc>
          <w:tcPr>
            <w:tcW w:w="74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employee benefits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r>
      <w:tr>
        <w:trPr>
          <w:trHeight w:val="193"/>
        </w:trPr>
        <w:tc>
          <w:tcPr>
            <w:tcW w:w="74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Stock-based compensation liability</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Income taxes payable</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3"/>
        </w:trPr>
        <w:tc>
          <w:tcPr>
            <w:tcW w:w="74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Contract liabilities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(36,754)</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(16,391)</w:t>
            </w:r>
          </w:p>
        </w:tc>
      </w:tr>
      <w:tr>
        <w:trPr>
          <w:trHeight w:val="183"/>
        </w:trPr>
        <w:tc>
          <w:tcPr>
            <w:tcW w:w="74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1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Investment in available-for-sale debt securities - equity method investee</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to equity method investee</w:t>
            </w:r>
          </w:p>
        </w:tc>
        <w:tc>
          <w:tcPr>
            <w:tcW w:w="3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r>
      <w:tr>
        <w:trPr>
          <w:trHeight w:val="18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(3,640)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(4,377)</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3"/>
        </w:trPr>
        <w:tc>
          <w:tcPr>
            <w:tcW w:w="7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3"/>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issuance of equity, net of issuance costs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10,037</w:t>
            </w:r>
          </w:p>
        </w:tc>
      </w:tr>
      <w:tr>
        <w:trPr>
          <w:trHeight w:val="193"/>
        </w:trPr>
        <w:tc>
          <w:tcPr>
            <w:tcW w:w="7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issuance of equity to non-controlling interest, net of issuance costs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10,827</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the issuance of related party convertible promissory notes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issuance of term convertible notes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issuance of debt securities, net of issuance costs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 of debts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0"/>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to stockholders and other</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Flows Provided by Financing Activities</w:t>
            </w: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41,240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20,274</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3"/>
        </w:trPr>
        <w:tc>
          <w:tcPr>
            <w:tcW w:w="74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r>
      <w:tr>
        <w:trPr>
          <w:trHeight w:val="18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(494)</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2,081</w:t>
            </w:r>
          </w:p>
        </w:tc>
      </w:tr>
    </w:tbl>
    <w:p>
      <w:pPr>
        <w:spacing w:after="0" w:line="200" w:lineRule="exact"/>
        <w:rPr>
          <w:sz w:val="20"/>
          <w:szCs w:val="20"/>
          <w:color w:val="auto"/>
        </w:rPr>
      </w:pPr>
    </w:p>
    <w:p>
      <w:pPr>
        <w:sectPr>
          <w:pgSz w:w="11900" w:h="16838" w:orient="portrait"/>
          <w:cols w:equalWidth="0" w:num="1">
            <w:col w:w="11240"/>
          </w:cols>
          <w:pgMar w:left="320" w:top="121" w:right="339" w:bottom="7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758"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8"/>
        </w:trPr>
        <w:tc>
          <w:tcPr>
            <w:tcW w:w="7440" w:type="dxa"/>
            <w:vAlign w:val="bottom"/>
          </w:tcPr>
          <w:p>
            <w:pPr>
              <w:spacing w:after="0"/>
              <w:rPr>
                <w:sz w:val="15"/>
                <w:szCs w:val="15"/>
                <w:color w:val="auto"/>
              </w:rPr>
            </w:pPr>
          </w:p>
        </w:tc>
        <w:tc>
          <w:tcPr>
            <w:tcW w:w="1920" w:type="dxa"/>
            <w:vAlign w:val="bottom"/>
            <w:tcBorders>
              <w:right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20" w:type="dxa"/>
            <w:vAlign w:val="bottom"/>
            <w:tcBorders>
              <w:right w:val="single" w:sz="8" w:color="auto"/>
            </w:tcBorders>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line="20" w:lineRule="exact"/>
              <w:rPr>
                <w:sz w:val="1"/>
                <w:szCs w:val="1"/>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tcBorders>
              <w:right w:val="single" w:sz="8" w:color="auto"/>
            </w:tcBorders>
          </w:tcPr>
          <w:p>
            <w:pPr>
              <w:spacing w:after="0"/>
              <w:rPr>
                <w:sz w:val="16"/>
                <w:szCs w:val="16"/>
                <w:color w:val="auto"/>
              </w:rPr>
            </w:pPr>
          </w:p>
        </w:tc>
        <w:tc>
          <w:tcPr>
            <w:tcW w:w="3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Financing Information</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34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units to non-controlling interest in exchange of convertible promissory notes</w:t>
            </w:r>
          </w:p>
        </w:tc>
        <w:tc>
          <w:tcPr>
            <w:tcW w:w="3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0" w:type="dxa"/>
            <w:vAlign w:val="bottom"/>
          </w:tcPr>
          <w:p>
            <w:pPr>
              <w:spacing w:after="0"/>
              <w:rPr>
                <w:sz w:val="1"/>
                <w:szCs w:val="1"/>
                <w:color w:val="auto"/>
              </w:rPr>
            </w:pPr>
          </w:p>
        </w:tc>
      </w:tr>
      <w:tr>
        <w:trPr>
          <w:trHeight w:val="206"/>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 of working capital loans to equity method investee into investments in debt securities - related party</w:t>
            </w:r>
          </w:p>
        </w:tc>
        <w:tc>
          <w:tcPr>
            <w:tcW w:w="3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Extinguishment of debt with Series C Preferred Stock</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Contribution of Series C Preferred Stock to equity method investee</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Conversion of AFX available-for-sale term loan into equity method investments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 as repayment of convertible debt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stock in exchange for services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 of preferred stock into common stock</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Transfer of Series C Preferred Stock from Mezzanine to Stockholders'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Embedded derivative in association with Convertible Debentures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reallocation between non-controlling interest and additional paid-in capital</w:t>
            </w: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25,268</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4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2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 All balance sheet amounts presented are for Successor periods.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further discussed in our 2024 Annual Report, 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Holdco was determined to be the accounting acquirer. Innventure, Inc., and its subsidiaries are the successor to Innventure LLC following the Business Combination.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provided in this Quarterly Report on Form 10-Q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condensed consolidated financial statements include a black line division which indicates that the Predecessor and Successor reporting entities shown are presented on a different basis and are therefore, not comparable.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accounting policies in preparing quarterly and annual financial statements.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(Successor), we identified an error and recorded an immaterial out of period adjustment of $12,448 to correct an overstatement of Additional paid-in capital, an immaterial out of period adjustment of $4,468 to correct understatement of Net loss attributable to Innventure, Inc. stockholders and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immaterial out of period adjustment of $16,915 to correct an understatement of Non-controlling interest. The impact of the adjustments are not material to the condensed consolidated financial statements for any interim or annual periods prior to June 30, 2025 nor the current financial period. The out of period adjustment to Additional paid-in capital is included in the Non-controlling interest issued and related transfers within the condensed consolidated statements of changes in mezzanine and stockholders' equity (deficit) and the adjustment related to Net loss attributable to Innventure, Inc. within Comprehensive loss attributable to Non-redeemable non-controlling interest on the condensed consolidated statements of operations and comprehensive income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reported previously have been reclassified to conform to the current year presentation with no effect on total stockholders' deficit, or net loss as previously reported.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had cash balance of $6,965, a restricted cash balance of $5,000, accumulated deficit of $305,512 and a working capital deficit of $51,188. During the three and six months ended June 30, 2025 (Successor), the Company incurred a net loss of $141,275 and $394,949, respectively. We have experienced recurring losses from operations and negative cash flows from operating activities. In addition, we continue to have an ongoing need to raise significant additional cash from outside sources to sustain our operations and fund our growth plans.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Financial Accounting Standard Board’s (“FASB”) Accounting Standards Update (“ASU”)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$0.0001 par value per share (“Common Stock”). See “Item 1A. Risk Factors – Risks Related to Innventure’s Business</w:t>
      </w:r>
    </w:p>
    <w:p>
      <w:pPr>
        <w:spacing w:after="0" w:line="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There is uncertainty regarding Innventure’s ability to maintain liquidity sufficient to operate its business effectively, which raises substantial doubt about its ability to continue as a going concern.” in our 2024 Annual Report.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17. Business Segment Data.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standard modifies the disclosure or presentation requirements of a variety of topics and aligns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condensed consolidated financial statements. The Company will continue to evaluate the impact of this guidance on its condensed consolidated financial statements.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condensed consolidated financial statements.</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220-40): Disaggregation of Income Statement Expenses </w:t>
      </w:r>
      <w:r>
        <w:rPr>
          <w:rFonts w:ascii="Times New Roman" w:cs="Times New Roman" w:eastAsia="Times New Roman" w:hAnsi="Times New Roman"/>
          <w:sz w:val="17"/>
          <w:szCs w:val="17"/>
          <w:color w:val="auto"/>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condensed consolidated financial statements.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ASU 2025-04, </w:t>
      </w:r>
      <w:r>
        <w:rPr>
          <w:rFonts w:ascii="Times New Roman" w:cs="Times New Roman" w:eastAsia="Times New Roman" w:hAnsi="Times New Roman"/>
          <w:sz w:val="18"/>
          <w:szCs w:val="18"/>
          <w:i w:val="1"/>
          <w:iCs w:val="1"/>
          <w:color w:val="auto"/>
        </w:rPr>
        <w:t>Compensation—Stock Compensation (Topic 718)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Clarifications to Share-Based Consideration Payable to a Customer</w:t>
      </w:r>
      <w:r>
        <w:rPr>
          <w:rFonts w:ascii="Times New Roman" w:cs="Times New Roman" w:eastAsia="Times New Roman" w:hAnsi="Times New Roman"/>
          <w:sz w:val="18"/>
          <w:szCs w:val="18"/>
          <w:color w:val="auto"/>
        </w:rPr>
        <w:t>, which reduces the diversity in practice and improves the decision usefulness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operability of the guidance for share-based consideration payable to a customer in conjunction with selling goods or services. The amendments in this ASU are effective for annual reporting periods (including interim reporting periods within annual reporting periods) beginning after December 15, 2026. Early adoption is permitted. The Company is currently evaluating the impact that the adoption of this accounting standard will have on its condensed consolidated financial statements.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provides a practical expedient for the application of the current expected credit loss (“CECL”) model to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contract assets. The amendments in this ASU are effective for the fiscal years beginning after December 15, 2025, and interim reporting periods within those annual reporting periods. Early adoption is permitted. If elected, the amendments in this ASU should be applied prospectively. The Company is currently evaluating the impact ASU 2025-05 will have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tc>
        <w:tc>
          <w:tcPr>
            <w:tcW w:w="1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189"/>
        </w:trPr>
        <w:tc>
          <w:tcPr>
            <w:tcW w:w="65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237"/>
        </w:trPr>
        <w:tc>
          <w:tcPr>
            <w:tcW w:w="65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5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16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7"/>
        </w:trPr>
        <w:tc>
          <w:tcPr>
            <w:tcW w:w="65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28,734</w:t>
            </w:r>
          </w:p>
        </w:tc>
      </w:tr>
      <w:tr>
        <w:trPr>
          <w:trHeight w:val="20"/>
        </w:trPr>
        <w:tc>
          <w:tcPr>
            <w:tcW w:w="65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Fund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June 30, 2025 and December 31, 2024.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AeroFlexx</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a 37% and 34% equity method investment interest in AeroFlexx as of June 30, 2025 and December 31,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debt securities - Available for Sale (“AFS”)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2024, the Company entered into a loan agreement with AeroFlexx under which the Company will lend up to $10,000 to AeroFlexx.</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loans and any unpaid accrued interest are required to be repaid by the maturity date, which is the earlier of (i) December 31, 2026 or (ii) the date of the sale, transfer or other disposition of all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applicable to such issuance.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lent AeroFlexx the entire $10,000 principal balance under this agreement. As of January 1, 2025, AeroFlexx was unable to raise any additional equity financing; therefore, the outstanding principal and unpaid accrued interest with an amount equal to the equity deficit of $7,250 was automatically converted into Class D preferred units of AeroFlexx at the price of $6.83 per share in accordance with the loan agreement. Upon conversion, a realized gain of $1,507 was recognized for the six months ended June 30, 2025 (Successor) and is included in non-operating income in the condensed consolidated statements of operations and comprehensive income (loss).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(Successor), $371 was drawn down by AeroFlexx under the term loan. During the six months ended June 30, 2025 (Successor), $4,375 was reclassified from Due from related parties under the term loan and $2,708 was drawn down by AeroFlexx under the term loan. The total balance drawn as of June 30, 2025 was $10,000.</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accounted for the loans as an investment in debt securities and classified them as available for sale debt securities. Based on the AFS classification, the Company records this investment at fair value at each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date and as such recorded the changes in fair value of these loans (including the adjustment to fair value at inception date) in Other comprehensive income ("OCI").</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contractual maturity of the loan is December 31, 2026, it is included in the non-current line item Investments of the condensed consolidated balance sheets. The increase of $189 and decrease of $691 in fair value of this investment in debt securities for the three and six months ended June 30, 2025 (Successor), respectively, is included as Unrealized gain (loss) on available for sale debt securities - related party in the condensed consolidated statements of operations and comprehensive income (loss).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Company’s carrying amount and maximum exposure relating to AeroFlexx advances and other receivables were $3,897 and $4,472 as of June 30, 2025 and December 31, 2024, included in Due from related parties on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and liabilities measured at fair value on a recurring basis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48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w:t>
            </w:r>
          </w:p>
        </w:tc>
      </w:tr>
      <w:tr>
        <w:trPr>
          <w:trHeight w:val="27"/>
        </w:trPr>
        <w:tc>
          <w:tcPr>
            <w:tcW w:w="4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WTI Warrant liability</w:t>
            </w:r>
          </w:p>
        </w:tc>
        <w:tc>
          <w:tcPr>
            <w:tcW w:w="480" w:type="dxa"/>
            <w:vAlign w:val="bottom"/>
          </w:tcPr>
          <w:p>
            <w:pPr>
              <w:spacing w:after="0"/>
              <w:rPr>
                <w:sz w:val="21"/>
                <w:szCs w:val="21"/>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w:t>
            </w:r>
          </w:p>
        </w:tc>
      </w:tr>
      <w:tr>
        <w:trPr>
          <w:trHeight w:val="27"/>
        </w:trPr>
        <w:tc>
          <w:tcPr>
            <w:tcW w:w="4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WTI Warrant liability</w:t>
            </w: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480" w:type="dxa"/>
            <w:vAlign w:val="bottom"/>
          </w:tcPr>
          <w:p>
            <w:pPr>
              <w:spacing w:after="0"/>
              <w:rPr>
                <w:sz w:val="21"/>
                <w:szCs w:val="21"/>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r>
      <w:tr>
        <w:trPr>
          <w:trHeight w:val="27"/>
        </w:trPr>
        <w:tc>
          <w:tcPr>
            <w:tcW w:w="4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 - Convertible Debentures</w:t>
            </w:r>
          </w:p>
        </w:tc>
        <w:tc>
          <w:tcPr>
            <w:tcW w:w="4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7"/>
        </w:trPr>
        <w:tc>
          <w:tcPr>
            <w:tcW w:w="43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7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WTI Warrant liability</w:t>
            </w:r>
          </w:p>
        </w:tc>
        <w:tc>
          <w:tcPr>
            <w:tcW w:w="1200" w:type="dxa"/>
            <w:vAlign w:val="bottom"/>
          </w:tcPr>
          <w:p>
            <w:pPr>
              <w:spacing w:after="0"/>
              <w:rPr>
                <w:sz w:val="21"/>
                <w:szCs w:val="21"/>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r>
      <w:tr>
        <w:trPr>
          <w:trHeight w:val="27"/>
        </w:trPr>
        <w:tc>
          <w:tcPr>
            <w:tcW w:w="3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for such assets and liabilities categorized within the Level 3 table set forth may include changes in fair value that are attributable to both observable inputs (Levels 1 and 2) and unobservable inputs (Level 3).</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estimated fair value of Level 3 financial assets and liabilities that are measured on a recurring basis for the six months ended June 30, 2025 (Successor) and the six months ended June 30, 2024 (Predecessor), respectively,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Balance as of January 1, 2024 (Predecessor)</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 w:lineRule="exact"/>
        <w:rPr>
          <w:sz w:val="20"/>
          <w:szCs w:val="20"/>
          <w:color w:val="auto"/>
        </w:rPr>
      </w:pPr>
    </w:p>
    <w:p>
      <w:pPr>
        <w:ind w:left="20" w:right="180"/>
        <w:spacing w:after="0" w:line="234" w:lineRule="auto"/>
        <w:rPr>
          <w:sz w:val="20"/>
          <w:szCs w:val="20"/>
          <w:color w:val="auto"/>
        </w:rPr>
      </w:pPr>
      <w:r>
        <w:rPr>
          <w:rFonts w:ascii="Times New Roman" w:cs="Times New Roman" w:eastAsia="Times New Roman" w:hAnsi="Times New Roman"/>
          <w:sz w:val="18"/>
          <w:szCs w:val="18"/>
          <w:b w:val="1"/>
          <w:bCs w:val="1"/>
          <w:color w:val="auto"/>
        </w:rPr>
        <w:t>Balance as of June 30, 2024 (Predecessor)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20" w:type="dxa"/>
            <w:vAlign w:val="bottom"/>
          </w:tcPr>
          <w:p>
            <w:pPr>
              <w:spacing w:after="0"/>
              <w:rPr>
                <w:sz w:val="17"/>
                <w:szCs w:val="17"/>
                <w:color w:val="auto"/>
              </w:rPr>
            </w:pPr>
          </w:p>
        </w:tc>
        <w:tc>
          <w:tcPr>
            <w:tcW w:w="1980" w:type="dxa"/>
            <w:vAlign w:val="bottom"/>
            <w:gridSpan w:val="2"/>
            <w:vMerge w:val="restart"/>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Investment in</w:t>
            </w: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0" w:type="dxa"/>
            <w:vAlign w:val="bottom"/>
          </w:tcPr>
          <w:p>
            <w:pPr>
              <w:spacing w:after="0"/>
              <w:rPr>
                <w:sz w:val="1"/>
                <w:szCs w:val="1"/>
                <w:color w:val="auto"/>
              </w:rPr>
            </w:pPr>
          </w:p>
        </w:tc>
      </w:tr>
      <w:tr>
        <w:trPr>
          <w:trHeight w:val="176"/>
        </w:trPr>
        <w:tc>
          <w:tcPr>
            <w:tcW w:w="14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derivative liability</w:t>
            </w:r>
          </w:p>
        </w:tc>
        <w:tc>
          <w:tcPr>
            <w:tcW w:w="12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2024 WTI</w:t>
            </w:r>
          </w:p>
        </w:tc>
        <w:tc>
          <w:tcPr>
            <w:tcW w:w="2660" w:type="dxa"/>
            <w:vAlign w:val="bottom"/>
            <w:gridSpan w:val="2"/>
          </w:tcPr>
          <w:p>
            <w:pPr>
              <w:jc w:val="center"/>
              <w:ind w:left="1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derivative liability</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28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 convertible</w:t>
            </w:r>
          </w:p>
        </w:tc>
        <w:tc>
          <w:tcPr>
            <w:tcW w:w="120" w:type="dxa"/>
            <w:vAlign w:val="bottom"/>
          </w:tcPr>
          <w:p>
            <w:pPr>
              <w:spacing w:after="0"/>
              <w:rPr>
                <w:sz w:val="16"/>
                <w:szCs w:val="16"/>
                <w:color w:val="auto"/>
              </w:rPr>
            </w:pPr>
          </w:p>
        </w:tc>
        <w:tc>
          <w:tcPr>
            <w:tcW w:w="1980" w:type="dxa"/>
            <w:vAlign w:val="bottom"/>
            <w:gridSpan w:val="2"/>
          </w:tcPr>
          <w:p>
            <w:pPr>
              <w:jc w:val="center"/>
              <w:ind w:right="6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debt securities -</w:t>
            </w:r>
          </w:p>
        </w:tc>
        <w:tc>
          <w:tcPr>
            <w:tcW w:w="10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3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2025 WTI</w:t>
            </w:r>
          </w:p>
        </w:tc>
        <w:tc>
          <w:tcPr>
            <w:tcW w:w="128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 Convertible</w:t>
            </w:r>
          </w:p>
        </w:tc>
        <w:tc>
          <w:tcPr>
            <w:tcW w:w="0" w:type="dxa"/>
            <w:vAlign w:val="bottom"/>
          </w:tcPr>
          <w:p>
            <w:pPr>
              <w:spacing w:after="0"/>
              <w:rPr>
                <w:sz w:val="1"/>
                <w:szCs w:val="1"/>
                <w:color w:val="auto"/>
              </w:rPr>
            </w:pPr>
          </w:p>
        </w:tc>
      </w:tr>
      <w:tr>
        <w:trPr>
          <w:trHeight w:val="229"/>
        </w:trPr>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AFS</w:t>
            </w:r>
          </w:p>
        </w:tc>
        <w:tc>
          <w:tcPr>
            <w:tcW w:w="49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Earnout liability  Warrant liability  Warrant liability</w:t>
            </w: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Debentures</w:t>
            </w:r>
          </w:p>
        </w:tc>
        <w:tc>
          <w:tcPr>
            <w:tcW w:w="0" w:type="dxa"/>
            <w:vAlign w:val="bottom"/>
          </w:tcPr>
          <w:p>
            <w:pPr>
              <w:spacing w:after="0"/>
              <w:rPr>
                <w:sz w:val="1"/>
                <w:szCs w:val="1"/>
                <w:color w:val="auto"/>
              </w:rPr>
            </w:pPr>
          </w:p>
        </w:tc>
      </w:tr>
      <w:tr>
        <w:trPr>
          <w:trHeight w:val="39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 $</w:t>
            </w:r>
          </w:p>
        </w:tc>
        <w:tc>
          <w:tcPr>
            <w:tcW w:w="13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 $</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9"/>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 $</w:t>
            </w:r>
          </w:p>
        </w:tc>
        <w:tc>
          <w:tcPr>
            <w:tcW w:w="13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 $</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-831215</wp:posOffset>
            </wp:positionV>
            <wp:extent cx="713232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-419100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00" w:space="280"/>
            <w:col w:w="8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5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11,187</w:t>
            </w:r>
          </w:p>
        </w:tc>
        <w:tc>
          <w:tcPr>
            <w:tcW w:w="5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5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17,230</w:t>
            </w: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64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640" w:type="dxa"/>
            <w:vAlign w:val="bottom"/>
          </w:tcPr>
          <w:p>
            <w:pPr>
              <w:spacing w:after="0"/>
              <w:rPr>
                <w:sz w:val="19"/>
                <w:szCs w:val="19"/>
                <w:color w:val="auto"/>
              </w:rPr>
            </w:pPr>
          </w:p>
        </w:tc>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55"/>
        </w:trPr>
        <w:tc>
          <w:tcPr>
            <w:tcW w:w="25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9,017</w:t>
            </w:r>
          </w:p>
        </w:tc>
        <w:tc>
          <w:tcPr>
            <w:tcW w:w="5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4,370</w:t>
            </w:r>
          </w:p>
        </w:tc>
        <w:tc>
          <w:tcPr>
            <w:tcW w:w="5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12,450</w:t>
            </w: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3,400</w:t>
            </w:r>
          </w:p>
        </w:tc>
        <w:tc>
          <w:tcPr>
            <w:tcW w:w="5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1,796</w:t>
            </w:r>
          </w:p>
        </w:tc>
        <w:tc>
          <w:tcPr>
            <w:tcW w:w="0" w:type="dxa"/>
            <w:vAlign w:val="bottom"/>
          </w:tcPr>
          <w:p>
            <w:pPr>
              <w:spacing w:after="0"/>
              <w:rPr>
                <w:sz w:val="1"/>
                <w:szCs w:val="1"/>
                <w:color w:val="auto"/>
              </w:rPr>
            </w:pPr>
          </w:p>
        </w:tc>
      </w:tr>
      <w:tr>
        <w:trPr>
          <w:trHeight w:val="24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64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levels during the three and six months ended June 30, 2025 (Successor) nor for the three and six months ended June 30,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significant unobservable inputs (Level 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Principal Valuation</w:t>
            </w:r>
          </w:p>
        </w:tc>
        <w:tc>
          <w:tcPr>
            <w:tcW w:w="29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260" w:type="dxa"/>
            <w:vAlign w:val="bottom"/>
          </w:tcPr>
          <w:p>
            <w:pPr>
              <w:spacing w:after="0"/>
              <w:rPr>
                <w:sz w:val="17"/>
                <w:szCs w:val="17"/>
                <w:color w:val="auto"/>
              </w:rPr>
            </w:pP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17"/>
                <w:szCs w:val="17"/>
                <w:color w:val="auto"/>
              </w:rPr>
            </w:pPr>
          </w:p>
        </w:tc>
        <w:tc>
          <w:tcPr>
            <w:tcW w:w="1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Techniques</w:t>
            </w:r>
          </w:p>
        </w:tc>
        <w:tc>
          <w:tcPr>
            <w:tcW w:w="29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 debt securities - AFS:</w:t>
            </w:r>
          </w:p>
        </w:tc>
        <w:tc>
          <w:tcPr>
            <w:tcW w:w="2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Black-Scholes model</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Time to liquidity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Discounted Cash Flows</w:t>
            </w:r>
          </w:p>
        </w:tc>
        <w:tc>
          <w:tcPr>
            <w:tcW w:w="2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AeroFlexx yield</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13.31 %</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Earnout Shares:</w:t>
            </w:r>
          </w:p>
        </w:tc>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years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years</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Revenue risk premium</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36.10 %</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Revenue volatility</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176.00 %</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WTI Warrants:</w:t>
            </w:r>
          </w:p>
        </w:tc>
        <w:tc>
          <w:tcPr>
            <w:tcW w:w="2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price volatility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spread</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18.80 %</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WTI Warrants:</w:t>
            </w:r>
          </w:p>
        </w:tc>
        <w:tc>
          <w:tcPr>
            <w:tcW w:w="2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price volatility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spread</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25.60 %</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Embedded derivative liability - Convertible Debentures:</w:t>
            </w:r>
          </w:p>
        </w:tc>
        <w:tc>
          <w:tcPr>
            <w:tcW w:w="2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Discounted Cash Flows</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Debt Yield</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40.60 %</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further discussed and defined in Note 5. Borrowings, the Company issued Convertible Debentures (as defined below) which contain certain features which qualify as embedded derivates requiring bifurcation. The fair value of the embedded derivative liability is determined utilizing a “with and without” method, in which the fair value is calculated as the difference in the fair value of the entire hybrid instrument and the fair value of the instrument excluding the bifurcated derivative features. The initial fair value of the embedded derivative was determined using a discounted cash flow model as of April 14, 2025 and May 15, 2025 which is reflective of the dates of the Convertible Debenture issuances. The model uses a significant assumption of a debt yield of 44.5% for the April 14, 2025 issuance and 42.6% for the May 15, 2025 issuance.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discussed in Note 3. Investments, outstanding principal and accrued interest of $7,250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fair value of the 2025 WTI Warrants (as defined and further described below) was determined using a Monte Carlo valuation model in which the future stock price is simulated assuming a Geometric Brownian Motion in a risk-neutral framework. The model utilizes significant assumptions including stock price, stock price volatility and credit spread. Specifically, the initial valuation as of the April 14, 2025 issuance date considered a stock price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$3.65, stock price volatility of 57.00%, and credit spread of 27.70%. The credit spread relates to estimated counterparty credit risk of Innventure being able to make payments related to the WTI Lenders’ put right, in which the WTI Lenders may exchange the 2025 WTI Warrants for a total cash payment of $3,000 after the 10-year anniversary of issuance. The risk-free interest rate was determined by reference to the U.S. Treasury yield curve.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the Earnout Shares (as defined below), 2024 WTI Warrants (as defined below), and 2025 WTI Warrants, refer to Note 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and Note 10. Warrants.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Borrowings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Pr>
          <w:p>
            <w:pPr>
              <w:spacing w:after="0"/>
              <w:rPr>
                <w:sz w:val="24"/>
                <w:szCs w:val="24"/>
                <w:color w:val="auto"/>
              </w:rPr>
            </w:pPr>
          </w:p>
        </w:tc>
      </w:tr>
      <w:tr>
        <w:trPr>
          <w:trHeight w:val="238"/>
        </w:trPr>
        <w:tc>
          <w:tcPr>
            <w:tcW w:w="4080" w:type="dxa"/>
            <w:vAlign w:val="bottom"/>
          </w:tcPr>
          <w:p>
            <w:pPr>
              <w:spacing w:after="0"/>
              <w:rPr>
                <w:sz w:val="20"/>
                <w:szCs w:val="20"/>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2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Rates</w:t>
            </w:r>
          </w:p>
        </w:tc>
      </w:tr>
      <w:tr>
        <w:trPr>
          <w:trHeight w:val="27"/>
        </w:trPr>
        <w:tc>
          <w:tcPr>
            <w:tcW w:w="4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2025 - 2026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 - 15%</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w:t>
            </w: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 - 15.99%</w:t>
            </w:r>
          </w:p>
        </w:tc>
      </w:tr>
      <w:tr>
        <w:trPr>
          <w:trHeight w:val="27"/>
        </w:trPr>
        <w:tc>
          <w:tcPr>
            <w:tcW w:w="4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debentures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28,172</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convertible notes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3"/>
                <w:szCs w:val="23"/>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convertible 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2025 - 2026</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3.94% - 15%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WTI Facility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w:t>
            </w:r>
          </w:p>
        </w:tc>
      </w:tr>
      <w:tr>
        <w:trPr>
          <w:trHeight w:val="27"/>
        </w:trPr>
        <w:tc>
          <w:tcPr>
            <w:tcW w:w="4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55,050</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34,725</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44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convertible notes</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(27,502)</w:t>
            </w: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40" w:type="dxa"/>
            <w:vAlign w:val="bottom"/>
            <w:tcBorders>
              <w:bottom w:val="single" w:sz="8" w:color="CCEEFF"/>
            </w:tcBorders>
            <w:shd w:val="clear" w:color="auto" w:fill="CCEEFF"/>
          </w:tcPr>
          <w:p>
            <w:pPr>
              <w:spacing w:after="0"/>
              <w:rPr>
                <w:sz w:val="23"/>
                <w:szCs w:val="23"/>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1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16,755</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13,654</w:t>
            </w:r>
          </w:p>
        </w:tc>
        <w:tc>
          <w:tcPr>
            <w:tcW w:w="14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notes payable, excluding debt issuance costs, mature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8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6 months)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29,234</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55,050</w:t>
            </w:r>
          </w:p>
        </w:tc>
      </w:tr>
      <w:tr>
        <w:trPr>
          <w:trHeight w:val="20"/>
        </w:trPr>
        <w:tc>
          <w:tcPr>
            <w:tcW w:w="9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1 Promissory Notes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the Company authorized the issuance and sale of unsecured promissory notes to investors up to $35,000 (the “Series 1 promissory notes”).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on Series 1 promissory notes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right="60"/>
        <w:spacing w:after="0" w:line="281" w:lineRule="auto"/>
        <w:rPr>
          <w:sz w:val="20"/>
          <w:szCs w:val="20"/>
          <w:color w:val="auto"/>
        </w:rPr>
      </w:pPr>
      <w:r>
        <w:rPr>
          <w:rFonts w:ascii="Times New Roman" w:cs="Times New Roman" w:eastAsia="Times New Roman" w:hAnsi="Times New Roman"/>
          <w:sz w:val="18"/>
          <w:szCs w:val="18"/>
          <w:color w:val="auto"/>
        </w:rPr>
        <w:t>Principal amount of 1st extension promissory notes</w:t>
      </w:r>
    </w:p>
    <w:p>
      <w:pPr>
        <w:spacing w:after="0" w:line="1"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Principal amount of 2nd extension promissory notes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304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5"/>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1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4"/>
        </w:trPr>
        <w:tc>
          <w:tcPr>
            <w:tcW w:w="10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7"/>
        </w:trPr>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6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48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-616585</wp:posOffset>
            </wp:positionV>
            <wp:extent cx="71323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3360" w:space="100"/>
            <w:col w:w="7780"/>
          </w:cols>
          <w:pgMar w:left="320" w:top="121" w:right="3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Series 1 promissory notes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04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6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14"/>
        </w:trPr>
        <w:tc>
          <w:tcPr>
            <w:tcW w:w="4520" w:type="dxa"/>
            <w:vAlign w:val="bottom"/>
          </w:tcPr>
          <w:p>
            <w:pPr>
              <w:spacing w:after="0"/>
              <w:rPr>
                <w:sz w:val="18"/>
                <w:szCs w:val="18"/>
                <w:color w:val="auto"/>
              </w:rPr>
            </w:pPr>
          </w:p>
        </w:tc>
        <w:tc>
          <w:tcPr>
            <w:tcW w:w="13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260" w:type="dxa"/>
            <w:vAlign w:val="bottom"/>
          </w:tcPr>
          <w:p>
            <w:pPr>
              <w:spacing w:after="0"/>
              <w:rPr>
                <w:sz w:val="18"/>
                <w:szCs w:val="18"/>
                <w:color w:val="auto"/>
              </w:rPr>
            </w:pPr>
          </w:p>
        </w:tc>
      </w:tr>
      <w:tr>
        <w:trPr>
          <w:trHeight w:val="238"/>
        </w:trPr>
        <w:tc>
          <w:tcPr>
            <w:tcW w:w="4520" w:type="dxa"/>
            <w:vAlign w:val="bottom"/>
          </w:tcPr>
          <w:p>
            <w:pPr>
              <w:spacing w:after="0"/>
              <w:rPr>
                <w:sz w:val="20"/>
                <w:szCs w:val="20"/>
                <w:color w:val="auto"/>
              </w:rPr>
            </w:pPr>
          </w:p>
        </w:tc>
        <w:tc>
          <w:tcPr>
            <w:tcW w:w="13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99</w:t>
            </w:r>
          </w:p>
        </w:tc>
      </w:tr>
      <w:tr>
        <w:trPr>
          <w:trHeight w:val="27"/>
        </w:trPr>
        <w:tc>
          <w:tcPr>
            <w:tcW w:w="45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 the amended note with the second party, the maturity date was extended to January 31, 2025 and the interest rate was increased to 13.50% per annum. Additionally, $1,000 of the principal amount became due on or around the amendment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related party notes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interest expense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or per share data)</w:t>
      </w:r>
    </w:p>
    <w:p>
      <w:pPr>
        <w:spacing w:after="0" w:line="200" w:lineRule="exact"/>
        <w:rPr>
          <w:sz w:val="20"/>
          <w:szCs w:val="20"/>
          <w:color w:val="auto"/>
        </w:rPr>
      </w:pPr>
    </w:p>
    <w:p>
      <w:pPr>
        <w:spacing w:after="0" w:line="36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4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4"/>
        </w:trPr>
        <w:tc>
          <w:tcPr>
            <w:tcW w:w="13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8"/>
        </w:trPr>
        <w:tc>
          <w:tcPr>
            <w:tcW w:w="13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7"/>
        </w:trPr>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-179070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720"/>
            <w:col w:w="7860"/>
          </w:cols>
          <w:pgMar w:left="320" w:top="121" w:right="339" w:bottom="1440" w:gutter="0" w:footer="0" w:header="0"/>
        </w:sectPr>
      </w:pP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related party notes above, the Company also had a related party note for $1,000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$1,000 and a loan fee equal to approximately $63.</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2025, in connection with the issuance of Series C Preferred Stock (as defined below), the Company extinguished the outstanding amount of related party notes. The Company recognized a loss of $— and $3,538 in Loss on extinguishment of related party debt on the condensed consolidated statements of operations and comprehensive income (loss) for the three and six months ended June 30, 2025 (Successor),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22, 2024, the Company entered into a term loan with WTI Fund X, Inc. and WTI Fund XI, Inc., (collectively, “WTI Lenders”). The terms of the loan provides for a term loan facility in the aggregate principal amount of up to $50,000 (the "WTI Facility"). The total aggregate principal was available in three separate tranches subject to the Company meeting certain conditions. The Company received $20,000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three and six months ended June 30, 2025 (Successor) was 13.50%.</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WTI Facility, the Company issued the 2024 WTI Warrants to the WTI Lenders (as further defined and described in Note 10. Warrants). The Company accounted for each of the 2024 WTI Warrants as detachable warrants at their fair value. The fair value of the 2024 WTI Warrants was recorded as a liability and as a discount to the WTI Facility on the condensed consolidated balance sheets. The Company is amortizing the discount over the term of the WTI Facility using the straight-line method.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21, 2025, in connection with the issuance of the first tranche of Convertible Debentures (as further described below) to Yorkville, the Company and Innventure LLC entered into a consent (the “Consent”) with WTI Fund X, LLC and WTI Fund XI, LLC (the “WTI Holders”) and the WTI Lenders, modifying the WTI Facility. Specifically, under the Consent, the Company and the WTI Lenders and WTI Holders agreed (i) that from and after the date that the Company receives the initial proceeds from the Convertible Debentures and until such time as such obligations have been paid in full, the Company must maintain at least $5,000 of cash on deposit; (ii) that effective on the date that the Company receives the initial proceeds from the Convertible Debentures, the 2025 WTI Warrants will become payable to the WTI Lenders and their affiliates; and (iii) to certain additional consent provisions. Such provisions from the Consent became effective on April 14, 2025 when the Company received proceeds from the Convertible Debentures. The modification of the WTI Facility was accounted for as an extinguishment of debt though the WTI Facility remains outstanding, resulting in a loss on extinguishment of $3,462 recorded on the condensed consolidated statements of operations and comprehensive income (loss) for the three and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ended June 30, 2025 (Successor). The legal requirement to maintain at least $5,000 of cash on deposit is presented as Restricted cash on the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this facility was as follows: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4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12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4"/>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8"/>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7"/>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 and</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25, 2025, the Company entered into a securities purchase agreement (“Securities Purchase Agreement”) with Yorkville related to the issuance and sale of convertible debentures (“Convertible Debentures”) with an aggregate principal amount of up to $30,000. These Convertible Debentures are convertible into shares of Common Stock (as converted, the “Conversion Shares”). The Convertible Debentures contain certain features which qualify as embedded derivatives requiring bifurcation. Therefore, the bifurcated features are accounted for separately as a compound embedded derivative and included within Embedded derivative liability on the condensed consolidated balance sheets. The host contract, which represents the Convertible Debentures excluding the embedded derivative liability is included in Notes payable - current on the condensed consolidated balance sheets. The Company issued the aggregate principal amount of Convertible Debentures in two tranches tied to separate reporting and filing requirements.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14, 2025, the Company issued the first tranche of the Convertible Debentures with a principal amount of $20,000 in accordance with the Securities Purchase Agreement. The first tranche resulted in gross proceeds to the Company of approximately $18,000, representing an original issue discount of 10% and is scheduled to be repaid in twelve monthly payments with a 5% payment premium due to the lender with each payment. Also on April 14, 2025, the Company issued two warrants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For further information on the 2025 WTI Warrants, refer to Note 10. Warrants.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2025, the Company issued the second tranche of Convertible Debentures with a principal amount of $10,000 in accordance with the Securities Purchase Agreement. The second tranche resulted in gross proceeds to the Company of approximately $9,000, representing an original issue discount of 10% and is scheduled to be repaid in eleven monthly payments with a 5% payment premium due to the lender with each payment. There is no contractual interest associated with amounts outstanding for the Convertible Debentures for the three and six months ended June 30, 2025 (Successor).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2025, the Company entered into an amendment to the Securities Purchase Agreement. The amendment changed the share conversion price to the lessor of: a) $10.00 per share of Common Stock, subject to downward assessment on two reset dates (October 14, 2025, and January 14, 2026) or b) the greater of (i) the average volume-weighted average price (“VWAP”) for the ten trading days prior to the two reset dates and (ii) $2.00, subject to adjustments for stock splits or combinations.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(Successor), the Company issued 473,825 shares of its Common Stock pursuant to the SEPA in payment of $2,335 of principal and $117 of payment premium of the Convertible Debentures. For further information on this conversion, see Note 11. Stockholders' Equity.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three and six months ended June 30, 2025 (Successor), the Company made cash payments toward the outstanding loan balance totaling $834 of principal and $42 of payment premium.</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this facility was as follows: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4"/>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Pr>
          <w:p>
            <w:pPr>
              <w:spacing w:after="0"/>
              <w:rPr>
                <w:sz w:val="18"/>
                <w:szCs w:val="18"/>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8"/>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(Predecessor)</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7"/>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Accelsius entered into unsecured convertible notes with various other parties (the “Term Convertible Notes”) for a total principal amount of $7,750. As of June 30, 2025, $2,750 of agreements were executed and $2,450 of proceeds had been received. The Term Convertible Notes have a stated maturity date of December 31, 2026 and bear interest at the annual applicable federal rate published by the Internal Revenue Service.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lenders will not demand payment related to this Term Convertible Notes, unless they convert the debt into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expense on the Term Convertible Notes was $1 for the three and six months ended June 30, 2025 (Successor).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Convertible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26, 2025, Accelsius entered into an unsecured Convertible Promissory Note (“CPN”) with a related party lender. The maximum principal amount under the CPN is $3,000, issuable in three equal draws, upon the request of Accelsius and subject to the related party’s sole discretion. Accelsius received the first draw amounting to $1,000 on June 27, 2025. The CPN has a stated interest rate of 15% and Accelsius is required to pay a loan fee (“Loan Fee”) of $35 upon maturity, repayment or conversion of this note.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CPN is convertible at the option of the related party lender for all amounts due under the Convertible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CPN has a maturity date of December 31, 2025; is subordinated to the WTI Facility and the Convertible Debentures; and each of the WTI Lenders and Yorkville have been granted certain rights under the CPN. The CPN related party lender will not demand payment of this note, for so long as any portion of the WTI Facility or Convertible Debentures remains outstanding. Furthermore, pursuant to a Side Letter, dated June 26, 2025, by and among the Company, Innventure LLC, Accelsius and the related party, until such time as the CPN is either repaid in full or converted into equity of Accelsius, the Company will not seek repayment of any portion of that certain Loan and Security Agreement between Innventure LLC and Accelsius, dated as of March 30, 2023 (subject to certain exceptions).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Accelsius also entered into unsecured convertible notes (“Related Party Term Convertible Notes”, together with the CPN, the “Related Party Convertible Notes”) with certain investors deemed to be Related Parties (as defined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Company’s Related Party Transactions Policy) for a total principal amount of $4,250. Proceeds of $3,000 from the Related Party Term Convertible Notes were received as of June 30, 2025. The Related Party Term Convertible Notes have a stated maturity date of December 31, 2026 and bear interest at the annual applicable federal rate published by the Internal Revenue Service.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Related Party Term Convertible Notes, which are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interest expense on Related Party Convertible Notes, including the amortization of the loan fee, was $3 for the three and six months ended June 30, 2025 (Successor).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Inventories, net</w:t>
            </w:r>
          </w:p>
        </w:tc>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9"/>
        </w:trPr>
        <w:tc>
          <w:tcPr>
            <w:tcW w:w="6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16"/>
                <w:szCs w:val="16"/>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40" w:type="dxa"/>
            <w:vAlign w:val="bottom"/>
            <w:gridSpan w:val="2"/>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840" w:type="dxa"/>
            <w:vAlign w:val="bottom"/>
            <w:tcBorders>
              <w:bottom w:val="single" w:sz="8" w:color="auto"/>
            </w:tcBorders>
            <w:gridSpan w:val="2"/>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r>
      <w:tr>
        <w:trPr>
          <w:trHeight w:val="46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9"/>
        </w:trPr>
        <w:tc>
          <w:tcPr>
            <w:tcW w:w="6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16"/>
                <w:szCs w:val="16"/>
                <w:color w:val="auto"/>
              </w:rPr>
            </w:pPr>
          </w:p>
        </w:tc>
      </w:tr>
      <w:tr>
        <w:trPr>
          <w:trHeight w:val="236"/>
        </w:trPr>
        <w:tc>
          <w:tcPr>
            <w:tcW w:w="6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40" w:type="dxa"/>
            <w:vAlign w:val="bottom"/>
            <w:tcBorders>
              <w:bottom w:val="single" w:sz="8" w:color="CCEEFF"/>
            </w:tcBorders>
            <w:gridSpan w:val="2"/>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6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6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840" w:type="dxa"/>
            <w:vAlign w:val="bottom"/>
            <w:tcBorders>
              <w:bottom w:val="single" w:sz="8" w:color="CCEEFF"/>
            </w:tcBorders>
            <w:gridSpan w:val="2"/>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r>
      <w:tr>
        <w:trPr>
          <w:trHeight w:val="46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tc>
        <w:tc>
          <w:tcPr>
            <w:tcW w:w="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37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9"/>
        </w:trPr>
        <w:tc>
          <w:tcPr>
            <w:tcW w:w="6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667,936</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(346,557)</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323,463</w:t>
            </w: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three and six months ended June 30, 2025 (Successor), the Company recorded $113,344 and $346,557 non-deductible, non-cash goodwill impairment charges, respectively, within the condensed consolidated statements of operations and comprehensive income (loss) due to sustained decreases in the Company’s publicly quoted share price and market capitalization, which were, at least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sensitive to the general downward volatility experienced in the stock market in late February 2025 through April 2025. The Company’s stock price had not yet recovered as of June 30,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June 30, 2025 and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 These fair values are Level 3 assets in the fair value hierarchy.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center"/>
              <w:ind w:right="353"/>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0" w:type="dxa"/>
            <w:vAlign w:val="bottom"/>
          </w:tcPr>
          <w:p>
            <w:pPr>
              <w:spacing w:after="0"/>
              <w:rPr>
                <w:sz w:val="13"/>
                <w:szCs w:val="13"/>
                <w:color w:val="auto"/>
              </w:rPr>
            </w:pPr>
          </w:p>
        </w:tc>
        <w:tc>
          <w:tcPr>
            <w:tcW w:w="84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5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4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7"/>
                <w:szCs w:val="7"/>
                <w:color w:val="auto"/>
              </w:rPr>
            </w:pPr>
          </w:p>
        </w:tc>
        <w:tc>
          <w:tcPr>
            <w:tcW w:w="112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2"/>
            <w:vMerge w:val="restart"/>
          </w:tcPr>
          <w:p>
            <w:pPr>
              <w:jc w:val="right"/>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4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Period Remaining</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7"/>
                <w:szCs w:val="7"/>
                <w:color w:val="auto"/>
              </w:rPr>
            </w:pPr>
          </w:p>
        </w:tc>
        <w:tc>
          <w:tcPr>
            <w:tcW w:w="112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7"/>
                <w:szCs w:val="7"/>
                <w:color w:val="auto"/>
              </w:rPr>
            </w:pPr>
          </w:p>
        </w:tc>
        <w:tc>
          <w:tcPr>
            <w:tcW w:w="940" w:type="dxa"/>
            <w:vAlign w:val="bottom"/>
            <w:vMerge w:val="restart"/>
          </w:tcPr>
          <w:p>
            <w:pPr>
              <w:jc w:val="right"/>
              <w:ind w:right="192"/>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520" w:type="dxa"/>
            <w:vAlign w:val="bottom"/>
            <w:tcBorders>
              <w:bottom w:val="single" w:sz="8" w:color="CCEEFF"/>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0" w:type="dxa"/>
            <w:vAlign w:val="bottom"/>
          </w:tcPr>
          <w:p>
            <w:pPr>
              <w:spacing w:after="0"/>
              <w:rPr>
                <w:sz w:val="1"/>
                <w:szCs w:val="1"/>
                <w:color w:val="auto"/>
              </w:rPr>
            </w:pPr>
          </w:p>
        </w:tc>
      </w:tr>
      <w:tr>
        <w:trPr>
          <w:trHeight w:val="27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160,382</w:t>
            </w:r>
          </w:p>
        </w:tc>
        <w:tc>
          <w:tcPr>
            <w:tcW w:w="0" w:type="dxa"/>
            <w:vAlign w:val="bottom"/>
          </w:tcPr>
          <w:p>
            <w:pPr>
              <w:spacing w:after="0"/>
              <w:rPr>
                <w:sz w:val="1"/>
                <w:szCs w:val="1"/>
                <w:color w:val="auto"/>
              </w:rPr>
            </w:pPr>
          </w:p>
        </w:tc>
      </w:tr>
      <w:tr>
        <w:trPr>
          <w:trHeight w:val="22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finite-lived intangible</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171,345</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182,153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of $5,405 and $10,808 was recognized for the three and six months ended June 30, 2025 (Successor), respectively, and is recorded within Cost of sales, General and administrative and Research and development on the condensed consolidated statements of operations and comprehensive income (loss).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is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64"/>
        </w:trPr>
        <w:tc>
          <w:tcPr>
            <w:tcW w:w="9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1"/>
        </w:trPr>
        <w:tc>
          <w:tcPr>
            <w:tcW w:w="9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first six months of fiscal year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78,761</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171,345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Earnout Shares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further discussed in our 2024 Annual Report, upon Closing of the Business Combination, 5,000,000 “Company Earnout Shares” were contingently issuable and 344,828 “Sponsor Earnout Shares” were issued subject to clawback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provisions. The Company Earnout Shares and the Sponsor Earnout Shares are collectively referred to as the “Earnout Shares” and are subject to certain vesting provisions.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were not effective on the Company Earnout Shares until 6 months following the Business Combination.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8, 2025, the Company’s Board of Directors formally recognized the creation of the Refinity subsidiary, thereby meeting the milestone two conditions for the Company Earnout Shares. As such, 2,000,000 shares of Common Stock were issued on February 4, 2025 as a result of the satisfaction of the milestone.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Earnout Shares related to milestone three are liability classified and were fair valued at $4,370 and $14,752 as of June 30, 2025 and December 31, 2024, respectively. The Company recognized a gain of $3,100 and $9,509 in Change in fair value of financial liabilities on the condensed consolidated statements of operations and comprehensive income (loss) for the three and six months ended June 30, 2025 (Successor),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Warrants</w:t>
            </w:r>
          </w:p>
        </w:tc>
        <w:tc>
          <w:tcPr>
            <w:tcW w:w="1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23"/>
        </w:trPr>
        <w:tc>
          <w:tcPr>
            <w:tcW w:w="50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Public</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Private</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2024</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2025</w:t>
            </w:r>
          </w:p>
        </w:tc>
      </w:tr>
      <w:tr>
        <w:trPr>
          <w:trHeight w:val="238"/>
        </w:trPr>
        <w:tc>
          <w:tcPr>
            <w:tcW w:w="50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WTI Warrants</w:t>
            </w: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WTI Warrants</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 (Successor)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11,240,688</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7,146,000</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2025 (Successor)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11,240,688</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7,146,000</w:t>
            </w: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warrants outstanding during the three and six months ended June 30, 2024 (Predecessor).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equity-classified public warrants expire on October 2, 2029 or earlier upon redemption or liquidation and are exercisable for $11.50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As of June 30, 2025 (Successor) and December 31, 2024 (Predecessor), the fair value of the private placement warrants is $7,146 and $16,793, respectively, and is presented as a current liability in the condensed consolidated balance sheets. For the three and six months ended June 30, 2025 (Successor), the Company recognized a gain of $3,507 and $9,647, respectively, in Change in fair value of financial liabilities on the condensed consolidated statements of operations and comprehensive income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22, 2024, in connection with the WTI Facility, the Company issued warrants (the "2024 WTI Warrants") to the WTI Lenders. The 2024 WTI Warrants are considered freestanding financial instruments and are recorded at fair value on the condensed consolidated balance sheets as a warrant liability in the amount of $12,450 and $17,230 as of June 30, 2025 (Successor) and December 31, 2024 (Predecessor), respectively. For the three and six months ended June 30, 2025 (Successor), the Company recognized a gain of $900 and $4,780, respectively, in change in fair value of financial liabilities on the condensed consolidated statements of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(loss). The 2024 WTI Warrants expire on March 31, 2035. See Note 4. Fair Value for details on the valuation.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with additional customary rights and protections. The 2025 WTI Warrants were issued to the WTI Holders in conjunction with the first issuance of the Convertible Debentures. The 2025 WTI Warrants serve as consideration for certain provisions under the Consent. The Company recognized the related warrant liability at fair value at an amount of $3,090 at the time of issuance. The 2025 WTI Warrants are recorded at fair value on the condensed consolidated balance sheets in the amount of $3,400 as of June 30, 2025 (Successor). For the three and six months ended June 30, 2025 (Successor), the Company recognized a loss of $310, in the change in fair value of financial liabilities on the condensed consolidated statements of operations and comprehensive income (loss). The 2025 WTI Warrants expire on March 31, 2035. See Note 4. Fair Value for details on the valuation.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periods prior to the Business Combination on October 2, 2024, the Predecessor had Class B Preferred Units, Class B-1 Preferred Units, Class A Units and Class C Units issued and outstanding. In connection with the Business Combination, the Successor acquired all membership interests that were in existence for the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25,000,000 shares of preferred stock with a par value of $0.0001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3,000,000 shares of the authorized preferred stock are designated as Series B preferred stock, $0.0001 par value per share (“Series B Preferred Stock”).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of Series B Preferred Stock, to December 31, 2024, as a payment in kind at the specified rate. During the three and six months ended June 30, 2025 (Successor), the holders of Series B Preferred Stock exercised their conversion right and converted 1,085,664 shares of Series B Preferred Stock for 2,164,673 shares of Common Stock. Upon conversion, all the converted Series B Preferred Stock shares were canceled and retired.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the Company had a total of 33,144 shares of Series B Preferred Stock issued and outstanding as of June 30, 2025. As of June 30, 2025, the Company accrued $20 for the 8% dividend in the Obligation to issue equity on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5,000,000 shares of the authorized preferred stock are designated as series C preferred stock, $0.0001 par value per share (the “Series C Preferred Stock”). On March 24, 2025, Innventure issued 2,885,848 shares of Series C Preferred Stock at the original issue price for a total amount of $28,858. The consideration received by the Company was in the form of cash, services rendered and the cancellation of related party debt. During the three and six months ended June 30, 2025 (Successor), the holders of Series C Preferred Stock exercised their conversion right and converted 2,735,848 shares of Series C Preferred Stock for 5,471,696 shares of Common Stock. Upon conversion, all the converted Series C Preferred Stock shares were canceled and retired.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Series C Preferred Stock is subject to similar terms and conditions as the Series B Preferred Stock. The Company had a total of 150,000 shares of Series C Preferred Stock issued and outstanding as of June 30, 2025.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ind w:right="860"/>
        <w:spacing w:after="0" w:line="438" w:lineRule="auto"/>
        <w:rPr>
          <w:sz w:val="20"/>
          <w:szCs w:val="20"/>
          <w:color w:val="auto"/>
        </w:rPr>
      </w:pPr>
      <w:r>
        <w:rPr>
          <w:rFonts w:ascii="Times New Roman" w:cs="Times New Roman" w:eastAsia="Times New Roman" w:hAnsi="Times New Roman"/>
          <w:sz w:val="18"/>
          <w:szCs w:val="18"/>
          <w:color w:val="auto"/>
        </w:rPr>
        <w:t xml:space="preserve">of June 30, 2025, the Company accrued $32 for the 8% dividend in the Obligation to issue equity on the condensed consolidated balance sheets. </w:t>
      </w:r>
      <w:r>
        <w:rPr>
          <w:rFonts w:ascii="Times New Roman" w:cs="Times New Roman" w:eastAsia="Times New Roman" w:hAnsi="Times New Roman"/>
          <w:sz w:val="18"/>
          <w:szCs w:val="18"/>
          <w:b w:val="1"/>
          <w:bCs w:val="1"/>
          <w:i w:val="1"/>
          <w:iCs w:val="1"/>
          <w:color w:val="auto"/>
        </w:rPr>
        <w:t>Common Stock</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250,000,000 shares of Common Stock with a par value of $0.0001 per share. Holders of the Company’s Common Stock are entitled to one vote for each share. As of June 30, 2025 there were 55,221,494 shares of Common Stock issued and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This agreement became effective concurrently with the Business Combination.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 share, at the Company’s request any time during the commitment period commencing on the Closing and continuing for a term of 3 years.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SEPA, the Company issued 473,825 shares of Common Stock to the investors as repayments under the Convertible Debentures referenced in Note 5. Borrowings during the three and six months ended June 30, 2025 (Successor).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(Successor), in addition to the Common Stock issuances pursuant to the SEPA made in repayment towards the Convertible Debentures noted above, the Company sold nil and 73,993 shares of Common Stock under the SEPA, raising $— and $931 in cash proceeds, respectively, which is classified within Issuance of common shares, net of issuance costs in the condensed consolidated statements of changes in mezzanine and stockholders' equity (deficit). As of June 30, 2025, the maximum remaining availability under the SEPA is approximately $70,000.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Shares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VWAP of the Common Stock over the five consecutive trading days ending on the trading day immediately preceding November 15, 2024, $11.13, for a total of 44,919 shares. On February 3, 2025, the Company has issued the aggregate 85,471 shares of Common Stock for services rendered.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an agreement to receive financial advisory services in exchange for equity. Upon Closing of the Business Combination, the Company was obligated to pay a success fee in cash in an amount of $600 and equity success fee in $3,000 of Series C Preferred Stock at $10.00 per share. On March 24, 2025, the Company issued the 300,000 shares of Series C Preferred Stock for services rendered.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and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25, 2025, the Company issued 111,525 restricted stock units (“RSUs”) to five directors pursuant to the Innventure Non-Management Director Compensation Plan . The RSUs had a grant date fair value of $600 based on a fair value per unit of $5.38. The fair value of RSUs is determined based on the closing market price of the Company’s Common Stock at the date of the grant.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(Successor), the Company recognized compensation costs related to the RSUs of $6,979 and $10,895, respectively, in the condensed consolidated statements of operations and comprehensive income (loss). As of June 30, 2025, the Company had $12,946 in stock-based compensation expense remaining to be recognized over approximately 1.4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issued 140,000 stock options to two independent contractors. The stock options were granted with an exercise price of $8.84. Using the Black-Scholes option pricing model, the estimated grant date fair value of stock options was $4.97 per option based on an expected volatility of 56%, an expected option term of approximately 5.9 years, and risk-free rate of return of 4.06%. The stock options have a maximum contractual life of 10 years from the grant date.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(Successor), the Company recognized compensation costs related to the stock options of $1,515 and $2,541, respectively, in the condensed consolidated statements of operations and comprehensive income (loss). As of June 30, 2025, the Company had $4,217 in compensation expense remaining to be recognized over approximately 1.6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as of June 30, 2025 using the Black-Scholes option-pricing model based on an expected volatility of 80%, an expected term of approximately 1.5 years, and risk-free rate of return of 4%. The Company recognized a decrease in compensation expense in the amount of $244 and $693 in relation to the change in fair value of the cash-settled SARs for the three and six months ended June 30, 2025 (Successor),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25, 2025, the SARs agreements were amended. Under these amendments, any payments by the Company to the participants shall be made in the form of shares of Common Stock and the maximum number of shares of Common Stock that may be issued pursuant to the SAR Agreements shall be 4,000,000.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Equity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Accelsius Subsidiary Equity Plan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(Successor), there were 133,000 Class C units granted under the Accelsius Subsidiary Equity Plan, with a grant date fair value per share of $20.75. During the three and six months ended June 30, 2024 (Predecessor), there were nil and 110,000 Class C units granted, respectively, with a grant date fair value per unit of $— and $4.41, respectively.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Accelsius Subsidiary Equity Plan of $912 and $1,810 for the three and six months ended June 30, 2025 (Successor) and $248 and $593 for the three and six months ended June 30, 2024 (Predecessor), respectively, in the condensed consolidated statements of operations and comprehensive income (loss). As of June 30, 2025, the Company had $8,457 in unit-based compensation expense remaining to be recognized over approximately 2.21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(Successor), the Company recognized income tax benefits of $2,220 and $3,619, respectively. During the three and six months ended June 30, 2024 (Predecessor), no income tax provision or expense was recorded.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for the three and six months ended June 30, 2025 (Successor) was a benefit of 1.58% and 0.92%, respectively, driven primarily by the impact of the goodwill impairment, which is not deductible for tax purposes.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2024 WTI Warrants and 2025 WTI Warrants, which are determined to be participating securities, do not have a contractual obligation to fund losses, undistributed net losses are not allocated to them for purposes of the loss per share calculation.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 Presented in the table below is a reconciliation of the numerator and denominator for the EPS calculations for the three and six months ended June 30, 2025 (Successor):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7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0"/>
                <w:szCs w:val="20"/>
                <w:color w:val="auto"/>
              </w:rPr>
            </w:pP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r>
      <w:tr>
        <w:trPr>
          <w:trHeight w:val="27"/>
        </w:trPr>
        <w:tc>
          <w:tcPr>
            <w:tcW w:w="7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7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Innventure, Inc.,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(227,224)</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Cumulative earnings to participating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7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loss for participating securities</w:t>
            </w:r>
          </w:p>
        </w:tc>
        <w:tc>
          <w:tcPr>
            <w:tcW w:w="5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(84,264)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(227,266)</w:t>
            </w: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loss attributable to participating securities</w:t>
            </w:r>
          </w:p>
        </w:tc>
        <w:tc>
          <w:tcPr>
            <w:tcW w:w="5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 basic and diluted</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(84,264)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(227,266)</w:t>
            </w:r>
          </w:p>
        </w:tc>
      </w:tr>
      <w:tr>
        <w:trPr>
          <w:trHeight w:val="27"/>
        </w:trPr>
        <w:tc>
          <w:tcPr>
            <w:tcW w:w="7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units outstanding, basic and diluted</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52,546,491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49,417,092</w:t>
            </w:r>
          </w:p>
        </w:tc>
      </w:tr>
      <w:tr>
        <w:trPr>
          <w:trHeight w:val="23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basic and diluted</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r>
      <w:tr>
        <w:trPr>
          <w:trHeight w:val="27"/>
        </w:trPr>
        <w:tc>
          <w:tcPr>
            <w:tcW w:w="75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was the same for each period presented as the inclusion of all potential Common Stock outstanding would have been anti-dilutive.</w:t>
      </w:r>
    </w:p>
    <w:p>
      <w:pPr>
        <w:spacing w:after="0" w:line="10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potential Common Stock outstanding that was excluded from the computation of diluted net loss per share of Common Stock for the periods presented because including them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75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7"/>
        </w:trPr>
        <w:tc>
          <w:tcPr>
            <w:tcW w:w="75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11,240,688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11,240,688</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r>
      <w:tr>
        <w:trPr>
          <w:trHeight w:val="27"/>
        </w:trPr>
        <w:tc>
          <w:tcPr>
            <w:tcW w:w="7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WTI Warrants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Debentures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2,817,200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2,817,200</w:t>
            </w:r>
          </w:p>
        </w:tc>
      </w:tr>
      <w:tr>
        <w:trPr>
          <w:trHeight w:val="27"/>
        </w:trPr>
        <w:tc>
          <w:tcPr>
            <w:tcW w:w="7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WTI Warrants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495,074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495,074</w:t>
            </w:r>
          </w:p>
        </w:tc>
      </w:tr>
      <w:tr>
        <w:trPr>
          <w:trHeight w:val="27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41,762</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26,516</w:t>
            </w:r>
          </w:p>
        </w:tc>
      </w:tr>
      <w:tr>
        <w:trPr>
          <w:trHeight w:val="2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 Preferred Stock</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189,000</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194,062</w:t>
            </w:r>
          </w:p>
        </w:tc>
      </w:tr>
      <w:tr>
        <w:trPr>
          <w:trHeight w:val="27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options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1,596,702</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1,596,702</w:t>
            </w:r>
          </w:p>
        </w:tc>
      </w:tr>
      <w:tr>
        <w:trPr>
          <w:trHeight w:val="2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2,148,001</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2,148,001</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including short-term notes with three separate related parties which were settled on March 20, 2025. In addition, the Company issued a convertible note to the ESG Fund pursuant to the Amended and Restated Series I Convertible Note Purchase Agreement, dated as of June 2, 2023, by and among Accelsius, ESG Fund, and the other parties thereto, which was converted during the three months ended March 31, 2024. During the three months ended June 30, 2025 (Successor), the Company entered into the Related Party Convertible Notes with various related parties, including other lenders.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Directors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more fully described in Note 12. Stock-based Compensation, the Company issued various equity awards to related parties throughout 2024. On December 9, 2024, the Company issued 1,246,722 RSUs with a grant date fair value of $15,210 and 590,163 stock options with a grant date fair value of $3,913 to a cumulative of eight directors. On December 31, 2024, the Company issued 200,000 SARs with a grant date fair value of $7,820 to four directors and former directors. On March 22, 2024, the Company issued 100,000 Class C Units with a grant date fair value of $441 to one director under the Accelsius Subsidiary Equity Plan. Additionally, on June 25, 2025, the Company issued 111,525 RSUs with a grant date fair value of $600 to five directors pursuant to the Innventure Non-Management Director Compensation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ESG Fund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described in Note 2. Accounting Policies in our 2024 Annual Report, the Company earns a 1-2% management fee for administrative, finance and accounting, and other back-office functions from the ESG Fund. Management fees earned from the ESG Fund were $195 and $391 for the three and six months ended June 30, 2025 (Successor), respectively, and $196 and $393 for the three and six months ended June 30, 2024 (Predecessor), respectively, which is recorded as Revenue in the condensed consolidated statements of operations and comprehensive income (loss).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ESG Fund to sell 145,161 shares of PureCycle Technologies, Inc. (“PCT”) common stock with an exercise price of $1. The option period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expired on July 22, 2024 and the Company measured the derivative liability at fair value, as further described in Note 4. Fair Value. The option was exercised in March 2022 and the shares are subject to the lock-up provisions. The liability due to the ESG Fund was derecognized as a result of the Business Combination.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AeroFlexx</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24, 2025, the Company issued 578,294 shares of Series C Preferred Stock to settle AeroFlexx’s debt with a related party. The Company considers the stock issuance to be an investment in AeroFlexx of $5,783 which was recorded in Investments on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PCT Guaranty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June 30, 2025 (Successor) and December 31, 2024 (Predecessor), there was no principal outstanding under the guaranty.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Agreement Contingent Fees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30, 2025, Accelsius entered into an amended and restated agreement with a certain MNC. The amended agreement modifies several terms and notably (a) eliminates revenue-based royalty payments, (b) extends the due dates for fixed installment payments, (c) modifies and reduces the buy-out fee payable to the MNC in lieu of future installment payments upon certain events such as an assignment of the agreement or a capital event (including a change of control or initial public offering), at the option of either the MNC or Accelsius, and (d) eliminates Accelsius’s ability to unilaterally terminate the agreement upon the occurrence of certain events (other than a material breach) and provides the MNC with certain limited information rights related to the equity ownership of Accelsius.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agreements, the Company is required to make fixed installment payments, as disclosed below, for each year of the agreement through December 31, 2040.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first six months of fiscal year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Royalty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12, 2024, the Company entered into a license agreement with a third party to obtain exclusive rights to use certain know-how, patents, and data relating to processes for the gasification of plastic waste (the “Gasification Technology”). Ownership of the Gasification Technology will transfer to the Company for a fee of $500 contingent upon achievement of a commercial milestone, which is not yet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pay a semi-annual fee of $65 until ownership transfers or the Gasification Technology is no longer licensed, which is accrued on a monthly basis. During the three and six months ended June 30, 2025 (Successor), $65 and $33, respectively, related to the Gasification Technology was recognized within General and administrative expense in the condensed consolidated statements of operations and comprehensive income (loss).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committed to pay annual royalties based on Refinity-related gross sales and licensing revenue starting in 2025. For the three and six months ended June 30, 2025 (Successor), no royalty payments were made to the third party.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Framework Agreement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2025, Refinity entered into the Framework Agreement (“Framework Agreement”) with a third party to obtain research services focusing on the further development and optimization of the Gasification Technology.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Refinity agreed to pay a minimum fee of €2,000 for the period beginning January 22, 2025 and ending April 30, 2026 (“Year 1”), and €3,000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 During the three and six months ended June 30, 2025 (Successor), Refinity incurred €425 and €516, respectively, of service expenses toward the Year 1 minimum fee. After currency conversion, Refinity incurred $526 and $619, respectively, toward the Year 1 minimum fee during the three and six months ended June 30, 2025 (Successor). Additionally, during the three and six months ended June 30, 2025 (Successor), Refinity made payments of $302 on costs incurred as a part of the Year 1 minimum fee.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 Data</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Technology segment for the three and six months ended June 30, 2025 (Successor) and the three and six months ended June 30, 2024 (Predecessor).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3120" w:type="dxa"/>
            <w:vAlign w:val="bottom"/>
            <w:gridSpan w:val="5"/>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74"/>
        </w:trPr>
        <w:tc>
          <w:tcPr>
            <w:tcW w:w="45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right w:val="single" w:sz="8" w:color="auto"/>
            </w:tcBorders>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right w:val="single" w:sz="8" w:color="auto"/>
            </w:tcBorders>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8"/>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80" w:type="dxa"/>
            <w:vAlign w:val="bottom"/>
          </w:tcPr>
          <w:p>
            <w:pPr>
              <w:spacing w:after="0"/>
              <w:rPr>
                <w:sz w:val="20"/>
                <w:szCs w:val="20"/>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4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equipment &amp; supplies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122,761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367,075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10,437</w:t>
            </w:r>
          </w:p>
        </w:tc>
      </w:tr>
      <w:tr>
        <w:trPr>
          <w:trHeight w:val="270"/>
        </w:trPr>
        <w:tc>
          <w:tcPr>
            <w:tcW w:w="45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r>
      <w:tr>
        <w:trPr>
          <w:trHeight w:val="26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(122,507)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(366,816)</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(10,437)</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depreciation expense not already included in Cost of sales.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 change in fair value of financial liabilities, loss on conversion of promissory notes, travel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reportable segment to amounts reflected in our condensed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3100" w:type="dxa"/>
            <w:vAlign w:val="bottom"/>
            <w:gridSpan w:val="5"/>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74"/>
        </w:trPr>
        <w:tc>
          <w:tcPr>
            <w:tcW w:w="45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right w:val="single" w:sz="8" w:color="auto"/>
            </w:tcBorders>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right w:val="single" w:sz="8" w:color="auto"/>
            </w:tcBorders>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June 30, 2025</w:t>
            </w: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8"/>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80" w:type="dxa"/>
            <w:vAlign w:val="bottom"/>
          </w:tcPr>
          <w:p>
            <w:pPr>
              <w:spacing w:after="0"/>
              <w:rPr>
                <w:sz w:val="20"/>
                <w:szCs w:val="20"/>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23"/>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r>
      <w:tr>
        <w:trPr>
          <w:trHeight w:val="250"/>
        </w:trPr>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r>
      <w:tr>
        <w:trPr>
          <w:trHeight w:val="250"/>
        </w:trPr>
        <w:tc>
          <w:tcPr>
            <w:tcW w:w="4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r>
      <w:tr>
        <w:trPr>
          <w:trHeight w:val="250"/>
        </w:trPr>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250"/>
        </w:trPr>
        <w:tc>
          <w:tcPr>
            <w:tcW w:w="4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(366,817)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(394,949)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(18,840)</w:t>
            </w:r>
          </w:p>
        </w:tc>
      </w:tr>
      <w:tr>
        <w:trPr>
          <w:trHeight w:val="250"/>
        </w:trPr>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4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located entirely in the United States. Segment assets are not reviewed by the CODM and therefore are not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and related disclosures for the period ended June 30, 2025, management has evaluated events through August 14, 2025, which is the date the condensed consolidated financial statements were available to be issued. Events occurring after June 30, 2025 are: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and August 2025, pursuant to the SEPA, the Company issued a total of 471,812 shares of Common Stock to Yorkville as repayments towards the Convertible Debentures referenced in Note 5. Borrowings. The repayments totaled $2,500, comprised of a principal amount of $2,381 and an $119 payment premium on the Convertible Debentures.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2025, the Company entered into a Term Convertible Note with a related party for a principal amount of $5,000, on substantially the same terms and conditions as the Term Convertible Notes referenced in Note 5. Borrowings, including the maturity and interest rate.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19, 2025, the Company amended and restated the Accelsius Subsidiary Equity Plan. The Class C units available to be issued under the Accelsius Subsidiary Equity Plan was increased to 4,565,000.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21, 2025, the Company authorized the issuance of an additional 915,000 Class C Units under the Accelsius Subsidiary Equity Plan.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and August 2025, the Company issued an aggregate 5,000 shares of Common Stock to a third party for services in respect of public relations and investor communications.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12, 2025, Accelsius entered into unsecured convertible promissory notes with two parties, for an aggregate principal amount of $2,100. The unsecured convertible promissory notes bear interest at the rate of 6.5% per annum on the principal amount and is repayable on demand by the lenders on or after the two-year anniversary of the issuance date. However, the unsecured convertible promissory notes are subordinated in right of payment to the prior payment in full in cash or conversion, as applicable, of the WTI Facility, the Convertible Debentures, the Term Convertible Notes, the Related Party Convertible Notes and the indebtedness of Accelsius owed to Innventure LLC (together, the “Senior Indebtedness”) referenced in Note 5. Borrowings. Although the Company has the right to prepay these notes at any time without premium or penalty, the lenders will not demand repayment, and the Company will not repay the amounts due under these notes as long as any portion of the Senior Indebtedness remains outstanding.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unsecured convertible promissory notes are automatically convertible, after the first future preferred equity issuance by Accelsius, raising at least $5,000 in gross cash proceeds from unaffiliated investors (the “Next Funding Round”), into the units of the same series sold in the Next Funding Round at a price per unit equal to 80% of the price per unit in such Next Funding Round. Concurrently with the conversion, the Company will issue warrants to the lenders exercisable for Accelsius’ units of the same series sold in the Next Funding Round. These warrants will be exercisable for 0.5 units for every 1 unit that is issued as part of the conversion. The exercise price for the warrants will be set at 120% of the price the units in the Next Funding Round are sold.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14, 2025, the Board approved the accelerated vesting of 46,875 unvested Class C units, which were granted to a related party in 2024 pursuant to the Accelsius Subsidiary Equity Plan. The Company recognized the remaining stock-based compensation expense of $189 based on the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38" w:name="page39"/>
    <w:bookmarkEnd w:id="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and our predecessor’s, as applicable, unaudited condensed consolidated financial statements and related notes as of June 30, 2025 and for the three and six months ended June 30, 2025 and 2024 included in Item 1 of this Form 10-Q and our predecessor’s, as applicable, audited consolidated financial statements and related notes as of and for the years ended December 31, 2024 and 2023 included in our Annual Report on Form 10-K for the fiscal year ended December 31, 2024 (“Form 10-K”). This discussion contains forward-looking statements that involve risks, uncertainties and assumptions.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and in the Form 10-K. Additionally, our historical results are not necessarily indicative of the results that may be expected for any period in the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multinational corporations (“MNCs”) with the intent to maximize values for investors and other stakeholders through positive cash flow generated through holding long term positions in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Refer to Item 1. Business of the Form 10-K for a detailed discussion of our business activities.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equity method investment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consequence of the Business Combination, Innventure, Inc., is the successor to an SEC-registered and Nasdaq-listed company which will require Innventure to hire additional personnel and implement procedures and processes to address public company regulatory requirements and customary practices. Innventure is incurring additional annual expenses as a public company for, among other things, directors’ and officers’ liability insurance,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and additional internal and external accounting, legal and administrative resources, including increased audit and legal fees.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Innventure’s future results of consolidated operations and financial position may not be comparable to historical results as a result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2025 (Successor) and three and six months ended June 30, 2024 (Predecessor)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as otherwise noted)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reflect the application of different bases of accounting as a result of the Business Combination, the tables provided below separate the Company’s results via a black line into two distinct periods as follows: (1) three and six months ended June 30, 2024 (labeled “Predecessor”) and (2) three and six months ended June 30, 2025 (labeled “Successor”).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16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80" w:type="dxa"/>
            <w:vAlign w:val="bottom"/>
          </w:tcPr>
          <w:p>
            <w:pPr>
              <w:spacing w:after="0"/>
              <w:rPr>
                <w:sz w:val="13"/>
                <w:szCs w:val="13"/>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ind w:left="8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9"/>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56.6 %</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Cost of sales</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38,245</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21,962</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134.9 %</w:t>
            </w:r>
          </w:p>
        </w:tc>
        <w:tc>
          <w:tcPr>
            <w:tcW w:w="0" w:type="dxa"/>
            <w:vAlign w:val="bottom"/>
          </w:tcPr>
          <w:p>
            <w:pPr>
              <w:spacing w:after="0"/>
              <w:rPr>
                <w:sz w:val="1"/>
                <w:szCs w:val="1"/>
                <w:color w:val="auto"/>
              </w:rPr>
            </w:pPr>
          </w:p>
        </w:tc>
      </w:tr>
      <w:tr>
        <w:trPr>
          <w:trHeight w:val="173"/>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Sales and marketing</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68.9 %</w:t>
            </w: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12,321</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8,888</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258.9 %</w:t>
            </w:r>
          </w:p>
        </w:tc>
        <w:tc>
          <w:tcPr>
            <w:tcW w:w="0" w:type="dxa"/>
            <w:vAlign w:val="bottom"/>
          </w:tcPr>
          <w:p>
            <w:pPr>
              <w:spacing w:after="0"/>
              <w:rPr>
                <w:sz w:val="1"/>
                <w:szCs w:val="1"/>
                <w:color w:val="auto"/>
              </w:rPr>
            </w:pPr>
          </w:p>
        </w:tc>
      </w:tr>
      <w:tr>
        <w:trPr>
          <w:trHeight w:val="173"/>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Goodwill impairment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346,557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346,557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29"/>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404,472</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22,265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382,207</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1,716.6 %</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Loss from Operations</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(403,772)</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(21,818)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(381,954)</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1,750.6 %</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Non-operating (Expense) and Income</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expense, net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834.2 %</w:t>
            </w: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gain (loss) on investments</w:t>
            </w:r>
          </w:p>
        </w:tc>
        <w:tc>
          <w:tcPr>
            <w:tcW w:w="3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(4,399)</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73"/>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gain (loss) on investments – due to related parties</w:t>
            </w:r>
          </w:p>
        </w:tc>
        <w:tc>
          <w:tcPr>
            <w:tcW w:w="30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 in fair value of financial liabilities</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23,605</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24,083</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(5,038.3) %</w:t>
            </w:r>
          </w:p>
        </w:tc>
        <w:tc>
          <w:tcPr>
            <w:tcW w:w="0" w:type="dxa"/>
            <w:vAlign w:val="bottom"/>
          </w:tcPr>
          <w:p>
            <w:pPr>
              <w:spacing w:after="0"/>
              <w:rPr>
                <w:sz w:val="1"/>
                <w:szCs w:val="1"/>
                <w:color w:val="auto"/>
              </w:rPr>
            </w:pPr>
          </w:p>
        </w:tc>
      </w:tr>
      <w:tr>
        <w:trPr>
          <w:trHeight w:val="173"/>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Equity method investment (loss) income</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(8,680)</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(1,207.1) %</w:t>
            </w: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Realized gain on conversion of available for sale investment</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73"/>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on extinguishment of related party debt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73"/>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on conversion of promissory notes</w:t>
            </w:r>
          </w:p>
        </w:tc>
        <w:tc>
          <w:tcPr>
            <w:tcW w:w="30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Miscellaneous other expense</w:t>
            </w: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67"/>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Non-operating (Expense) Income</w:t>
            </w: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5,204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2,978</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2,226</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74.7 %</w:t>
            </w:r>
          </w:p>
        </w:tc>
        <w:tc>
          <w:tcPr>
            <w:tcW w:w="0" w:type="dxa"/>
            <w:vAlign w:val="bottom"/>
          </w:tcPr>
          <w:p>
            <w:pPr>
              <w:spacing w:after="0"/>
              <w:rPr>
                <w:sz w:val="1"/>
                <w:szCs w:val="1"/>
                <w:color w:val="auto"/>
              </w:rPr>
            </w:pPr>
          </w:p>
        </w:tc>
      </w:tr>
      <w:tr>
        <w:trPr>
          <w:trHeight w:val="30"/>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benefit</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57"/>
        </w:trPr>
        <w:tc>
          <w:tcPr>
            <w:tcW w:w="50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(394,949)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(18,840)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(376,109)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1,996.3 %</w:t>
            </w:r>
          </w:p>
        </w:tc>
        <w:tc>
          <w:tcPr>
            <w:tcW w:w="0" w:type="dxa"/>
            <w:vAlign w:val="bottom"/>
          </w:tcPr>
          <w:p>
            <w:pPr>
              <w:spacing w:after="0"/>
              <w:rPr>
                <w:sz w:val="1"/>
                <w:szCs w:val="1"/>
                <w:color w:val="auto"/>
              </w:rPr>
            </w:pPr>
          </w:p>
        </w:tc>
      </w:tr>
      <w:tr>
        <w:trPr>
          <w:trHeight w:val="30"/>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loss attributable to</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Non-redeemable non-controlling interest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(167,725)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(161,392)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2,548.4 %</w:t>
            </w:r>
          </w:p>
        </w:tc>
        <w:tc>
          <w:tcPr>
            <w:tcW w:w="0" w:type="dxa"/>
            <w:vAlign w:val="bottom"/>
          </w:tcPr>
          <w:p>
            <w:pPr>
              <w:spacing w:after="0"/>
              <w:rPr>
                <w:sz w:val="1"/>
                <w:szCs w:val="1"/>
                <w:color w:val="auto"/>
              </w:rPr>
            </w:pPr>
          </w:p>
        </w:tc>
      </w:tr>
      <w:tr>
        <w:trPr>
          <w:trHeight w:val="30"/>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Innventure, Inc. Stockholders / Innventure LLC Unitholders</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(227,224)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(12,507)</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(214,717)</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1,716.8 %</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5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income, net of taxes:</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Unrealized gain (loss) on available for sale debt securities - related party</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73"/>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Reclassification of realized gain on conversion of available for sale investments</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30"/>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other comprehensive income, net of taxes</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(2,198)</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(2,198)</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nm*</w:t>
            </w:r>
          </w:p>
        </w:tc>
        <w:tc>
          <w:tcPr>
            <w:tcW w:w="0" w:type="dxa"/>
            <w:vAlign w:val="bottom"/>
          </w:tcPr>
          <w:p>
            <w:pPr>
              <w:spacing w:after="0"/>
              <w:rPr>
                <w:sz w:val="1"/>
                <w:szCs w:val="1"/>
                <w:color w:val="auto"/>
              </w:rPr>
            </w:pPr>
          </w:p>
        </w:tc>
      </w:tr>
      <w:tr>
        <w:trPr>
          <w:trHeight w:val="148"/>
        </w:trPr>
        <w:tc>
          <w:tcPr>
            <w:tcW w:w="50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 net of taxes</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(397,147)</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(18,840)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(378,307)</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2,008.0 %</w:t>
            </w: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comprehensive loss attributable to</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Non-redeemable non-controlling interest</w:t>
            </w: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(167,725)</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(161,392)</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2,548.4 %</w:t>
            </w:r>
          </w:p>
        </w:tc>
        <w:tc>
          <w:tcPr>
            <w:tcW w:w="0" w:type="dxa"/>
            <w:vAlign w:val="bottom"/>
          </w:tcPr>
          <w:p>
            <w:pPr>
              <w:spacing w:after="0"/>
              <w:rPr>
                <w:sz w:val="1"/>
                <w:szCs w:val="1"/>
                <w:color w:val="auto"/>
              </w:rPr>
            </w:pPr>
          </w:p>
        </w:tc>
      </w:tr>
      <w:tr>
        <w:trPr>
          <w:trHeight w:val="135"/>
        </w:trPr>
        <w:tc>
          <w:tcPr>
            <w:tcW w:w="50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Net Comprehensive Loss Attributable to Innventure, Inc. Stockholders / Innventure LLC</w:t>
            </w:r>
          </w:p>
        </w:tc>
        <w:tc>
          <w:tcPr>
            <w:tcW w:w="300" w:type="dxa"/>
            <w:vAlign w:val="bottom"/>
            <w:tcBorders>
              <w:top w:val="single" w:sz="8" w:color="auto"/>
            </w:tcBorders>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(229,422)</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(12,507)</w:t>
            </w:r>
          </w:p>
        </w:tc>
        <w:tc>
          <w:tcPr>
            <w:tcW w:w="80" w:type="dxa"/>
            <w:vAlign w:val="bottom"/>
          </w:tcPr>
          <w:p>
            <w:pPr>
              <w:spacing w:after="0"/>
              <w:rPr>
                <w:sz w:val="11"/>
                <w:szCs w:val="11"/>
                <w:color w:val="auto"/>
              </w:rPr>
            </w:pPr>
          </w:p>
        </w:tc>
        <w:tc>
          <w:tcPr>
            <w:tcW w:w="340" w:type="dxa"/>
            <w:vAlign w:val="bottom"/>
            <w:tcBorders>
              <w:top w:val="single" w:sz="8" w:color="auto"/>
            </w:tcBorders>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(216,915)</w:t>
            </w: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1,734.3 %</w:t>
            </w:r>
          </w:p>
        </w:tc>
        <w:tc>
          <w:tcPr>
            <w:tcW w:w="0" w:type="dxa"/>
            <w:vAlign w:val="bottom"/>
          </w:tcPr>
          <w:p>
            <w:pPr>
              <w:spacing w:after="0"/>
              <w:rPr>
                <w:sz w:val="1"/>
                <w:szCs w:val="1"/>
                <w:color w:val="auto"/>
              </w:rPr>
            </w:pPr>
          </w:p>
        </w:tc>
      </w:tr>
      <w:tr>
        <w:trPr>
          <w:trHeight w:val="207"/>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Unitholders</w:t>
            </w:r>
          </w:p>
        </w:tc>
        <w:tc>
          <w:tcPr>
            <w:tcW w:w="3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not meaningful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was $700 for the six months ended June 30, 2025 (Successor) and $447 for the six months ended June 30, 2024 (Predecessor), an increase of $253, or 56.6%. Management fee revenues were consistent period over period, with the increase driven by $255 of product sales in the Technology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type w:val="continuous"/>
        </w:sectPr>
      </w:pPr>
    </w:p>
    <w:bookmarkStart w:id="41" w:name="page42"/>
    <w:bookmarkEnd w:id="4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was $3,045 for the six months ended June 30, 2025 (Successor) and nil for the six months ended June 30, 2024 (Predecessor), an increase of $3,045. The increase relates to the generation of revenue at the Technology segment resulting in an increase in amortization of intangible assets of $1,612, employee costs of $987 and costs related to material costs and supplies amounting to $631.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$38,245 for the six months ended June 30, 2025 (Successor) and $16,283 for the six months ended June 30, 2024 (Predecessor), an increase of $21,962, or 134.9%. The increase in expenditure was attributed to increased stock-based compensation costs of $14,324, increased intangible asset amortization of $2,902 and increased professional and legal fees of $2,800.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 was $4,304 for the six months ended June 30, 2025 (Successor) and $2,549 for the six months ended June 30, 2024 (Predecessor), an increase of $1,755, or 68.9%. The increase was due to increased employee costs of $1,076 and increased advertising and marketing-related events and expenses associated with the commercialization phase of the Technology segment of $675.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$12,321 for the six months ended June 30, 2025 (Successor) and $3,433 for the six months ended June 30, 2024 (Predecessor), an increase of $8,888, or 258.9%. The increase was due to amortization of intangible assets of $6,289, an increase in employee costs of $1,531, and an increase in supplies and materials samples expenses of $1,100.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impairment, was $346,557 for the six months ended June 30, 2025 (Successor) and nil for the six months ended June 30, 2024 (Predecessor), an increase of $346,557. The increase was due to sustained decreases in the Company’s publicly quoted share price and market capitalization, which were sensitive to the general downward volatility experienced in the stock market during late February 2025 through April 2025. The Company’s stock price had not yet recovered as of June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net was $4,185 for the six months ended June 30, 2025 (Successor) and $448 for the six months ended June 30, 2024 (Predecessor), an increase of $3,737, or 834.2%. The increase was due to amortization of issuance costs on the convertible debentures (“Convertible Debentures”) with an aggregate principal amount of up to $30,000 issued and sold pursuant to the Securities Purchase Agreement that the Company entered into with a third party on March 25, 2025 of $1,701, an increase in contractual interest expense for the term loan entered into on October 22, 2024 by and among the Company and WTI Fund X, Inc. and WTI Fund XI, Inc., (collectively, “WTI Lenders”), which provides for a term loan facility in the aggregate principal amount of up to $50,000 (the “WTI Facility”), of $1,358, amortization of issuance costs on the WTI Facility of $856, partially offset by a decrease in interest expense of $134 related to convertible promissory notes that were converted in March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on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 on investments was nil for the six months ended June 30, 2025 (Successor) and $4,399 for the six months ended June 30, 2024 (Predecessor), a decrease of $4,399. The decrease was due to the gain on investment in PureCycle Technologies, Inc. (“PCT”) owned stock via Class PCTA units during the six months ended June 30, 2024 (Predecessor), which is no longer consolidated in the Company’s condensed consolidated financial statements as a result of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on investments – due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on investments – due to related parties was nil for the six months ended June 30, 2025 (Successor) and $160 for the six months ended June 30, 2024 (Predecessor), a decrease of $160. The decrease was due to an increase in the fair value of the liability of PCT stock owed to other parties for the six months ended June 30, 2024 (Predecessor). The Class PCTA associated liabilities are no longer consolidated in the Company’s condensed consolidated financial statements as a result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liabilities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liabilities decreased by $23,605 for the six months ended June 30, 2025 (Successor) and increased by $478 for the six months ended June 30, 2024 (Predecessor), an increase to income of $24,083, or 5,038.3%. The increase to income was due to decreases in fair value for warrants of $14,117 and earnout liabilities of $9,509.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 income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 method investment loss was $8,680 for the six months ended June 30, 2025 (Successor) and equity method investment gain was $784 for the six months ended June 30, 2024 (Predecessor), a change of $9,464, or 1,207.1%. The loss during the six months ended June 30, 2025 (Successor) is related to losses from the Company’s equity method investment in AeroFlexx of $8,611. The gain during the six months ended June 30, 2024 (Predecessor) was due to an allocated gain from the Innventus ESG Fund I, L.P. (the “ESG Fund”) ESG Fund of $1,342 offset by an allocated loss from investment in AeroFlexx of $559.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gain on conversion of available for sale investment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Realized gain on conversion of available for sale investment was $1,507 for the six months ended June 30, 2025 (Successor) and nil for the six months ended June 30, 2024 (Predecessor), an increase of $1,507. The increase was due to the partial conversion of the AeroFlexx investment in debt securities resulting in a realized gain during the six months ended June 30, 2025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related party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extinguishment of related party debt was $3,538 for the six months ended June 30, 2025 (Successor) and nil for the six months ended June 30, 2024 (Predecessor), an increase of $3,538. The increase was due to the extinguishment of the related party loans by additional issuances of Series C Preferred Stock (as defined below) during the six months ended June 30, 2025 (Successor). There was no gain or loss on extinguishment of related party debt for the six months ended June 30, 2024 (Predecessor).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Loss on extinguishment of debt was $3,462 for the six months ended June 30, 2025 (Successor) and nil for the six months ended June 30, 2024 (Predecessor), an increase of $3,462. The increase was due to the modification of the WTI Facility in connection with the issuance of the first tranche of the Convertible Debentures to Yorkville (as defined below), which was accounted for as an extinguishment though the WTI Facility remains outstanding. During the six months ended June 30, 2025, the Company issued two warrants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WTI Fund X, LLC and WTI Fund XI, LLC (the “WTI Holders”). Each of the 2025 WTI Warrants is exercisable through March 31, 2035. The 2025 WTI Warrants were issued to the WTI Holders as consideration for the WTI Holders and other parties entering into a consent with the Company and Innventure LLC (the “Consent”) in connection with the issuance of the first tranche of the Convertible Debentures to Yorkville under the Securities Purchase Agreement. The 2025 WTI Warrants are subject to certain future adjustments in accordance with the terms of the 2025 WTI Warrants. There was no gain or loss on extinguishment of debt for the six months ended June 30, 2024 (Predecessor).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conversion of promissory notes was nil for the six months ended June 30, 2025 (Successor) and $1,119 for the six months ended June 30, 2024 (Predecessor), a decrease of $1,119. This was due to the automatic conversion of promissory notes during the six months ended June 30, 2024 (Predecessor) into equity instruments which was treated as an extinguishment thereby generating a loss. There was no equivalent transaction for the six months ended June 30, 2025 (Successor).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gain (loss) on available for sale debt securities - related party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loss on available for sale debt securities - related party was $691 for the six months ended June 30, 2025 (Successor) and nil for the six months ended June 30, 2024 (Predecessor), a decrease of $691. The decrease was due to the fair value adjustment to investments in debt securities which are classified as available for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realized gain on conversion of available for sale investments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Reclassification of realized gain on conversion of available for sale investments was $1,507 for the six months ended June 30, 2025 (Successor) and nil for the six months ended June 30, 2024 (Predecessor), an increase of $1,507. The increase was due to the partial conversion of the AeroFlexx investment in debt securities resulting in a realized gain during the six months ended June 30, 2025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Non-redeemable non-controlling interest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attributable to non-redeemable non-controlling interests was $167,725 for the six months ended June 30, 2025 (Successor) and $6,333 for the six months ended June 30, 2024 (Predecessor), an increase of $161,392, or 2,548.4%. This was due to the increase in the Technology segment net loss as a result of goodwill impairment during the six months ended June 30, 2025 (Successor) as compared to the six months ended June 30,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June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2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17"/>
                <w:szCs w:val="17"/>
                <w:color w:val="auto"/>
              </w:rPr>
            </w:pPr>
          </w:p>
        </w:tc>
        <w:tc>
          <w:tcPr>
            <w:tcW w:w="164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20" w:type="dxa"/>
            <w:vAlign w:val="bottom"/>
          </w:tcPr>
          <w:p>
            <w:pPr>
              <w:spacing w:after="0"/>
              <w:rPr>
                <w:sz w:val="20"/>
                <w:szCs w:val="20"/>
                <w:color w:val="auto"/>
              </w:rPr>
            </w:pPr>
          </w:p>
        </w:tc>
        <w:tc>
          <w:tcPr>
            <w:tcW w:w="164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Pr>
          <w:p>
            <w:pPr>
              <w:spacing w:after="0"/>
              <w:rPr>
                <w:sz w:val="20"/>
                <w:szCs w:val="20"/>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20" w:type="dxa"/>
            <w:vAlign w:val="bottom"/>
          </w:tcPr>
          <w:p>
            <w:pPr>
              <w:spacing w:after="0"/>
              <w:rPr>
                <w:sz w:val="20"/>
                <w:szCs w:val="20"/>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113.5 %</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 of sales</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18,569</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121.6 %</w:t>
            </w:r>
          </w:p>
        </w:tc>
        <w:tc>
          <w:tcPr>
            <w:tcW w:w="0" w:type="dxa"/>
            <w:vAlign w:val="bottom"/>
          </w:tcPr>
          <w:p>
            <w:pPr>
              <w:spacing w:after="0"/>
              <w:rPr>
                <w:sz w:val="1"/>
                <w:szCs w:val="1"/>
                <w:color w:val="auto"/>
              </w:rPr>
            </w:pPr>
          </w:p>
        </w:tc>
      </w:tr>
      <w:tr>
        <w:trPr>
          <w:trHeight w:val="23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61.6 %</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244.0 %</w:t>
            </w:r>
          </w:p>
        </w:tc>
        <w:tc>
          <w:tcPr>
            <w:tcW w:w="0" w:type="dxa"/>
            <w:vAlign w:val="bottom"/>
          </w:tcPr>
          <w:p>
            <w:pPr>
              <w:spacing w:after="0"/>
              <w:rPr>
                <w:sz w:val="1"/>
                <w:szCs w:val="1"/>
                <w:color w:val="auto"/>
              </w:rPr>
            </w:pPr>
          </w:p>
        </w:tc>
      </w:tr>
      <w:tr>
        <w:trPr>
          <w:trHeight w:val="237"/>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 impairment</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113,344</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113,344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143,050</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11,509</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131,541</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1,142.9 %</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(142,574)</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(131,288)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1,163.3 %</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(Expense) and Income</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 net</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6,055.8 %</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gain (loss) on investments</w:t>
            </w:r>
          </w:p>
        </w:tc>
        <w:tc>
          <w:tcPr>
            <w:tcW w:w="80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gain (loss) on investments – due to related parties</w:t>
            </w:r>
          </w:p>
        </w:tc>
        <w:tc>
          <w:tcPr>
            <w:tcW w:w="8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financial liabilities</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method investment (loss) income</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 %</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7"/>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Miscellaneous other expense</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Non-operating (Expense) Income</w:t>
            </w:r>
          </w:p>
        </w:tc>
        <w:tc>
          <w:tcPr>
            <w:tcW w:w="8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(921)</w:t>
            </w:r>
          </w:p>
        </w:tc>
        <w:tc>
          <w:tcPr>
            <w:tcW w:w="100" w:type="dxa"/>
            <w:vAlign w:val="bottom"/>
            <w:tcBorders>
              <w:top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3,189.3 %</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9"/>
        </w:trPr>
        <w:tc>
          <w:tcPr>
            <w:tcW w:w="50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(141,275)</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(129,961)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1,148.7 %</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(57,048)</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1,317.0 %</w:t>
            </w:r>
          </w:p>
        </w:tc>
        <w:tc>
          <w:tcPr>
            <w:tcW w:w="0" w:type="dxa"/>
            <w:vAlign w:val="bottom"/>
          </w:tcPr>
          <w:p>
            <w:pPr>
              <w:spacing w:after="0"/>
              <w:rPr>
                <w:sz w:val="1"/>
                <w:szCs w:val="1"/>
                <w:color w:val="auto"/>
              </w:rPr>
            </w:pPr>
          </w:p>
        </w:tc>
      </w:tr>
      <w:tr>
        <w:trPr>
          <w:trHeight w:val="148"/>
        </w:trPr>
        <w:tc>
          <w:tcPr>
            <w:tcW w:w="50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Loss Attributable to Innventure, Inc. Stockholders / Innventure</w:t>
            </w:r>
          </w:p>
        </w:tc>
        <w:tc>
          <w:tcPr>
            <w:tcW w:w="8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(84,227)</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(76,939)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1,055.7 %</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LLC Unitholders</w:t>
            </w:r>
          </w:p>
        </w:tc>
        <w:tc>
          <w:tcPr>
            <w:tcW w:w="8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5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taxes:</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Unrealized gain (loss) on available for sale debt securities - related party</w:t>
            </w: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net of taxes</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nm*</w:t>
            </w:r>
          </w:p>
        </w:tc>
        <w:tc>
          <w:tcPr>
            <w:tcW w:w="0" w:type="dxa"/>
            <w:vAlign w:val="bottom"/>
          </w:tcPr>
          <w:p>
            <w:pPr>
              <w:spacing w:after="0"/>
              <w:rPr>
                <w:sz w:val="1"/>
                <w:szCs w:val="1"/>
                <w:color w:val="auto"/>
              </w:rPr>
            </w:pPr>
          </w:p>
        </w:tc>
      </w:tr>
      <w:tr>
        <w:trPr>
          <w:trHeight w:val="149"/>
        </w:trPr>
        <w:tc>
          <w:tcPr>
            <w:tcW w:w="50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net of taxes</w:t>
            </w:r>
          </w:p>
        </w:tc>
        <w:tc>
          <w:tcPr>
            <w:tcW w:w="8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(141,086)</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(129,772)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1,147.0 %</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loss attributable to</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(57,048)</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1,317.0 %</w:t>
            </w:r>
          </w:p>
        </w:tc>
        <w:tc>
          <w:tcPr>
            <w:tcW w:w="0" w:type="dxa"/>
            <w:vAlign w:val="bottom"/>
          </w:tcPr>
          <w:p>
            <w:pPr>
              <w:spacing w:after="0"/>
              <w:rPr>
                <w:sz w:val="1"/>
                <w:szCs w:val="1"/>
                <w:color w:val="auto"/>
              </w:rPr>
            </w:pPr>
          </w:p>
        </w:tc>
      </w:tr>
      <w:tr>
        <w:trPr>
          <w:trHeight w:val="148"/>
        </w:trPr>
        <w:tc>
          <w:tcPr>
            <w:tcW w:w="50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Comprehensive Loss Attributable to Innventure, Inc. Stockholders</w:t>
            </w:r>
          </w:p>
        </w:tc>
        <w:tc>
          <w:tcPr>
            <w:tcW w:w="800" w:type="dxa"/>
            <w:vAlign w:val="bottom"/>
            <w:vMerge w:val="restart"/>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(84,038)</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(7,288)</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(76,750)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1,053.1 %</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Innventure LLC Unitholders</w:t>
            </w: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65"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was $476 for the three months ended June 30, 2025 (Successor) and $223 for the three months ended June 30, 2024 (Predecessor), an increase of $253. Management fee revenues were consistent period over period, with the increase driven by $254 of product sales in the Technology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was $2,861 for the three months ended June 30, 2025 (Successor) and nil for the three months ended June 30, 2024 (Predecessor), an increase of $2,861. The increase relates to the generation of revenue at the Technology segment resulting in an increase in amortization of intangible assets of $1,612, employee costs of $987, and costs related to material costs and supplies amounting to $258.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$18,569 for the three months ended June 30, 2025 (Successor) and $8,379 for the three months ended June 30, 2024 (Predecessor), an increase of $10,190, or 121.6%. The increase was due to increased stock-based compensation costs of $8,282, increased professional and legal services costs of $1,000 and amortization expense resulting from the intangibles acquired in the Business Combination of $661.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 was $2,208 for the three months ended June 30, 2025 (Successor) and $1,366 for the three months ended June 30, 2024 (Predecessor), an increase of $842, or 61.6%. The increase was due to increased employee costs of $508 and a $332 increase in advertising and marketing-related events and expenses associated with the commercialization phase of the Technology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$6,068 for the three months ended June 30, 2025 (Successor) and $1,764 for the three months ended June 30, 2024 (Predecessor), an increase of $4,304, or 244.0%. The increase was due to $3,128 of amortization of intangible assets and an increase in employee costs of $614.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impairment, was $113,344 for the three months ended June 30, 2025 (Successor) and nil for the three months ended June 30, 2024 (Predecessor), an increase of $113,344. The increase was due to sustained decreases in the Company’s publicly quoted share price and market capitalization, which were sensitive to the continuing general downward volatility experienced in the stock market during April 2025. The Company’s stock price had not yet recovered as of June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was $2,647 for the three months ended June 30, 2025 (Successor) and $43 for the three months ended June 30, 2024 (Predecessor), an increase of $2,604, or 6055.8%. The increase was due to an increase in contractual interest expense for the WTI Facility of $654, and amortization of issuance costs on the Convertible Debentures of $1,701 and on the WTI Facility of $348.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on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 on investments was nil for the three months ended June 30, 2025 (Successor) and net loss on investments was $790 for the three months ended June 30, 2024 (Predecessor), an increase of $790. The increase was due to the loss on investment in PCT owned stock via Class PCTA units during the three months ended June 30, 2024 (Predecessor), which is no longer consolidated in the Company’s condensed consolidated financial statements as a result of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on investments – due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 on investments – due to related parties was nil for the three months ended June 30, 2025 (Successor) and $26 for the three months ended June 30, 2024 (Predecessor), a decrease of $26. The decrease was due to a decrease in the fair value of the liability of PCT stock owed to other parties for the three months ended June 30, 2024 (Predecessor). The Class PCTA associated liabilities are no longer consolidated in the Company’s condensed consolidated financial statements as a result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liabilities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liabilities decreased by $7,176 for the three months ended June 30, 2025 (Successor) and was nil for the three months ended June 30, 2024 (Predecessor), an overall increase to income of $7,176. The increase to income was due to decreases in fair value adjustments for the earnout liabilities of $3,100 and for the warrant liabilities of $4,097.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 method investment loss was $1,924 for the three months ended June 30, 2025 (Successor) and equity method investment gain was $779 for the three months ended June 30, 2024 (Predecessor), a decrease of $2,703, or 347.0%. The loss during the three months ended June 30, 2025 (Successor) represents an allocated loss from the investment in AeroFlexx of $2,015. The gain during the three months ended June 30, 2024 (Predecessor) was due to an allocated gain from the ESG Fund of $1,062, offset by an allocated loss from investment of AeroFlexx of $283.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Loss on extinguishment of debt was $3,462 for the three months ended June 30, 2025 (Successor) and $— for the three months ended June 30, 2024 (Predecessor), an increase of $3,462. The increase was due to the modification of the WTI Facility in connection with the issuance of the first tranche of the Convertible Debentures, which was accounted for as an extinguishment though the WTI Facility remains outstanding. During the three months ended June 30, 2025 (Successor), the Company issued the 2025 WTI Warrants to the WTI Holders as consideration for the WTI Holders and other parties entering to the Consent in connection with the issuance of the first tranche of the Convertible Debentures under the Securities Purchase Agreement. The 2025 WTI Warrants are subject to certain future adjustments in accordance with the terms of the 2025 WTI Warrants. There was no gain or loss on extinguishment of debt for the three months ended June 30, 2024 (Predecessor).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gain (loss) on available for sale debt securities - related party</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Unrealized gain (loss) on available for sale debt securities - related party, was $189 for the three months ended June 30, 2025 (Successor) and nil for the three months ended June 30, 2024 (Predecessor), an increase of $189. The increase was due to the fair value adjustment to investments in debt securities which are classified as available for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Non-redeemable non-controlling interest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attributable to non-redeemable non-controlling interests was $57,048 for the three months ended June 30, 2025 (Successor) and $4,026 for the three months ended June 30, 2024 (Predecessor), an increase of $53,022, or 1,317.0%. This was due to the increase in the Technology segment net loss as a result of goodwill impairment during the three months ended June 30, 2025 (Successor) as compared to the three months ended June 30, 2024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use caution when comparing our non-GAAP measure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from Net Loss to EBITDA and Adjusted EBITDA for the specified periods: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3760" w:type="dxa"/>
            <w:vAlign w:val="bottom"/>
            <w:gridSpan w:val="5"/>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3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60" w:type="dxa"/>
            <w:vAlign w:val="bottom"/>
            <w:tcBorders>
              <w:top w:val="single" w:sz="8" w:color="auto"/>
              <w:right w:val="single" w:sz="8" w:color="auto"/>
            </w:tcBorders>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 2025</w:t>
            </w:r>
          </w:p>
        </w:tc>
        <w:tc>
          <w:tcPr>
            <w:tcW w:w="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60" w:type="dxa"/>
            <w:vAlign w:val="bottom"/>
            <w:tcBorders>
              <w:top w:val="single" w:sz="8" w:color="auto"/>
              <w:right w:val="single" w:sz="8" w:color="auto"/>
            </w:tcBorders>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41"/>
        </w:trPr>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260" w:type="dxa"/>
            <w:vAlign w:val="bottom"/>
          </w:tcPr>
          <w:p>
            <w:pPr>
              <w:spacing w:after="0"/>
              <w:rPr>
                <w:sz w:val="20"/>
                <w:szCs w:val="20"/>
                <w:color w:val="auto"/>
              </w:rPr>
            </w:pPr>
          </w:p>
        </w:tc>
        <w:tc>
          <w:tcPr>
            <w:tcW w:w="176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2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(394,949)</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(18,840)</w:t>
            </w:r>
          </w:p>
        </w:tc>
      </w:tr>
      <w:tr>
        <w:trPr>
          <w:trHeight w:val="230"/>
        </w:trPr>
        <w:tc>
          <w:tcPr>
            <w:tcW w:w="3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(135,214)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(383,201)</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(18,323)</w:t>
            </w:r>
          </w:p>
        </w:tc>
      </w:tr>
      <w:tr>
        <w:trPr>
          <w:trHeight w:val="223"/>
        </w:trPr>
        <w:tc>
          <w:tcPr>
            <w:tcW w:w="31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and other related costs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financial</w:t>
            </w: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liabilities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3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346,557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(6)</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extinguishment of related party</w:t>
            </w: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23"/>
                <w:szCs w:val="23"/>
                <w:color w:val="auto"/>
                <w:vertAlign w:val="superscript"/>
              </w:rPr>
              <w:t>(7)</w:t>
            </w:r>
          </w:p>
        </w:tc>
        <w:tc>
          <w:tcPr>
            <w:tcW w:w="260" w:type="dxa"/>
            <w:vAlign w:val="bottom"/>
            <w:shd w:val="clear" w:color="auto" w:fill="CCEEFF"/>
          </w:tcPr>
          <w:p>
            <w:pPr>
              <w:spacing w:after="0"/>
              <w:rPr>
                <w:sz w:val="21"/>
                <w:szCs w:val="21"/>
                <w:color w:val="auto"/>
              </w:rPr>
            </w:pPr>
          </w:p>
        </w:tc>
        <w:tc>
          <w:tcPr>
            <w:tcW w:w="17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260" w:type="dxa"/>
            <w:vAlign w:val="bottom"/>
          </w:tcPr>
          <w:p>
            <w:pPr>
              <w:spacing w:after="0"/>
              <w:rPr>
                <w:sz w:val="19"/>
                <w:szCs w:val="19"/>
                <w:color w:val="auto"/>
              </w:rPr>
            </w:pPr>
          </w:p>
        </w:tc>
        <w:tc>
          <w:tcPr>
            <w:tcW w:w="17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(38,002)</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(9,996)</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includes interest incurred on our various borrowing facilities and the amortization of debt issuance costs.</w:t>
      </w:r>
    </w:p>
    <w:p>
      <w:pPr>
        <w:spacing w:after="0" w:line="17" w:lineRule="exact"/>
        <w:rPr>
          <w:rFonts w:ascii="Times New Roman" w:cs="Times New Roman" w:eastAsia="Times New Roman" w:hAnsi="Times New Roman"/>
          <w:sz w:val="14"/>
          <w:szCs w:val="14"/>
          <w:color w:val="auto"/>
        </w:rPr>
      </w:pPr>
    </w:p>
    <w:p>
      <w:pPr>
        <w:ind w:firstLine="8"/>
        <w:spacing w:after="0" w:line="231" w:lineRule="auto"/>
        <w:tabs>
          <w:tab w:leader="none" w:pos="20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costs – For the three and six months ended June 30, 2024 (Predecessor), this is comprised of consulting, legal, and other professional fees related to the Business Combination.</w:t>
      </w:r>
    </w:p>
    <w:p>
      <w:pPr>
        <w:jc w:val="both"/>
        <w:ind w:firstLine="8"/>
        <w:spacing w:after="0" w:line="249" w:lineRule="auto"/>
        <w:tabs>
          <w:tab w:leader="none" w:pos="20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liabilities – For the three and six months ended June 30, 2025 (Successor), the change in fair value of financial liabilities primarily consists of the change in fair value of the warrant liability and the earnout liability. For the three and six months ended June 30, 2024 (Predecessor), this is comprised entirely of the change in fair value of the embedded derivative associated with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89" w:lineRule="exact"/>
        <w:rPr>
          <w:sz w:val="20"/>
          <w:szCs w:val="20"/>
          <w:color w:val="auto"/>
        </w:rPr>
      </w:pPr>
    </w:p>
    <w:p>
      <w:pPr>
        <w:jc w:val="both"/>
        <w:ind w:firstLine="8"/>
        <w:spacing w:after="0" w:line="246" w:lineRule="auto"/>
        <w:tabs>
          <w:tab w:leader="none" w:pos="21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based compensation – For the three and six months ended June 30, 2025 (Successor),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share-based payment employee incentive plans in existence at Innventure LLC and other subsidiaries. Additional Stock Options were granted in February 2025 and additional Restricted Stock Units were granted in June 2025 which are included in the stock-based compensation caption for their respective periods. For the three and six months ended June 30, 2024 (Predecessor), stock-based compensation was comprised wholly of share-based payment employee incentive plans in existence at Innventure LLC and other subsidiaries.</w:t>
      </w:r>
    </w:p>
    <w:p>
      <w:pPr>
        <w:jc w:val="both"/>
        <w:ind w:firstLine="8"/>
        <w:spacing w:after="0"/>
        <w:tabs>
          <w:tab w:leader="none" w:pos="2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impairment - For the three and six months ended June 30, 2025 (Successor), the Company recognized goodwill impairment due to sustained decreases in the Company’s publicly quoted share price and market capitalization, which were, at least in part, sensitive to the general downward volatility experienced in the stock market from late February 2025 through April 2025. The publicly quoted share price stabilized some in May 2025 and June 2025. There was no similar goodwill impairment charge for the three and six months ended June 30, 2024 (Predecessor).</w:t>
      </w:r>
    </w:p>
    <w:p>
      <w:pPr>
        <w:spacing w:after="0" w:line="151" w:lineRule="exact"/>
        <w:rPr>
          <w:rFonts w:ascii="Times New Roman" w:cs="Times New Roman" w:eastAsia="Times New Roman" w:hAnsi="Times New Roman"/>
          <w:sz w:val="14"/>
          <w:szCs w:val="14"/>
          <w:color w:val="auto"/>
        </w:rPr>
      </w:pPr>
    </w:p>
    <w:p>
      <w:pPr>
        <w:ind w:firstLine="8"/>
        <w:spacing w:after="0" w:line="259" w:lineRule="auto"/>
        <w:tabs>
          <w:tab w:leader="none" w:pos="20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debt - For the three and six months ended June 30, 2025 (Successor), the Company modified the WTI Facility, and such modification was accounted for as a debt extinguishment while no debt was repaid. There was no loss on extinguishment of debt for the three and six months ended June 30, 2024 (Predecessor).</w:t>
      </w:r>
    </w:p>
    <w:p>
      <w:pPr>
        <w:ind w:right="20" w:firstLine="8"/>
        <w:spacing w:after="0" w:line="283" w:lineRule="auto"/>
        <w:tabs>
          <w:tab w:leader="none" w:pos="21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related party debt - For the three and six months ended June 30, 2025 (Successor), the Company extinguished certain related party debts by issuing Series C Preferred Stock. There was no loss on extinguishment of related party debt for the three and six months ended June 30, 2024 (Predecessor).</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(in thousands, except as otherwise noted)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more detail below, management has concluded that there is substantial doubt about our ability to continue as a going concern within one year after the date that these consolidated financial statements included in Item 1. of this Form 10-Q were issued. The condensed consolidated financial statements have been prepared assuming that we will continue as a going concern and, accordingly, do not include any adjustments that might result from the outcome of this uncertainty.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liquidity, we monitor and analyze cash on hand and operating expenditure commitments. Our liquidity needs are to meet working capital requirements and operating expense obligations. To date we have financed our operations primarily through cash flows from investing and financing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liquidity as of June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137160</wp:posOffset>
            </wp:positionV>
            <wp:extent cx="2700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w:t>
            </w: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us and our Operating Companies to (i) support the growth of the business and the current business strategy; (ii) fund working capital, capital expenditures and general corporate expenditures; and (iii) support other business opportunities and expenditures. Based on current projections, we estimate that Innventure and its Operating Companies will require, in addition to cash on hand, at least $50,000 to meet our collective liquidity requirements for the next 12 months and, to grow the Operating Companies in accordance with our current business plan, the Operating Companies will require at least an additional $25,000.</w:t>
      </w:r>
    </w:p>
    <w:p>
      <w:pPr>
        <w:spacing w:after="0" w:line="11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We expect to satisfy our liquidity requirements through cash on hand, cash generated from the operations of our Operating Companies and the Standby Equity Purchase Agreement (the “SEPA”) with YA II PN, Ltd. (“Yorkville”) (maximum remaining availability of approximately $70,000 as of June 30, 2025), as well as proceeds from additional financings completed by us or our Operating Companies. During the three and six months ended June 30, 2025 (Successor), the Technology segment raised approximately $460 and $5,610 of additional equity financing, respectively, in comparison to approximately $7,438 and $11,293 during the three and six months ended June 30, 2024 (Predecessor),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Bridge Financing</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the Company converted and repaid the aggregate outstanding amount of unsecured promissory notes with two related parties, originally entered into on August 20, 2024, and issued shares of the Company’s Series C Preferred Stock and paid cash to settle the unsecured promissory notes and all outstanding obligations with these parties. See further discussion in Note 5. Borrowings within the notes to the condensed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 Stock</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3,000,000 shares of the authorized preferred stock are designated as Series B preferred stock,$0.0001 par value per share (“Series B Preferred Stock”). 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of Series B Preferred Stock, to December 31, 2024, as a payment in kind at the specified rate. See further discussion of the Series B Preferred Stock in Note 11. Stockholders' Equity within the notes to the condensed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C Preferred Stock</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5,000,000 shares of preferred stock are designated as Series C Preferred Stock, $0.0001 par value per share (the “Series C Preferred Stock”). On March 24, 2025, Innventure issued 2,885,848 shares of Series C Preferred Stock at the original issue price for a total amount of $28,858. The consideration received by the Company was in the form of cash, services rendered and the cancellation of related party debt. See further discussion of the Series C Preferred Stock in Note 11. Stockholders' Equity within the notes to the condensed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Standby Equity Purchase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This agreement became effective concurrently with the Business Combination.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 share, at the Company’s request any time during the commitment period commencing on the Closing and continuing for a term of 3 years.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(Successor), the Company issued 473,825 shares of its Common Stock pursuant to the SEPA in payment of $2,335 of principal and $117 of payment premium of the Convertible Debentures.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(Successor), in addition to the Common Stock issuances pursuant to the SEPA made in repayment towards the Convertible Debentures, the Company sold nil and 73,993 shares of Common Stock under the SEPA, respectively, raising $— and $931 in cash proceeds, respectively, which is classified within Issuance of common shares, net of issuance costs in the condensed consolidated statements of changes in mezzanine and stockholders' equity (deficit).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Debentures</w:t>
      </w:r>
    </w:p>
    <w:p>
      <w:pPr>
        <w:spacing w:after="0" w:line="15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March 25, 2025, the Company entered into the Securities Purchase Agreement for the issuance and sale of the Convertible Debentures with an aggregate principal amount of up to $30,000. These Convertible Debentures will be convertible into shares of Common Stock under certain circumstances. The Company issued the aggregate principal amount of Convertible Debentures in two tranches tied to separate reporting and filing requirements. On April 14, 2025 and May 15, 2025, the Company issued the first and second tranches of Convertible Debentures with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80"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principal amounts of $20,000 and $10,000, respectively, and received gross proceeds of $18,000 and $9,000, respectively. In connection with the issuance of the Convertible Debentures, also 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The 2025 WTI Warrants were issued to the WTI Holders as consideration for the WTI Holders and other parties entering into the Consent in connection with the issuance of the first tranche of the Convertible Debentures to Yorkville under the Securities Purchase Agreement. See further discussion in Note 5. Borrowings within the notes to the condensed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Convertible Notes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Accelsius entered into unsecured convertible notes with various other parties (the “Term Convertible Notes”) for a total principal amount of $7,750. As of June 30, 2025, $2,750 of agreements were executed and $2,450 of proceeds had been received. The Term Convertible Notes have a stated maturity date of December 31, 2026 and bear interest at the annual applicable federal rate published by the Internal Revenue Service. Accelsius applied the proceeds from the issuance of the Term Convertible Notes to repay (together with the repayment from the proceeds of the Related Party Term Convertible Notes defined below the “Repayment”) borrowings under the Loan and Security Agreement between Innventure LLC and Accelsius, dated as of March 30, 2023 (the “Innventure Convertible Line of Credit”).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Convertible Notes, which are subordinated to the WTI Facility, are convertible at the option of the lenders, starting January 2, 2026, for all amounts due under the notes at the time of conversion, into Accelsius’ Series A Units at a price per unit equal to $12.175. The lenders will not demand payment related to this Term Convertible Notes, unless they convert the debt into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Convertible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26, 2025, Accelsius entered into an unsecured Convertible Promissory Note (“CPN”) with a related party lender. The maximum principal amount under the CPN is $3,000, issuable in three equal draws, upon the request of Accelsius and subject to the related party’s sole discretion. Accelsius received the first draw amounting to $1,000 on June 27, 2025. The CPN has a stated interest rate of 15% and Accelsius is required to pay a loan fee (“Loan Fee”) of $35 upon maturity, repayment or conversion of this note.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CPN is convertible at the option of the related party lender for all amounts due under the Convertible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CPN has a maturity date of December 31, 2025; is subordinated to the WTI Facility and the Convertible Debentures; and each of the WTI Lenders and Yorkville have been granted certain rights under the CPN. The CPN related party lender will not demand payment of this note, for so long as any portion of the WTI Facility or Convertible Debentures remains outstanding. Furthermore, pursuant to a Side Letter, dated June 26, 2025, by and among the Company, Innventure LLC, Accelsius and the related party, until such time as the CPN is either repaid in full or converted into equity of Accelsius, the Company will not seek repayment of any portion of that certain Loan and Security Agreement between Innventure LLC and Accelsius, dated as of March 30, 2023 (subject to certain exceptions).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Accelsius also entered into unsecured convertible notes (“Related Party Term Convertible Notes”, together with the CPN, the “Related Party Convertible Notes”) with certain investors deemed to be Related Parties (as defind in the Company’s Related Party Transactions Policy) for a total principal amount of $4,250. Proceeds of $3,000 from the Related Party Term Convertible Notes were received as of June 30, 2025. The Related Party Term Convertible Notes have a stated maturity date of December 31, 2026 and bear interest at the annual applicable federal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published by the Internal Revenue Service. Accelsius applied the proceeds from the issuance of the Related Party Term Convertible Notes to repay borrowings under the Innventure Convertible Line of Credit. As a result of the Repayment, the Company’s indirect beneficial holdings, through Innventure LLC, of Accelsius may be reduced in the event that the Term Convertible Notes are converted into Series A Units of Accelsius.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Related Party Term Convertible Notes, which are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six months ended June 30, 2025 (Successor) and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(Predecessor)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178"/>
        </w:trPr>
        <w:tc>
          <w:tcPr>
            <w:tcW w:w="5300" w:type="dxa"/>
            <w:vAlign w:val="bottom"/>
          </w:tcPr>
          <w:p>
            <w:pPr>
              <w:spacing w:after="0"/>
              <w:rPr>
                <w:sz w:val="15"/>
                <w:szCs w:val="15"/>
                <w:color w:val="auto"/>
              </w:rPr>
            </w:pPr>
          </w:p>
        </w:tc>
        <w:tc>
          <w:tcPr>
            <w:tcW w:w="16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80" w:type="dxa"/>
            <w:vAlign w:val="bottom"/>
          </w:tcPr>
          <w:p>
            <w:pPr>
              <w:spacing w:after="0"/>
              <w:rPr>
                <w:sz w:val="15"/>
                <w:szCs w:val="15"/>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0"/>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r>
      <w:tr>
        <w:trPr>
          <w:trHeight w:val="37"/>
        </w:trPr>
        <w:tc>
          <w:tcPr>
            <w:tcW w:w="5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(20,363)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737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 %</w:t>
            </w:r>
          </w:p>
        </w:tc>
      </w:tr>
      <w:tr>
        <w:trPr>
          <w:trHeight w:val="37"/>
        </w:trPr>
        <w:tc>
          <w:tcPr>
            <w:tcW w:w="5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29"/>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41,240</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20,966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8"/>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846</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(494)</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1,340</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271.3 %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-633730</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used in operating activities were $36,754 for the six months ended June 30, 2025 (Successor), as compared to $16,391 for the six months ended June 30, 2024 (Predecessor), an increase of $20,363, or 124.2%. The increase is primarily related to an increase in the Company’s operating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by Investing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were $3,640 for the six months ended June 30, 2025 (Successor), as compared to $4,377 for the six months ended June 30, 2024 (Predecessor), a decrease of $737 or 16.8%. The decrease is primarily related to reduced proceeds from sales of investments and lower advances to an equity method investee, offset by investment in available-for sale debt securities and increased acquisitions of property, plant and equipment.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were $41,240 for the six months ended June 30, 2025 (Successor), as compared to $20,274 for the six months ended June 30, 2024 (Predecessor), an increase of $20,966 or 103.4%. The increase is primarily related to proceeds from the issuance of additional debt financing.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5. Borrowings to our condensed consolidated financial statements for the three and six months ended June 30, 2025 (Successor) and three and six months ended June 30, 2024 (Predecessor) included in Item 1. of this Form 10-Q for a discussion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June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2025 (remaining</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0"/>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6 months)</w:t>
            </w:r>
          </w:p>
        </w:tc>
        <w:tc>
          <w:tcPr>
            <w:tcW w:w="260" w:type="dxa"/>
            <w:vAlign w:val="bottom"/>
          </w:tcPr>
          <w:p>
            <w:pPr>
              <w:spacing w:after="0"/>
              <w:rPr>
                <w:sz w:val="16"/>
                <w:szCs w:val="16"/>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55,050</w:t>
            </w: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future installments payable</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14,020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30,752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9,536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5,614</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69,822</w:t>
            </w:r>
          </w:p>
        </w:tc>
      </w:tr>
      <w:tr>
        <w:trPr>
          <w:trHeight w:val="21"/>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-711200</wp:posOffset>
            </wp:positionV>
            <wp:extent cx="59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-711200</wp:posOffset>
            </wp:positionV>
            <wp:extent cx="59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-711200</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-711200</wp:posOffset>
            </wp:positionV>
            <wp:extent cx="59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-711200</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continue to have an ongoing need to raise significant additional cash from outside sources to sustain our operations and fund our growth plans.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w:t>
      </w:r>
    </w:p>
    <w:p>
      <w:pPr>
        <w:spacing w:after="0" w:line="3" w:lineRule="exact"/>
        <w:rPr>
          <w:sz w:val="20"/>
          <w:szCs w:val="20"/>
          <w:color w:val="auto"/>
        </w:rPr>
      </w:pPr>
    </w:p>
    <w:p>
      <w:pPr>
        <w:jc w:val="both"/>
        <w:ind w:firstLine="8"/>
        <w:spacing w:after="0" w:line="252" w:lineRule="auto"/>
        <w:tabs>
          <w:tab w:leader="none" w:pos="3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2024 Annual Report.</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that we will continue as a going concern and, accordingly,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Accounting Policies to our unaudited condensed consolidated financial statements included in this Form 10-Q, there have been no material changes to our critical accounting policies and estimates as compared to the critical accounting policies and estimates disclosed in the 2024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that are filed or submitted under the Exchange Act is accumulated and communicated to management, including the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as ours are designed to do, and management necessarily applies its judgment in evaluating the cost-benefit relationship of possible controls and procedures.</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Based on that evaluation, the Chief Executive Officer and the Chief Financial Officer have concluded that the Company's disclosure controls and procedures were not effective at a reasonable level of assurance as of June 30, 2025, because of the material weaknesses in our internal control over financial reporting.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weaknesses identified were as follows:</w:t>
      </w:r>
    </w:p>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24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did not include necessary information technology general controls including related to (i) periodic user access reviews, (ii) user provisioning and de-provisioning, (iii) restriction of privileged access and (iv) authentication settings;</w:t>
      </w:r>
    </w:p>
    <w:p>
      <w:pPr>
        <w:spacing w:after="0" w:line="21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effectively designed and implemented controls over the costing and existence of inventory as of September 30, 2024, including controls over the calculation of such inventory on the weighted average basis;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made an error in its assessment of the accounting acquirer in conjunction with the transaction, which resulted in an incorrect conclusion that the transaction was an asset acquisition. Additionally, management’s control over the forecast prepared for Accelsius was not effective, resulting in an adjusted forecast for purposes of the purchase accounting;</w:t>
      </w:r>
    </w:p>
    <w:p>
      <w:pPr>
        <w:spacing w:after="0" w:line="19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evidence of control procedures over the periodic reconciliation of significant accounts. This included lack of segregation of duties and lack of review.</w:t>
      </w:r>
    </w:p>
    <w:p>
      <w:pPr>
        <w:spacing w:after="0" w:line="19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and (c) segregation of duties.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in the process of establishing and is refining its internal procedures and controls to address the material weaknesses previously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There are presently no material pending legal proceedings to which the Company (including AeroFlexx, Accelsius and Refinity)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Equity Securities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14, 2025, the Company issued a Convertible Debenture to Yorkville with a principal amount of $20,000,000 (the “First Convertible Debenture”), and on May 15, 2025, the Company issued a second Convertible Debenture to Yorkville with a principal amount of $10,000,000 (together with the First Convertible Debenture, the “Convertible Debentures”), each pursuant to the terms of the Securities Purchase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Convertible Debentures are convertible at the option of the holder into Common Stock equal to the applicable Conversion Amount (as defined below) divided by the Conversion Price (as defined in the Securities Purchase Agreement). The conversion price for the Convertible Debentures initially is $10.00 and will be adjusted on the six-month anniversary of the First Closing Date (the “First Reset Date”) and the nine-month anniversary of the First 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Convertible Debentures may be converted at any time and from time to time, subject to the Exchange Cap (as defined in the Securities Purchase Agreement). The Conversion Amount with respect to any requested conversion will equal the principal amount requested to be converted plus all accrued and unpaid interest on the Convertible Debentures as of such conversion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4, 2025, Yorkville and the Company entered into an amendment to the Convertible Debentures (the “Amendment”), pursuant to which the parties agreed to amend the definition of “Conversion Price” as set forth in Section 12(n) of the Convertible Debentures to add a price floor of $2.00 to the definition of Conversion Price. The Conversion Price may be adjusted from time to time upon the occurrence of certain events pursuant to the other terms and conditions of the Convertible Debentures.</w:t>
      </w:r>
    </w:p>
    <w:p>
      <w:pPr>
        <w:spacing w:after="0" w:line="16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The 2025 WTI Warrants include customary registration rights and change-of-control adjustments. The WTI Holders also have the option to purchase up to $1.5 million (in the aggregate) or such amount as is necessary for each of the WTI Holders to maintain its pro rata ownership in certain future financings conducted by the Company, subject to customary exclusions.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 2025, the Company issued Yorkville 44,000 shares of Common Stock at an effective price of $3.99 per share; on May 21, 2025, the Company issued Yorkville 37,724 shares of Common Stock at an effective price of $5.50 per share; on May 29, 2025, the Company issued Yorkville 32,501 shares of Common Stock at an effective price of $5.59 per share; on June 4, 2025, the Company issued Yorkville 4,713 shares of Common Stock at an effective price of $5.75 per share; on June 9, 2025, the Company issued Yorkville 100,000 shares of Common Stock at an effective price of $5.46 per share; on June 12, 2025, the Company issued Yorkville 93,333 shares of Common Stock at an effective price of $5.36 per share; on June 17, 2025, the Company issued Yorkville 35,000 shares of Common Stock at an effective price of $4.86 per share; on June 23, 2025, the Company issued Yorkville 115,000 shares of Common Stock at an effective price of $5.12 per share; and on June 25, 2025, the Company issued Yorkville 11,554 shares of Common Stock at an effective price of $5.75 per share, each pursuant to the terms of the SEPA. 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Repurchases of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20, 2025, Daniel Hennessy, a director of the Company, adopted a “Rule 10b5-1 trading arrangement” (as defined in Item 408 of Regulation S-K) that is intended to commence on October 4, 2025 and satisfy the affirmative defense of Rule 10b5-1(c) for the sale of up to 1,170,262 shares of the Company’s Common Stock until May 31,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described above, none of our directors or officers (as defined in Rule 16a-1(f) under the Exchange Act) adopted, modified or terminated a Rule 10b5-1 trading arrangement or a “non-Rule 10b5-1 trading arrangement” (as defined in Item 408 of Regulation S-K) during the fiscal quarter ended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 Modification</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providing the following disclosures in lieu of filing a Current Report on Form 8-K relating to Item 5.02 (Departure of Directors or Certain Officers; Election of Directors; Appointment of Certain Officers; Compensatory Arrangements of Certain Officers):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on March 22, 2024, Accelsius granted 100,000 Class C Units of Accelsius (“Accelsius Incentive Units”) to Mr. Mike Otworth (Innventure’s Executive Chairman) pursuant to a Unit Issuance and Restriction Agreement (the “Award Agreement”). The Accelsius Incentive Units entitle the holders thereof to participate in distributions of Accelsius after certain members of Accelsius have received the return of an amount specified with respect to the Accelsius Incentive Unit award (the “Accelsius Distribution Threshold”). Mr. Otworth’s Accelsius Incentive Units were granted with an Accelsius Distribution Threshold of $4.41. In general, under the terms of the Award Agreement, these Accelsius Incentive Units vest over a three-year period, with 25% vesting on the grant date and 9.375% vesting quarterly beginning on the one-year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Mr. Otworth’s continued service to Accelsius or one of its subsidiaries. Approximately 46,875 units of Mr. Otworth’s Accelsius Incentive Units have not yet vested (the “Unvested Otworth Units”).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11, 2025, each of the Board of Directors of Accelsius and Innventure’s Compensation Committee approved the acceleration and immediate vesting of the Unvested Otworth Units, effective as of August 14, 2025, and authorized certain officers of Accelsius to make such amendments to the Award Agreement as are necessary to effect the acceleration and immediate vesting of the Unvested Otworth Units.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6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60" w:type="dxa"/>
            <w:vAlign w:val="bottom"/>
            <w:gridSpan w:val="3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4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color w:val="auto"/>
                <w:w w:val="97"/>
              </w:rPr>
              <w:t>2.1+</w:t>
            </w:r>
          </w:p>
        </w:tc>
        <w:tc>
          <w:tcPr>
            <w:tcW w:w="9860" w:type="dxa"/>
            <w:vAlign w:val="bottom"/>
            <w:gridSpan w:val="33"/>
          </w:tcPr>
          <w:p>
            <w:pPr>
              <w:spacing w:after="0" w:line="194"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Business Combination Agreement, dated as of October 24, 2023, by and among Learn SPAC Holdco, Inc., Learn CW Investment</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Corporation, LCW Merger Sub, Inc., Innventure LLC and Innventure Merger Sub, LLC (incorporated by reference to Annex A to</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702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Innventure, Inc.’s Registration Statement on Form S-4 filed with the SEC on September 6, 2024).</w:t>
              </w:r>
            </w:hyperlink>
          </w:p>
        </w:tc>
        <w:tc>
          <w:tcPr>
            <w:tcW w:w="232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Amended and Restated Certificate of Incorporation of Innventure, Inc., filed with the Secretary of State of Delaware on October 2, 2024</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(incorporated by reference to Exhibit 3.1 to Innventure Inc.’s Current Report on Form 8-K filed with the SEC on October 9, 2024).</w:t>
              </w:r>
            </w:hyperlink>
          </w:p>
        </w:tc>
        <w:tc>
          <w:tcPr>
            <w:tcW w:w="3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3.2</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By-laws of Innventure, Inc. (incorporated by reference to Exhibit 3.2 to Innventure Inc.’s Current Report on Form 8-K filed with the</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5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SEC on October 9, 2024).</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3.3</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Certificate of Designation of Series B Preferred Stock, dated October 2, 2024, of Innventure, Inc. (incorporated by reference to Exhibit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Innventure, Inc.’s Quarterly Report on Form 10-Q filed with the SEC on May 15, 2025).</w:t>
              </w:r>
            </w:hyperlink>
          </w:p>
        </w:tc>
        <w:tc>
          <w:tcPr>
            <w:tcW w:w="340" w:type="dxa"/>
            <w:vAlign w:val="bottom"/>
            <w:tcBorders>
              <w:top w:val="single" w:sz="8" w:color="0000FF"/>
            </w:tcBorders>
            <w:gridSpan w:val="3"/>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gridSpan w:val="4"/>
          </w:tcPr>
          <w:p>
            <w:pPr>
              <w:spacing w:after="0"/>
              <w:rPr>
                <w:sz w:val="13"/>
                <w:szCs w:val="13"/>
                <w:color w:val="auto"/>
              </w:rPr>
            </w:pPr>
          </w:p>
        </w:tc>
        <w:tc>
          <w:tcPr>
            <w:tcW w:w="1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3.4</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Certificate of Designation of Series C Preferred Stock, dated March 24, 2025, of Innventure, Inc. (incorporated by reference to Exhibit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Innventure Inc.’s Current Report on Form 8-K filed with the SEC on March 25,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4.1^</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First Convertible Debenture, issued to YA II PN, Ltd., dated April 14, 2024 (incorporated by reference to Exhibit 4.1 to Innventure,</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4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Inc.’s Current Report on Form 8-K dated April 14, 2025).</w:t>
              </w:r>
            </w:hyperlink>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4.2^</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Warrant to Acquire Securities of Innventure, Inc., issued to WTI Fund X, LLC on April 14, 2025 (incorporated by reference to Exhibit</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6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Innventure, Inc.’s Current Report on Form 8-K dated April 14,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4.3^</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Warrant to Acquire Securities of Innventure, Inc., issued to WTI Fund XI, LLC on April 14, 2025 incorporated by reference to Exhibit</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6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Innventure, Inc.’s Current Report on Form 8-K dated April 14,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4.4^</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Second Convertible Debenture, issued to YA II PN, Ltd., dated May 15, 2025 (incorporated by reference to Exhibit 4.1 to Innventure,</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458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Inc.’s Current Report on Form 8-K filed with the SEC on May</w:t>
              </w:r>
            </w:hyperlink>
          </w:p>
        </w:tc>
        <w:tc>
          <w:tcPr>
            <w:tcW w:w="980" w:type="dxa"/>
            <w:vAlign w:val="bottom"/>
            <w:tcBorders>
              <w:top w:val="single" w:sz="8" w:color="0000FF"/>
            </w:tcBorders>
            <w:gridSpan w:val="3"/>
          </w:tcPr>
          <w:p>
            <w:pPr>
              <w:jc w:val="right"/>
              <w:ind w:right="300"/>
              <w:spacing w:after="0" w:line="156" w:lineRule="exact"/>
              <w:rPr>
                <w:rFonts w:ascii="Times New Roman" w:cs="Times New Roman" w:eastAsia="Times New Roman" w:hAnsi="Times New Roman"/>
                <w:sz w:val="18"/>
                <w:szCs w:val="18"/>
                <w:color w:val="0000FF"/>
                <w:w w:val="89"/>
              </w:rPr>
            </w:pPr>
            <w:hyperlink r:id="rId30">
              <w:r>
                <w:rPr>
                  <w:rFonts w:ascii="Times New Roman" w:cs="Times New Roman" w:eastAsia="Times New Roman" w:hAnsi="Times New Roman"/>
                  <w:sz w:val="18"/>
                  <w:szCs w:val="18"/>
                  <w:color w:val="0000FF"/>
                  <w:w w:val="89"/>
                </w:rPr>
                <w:t>15, 2025).</w:t>
              </w:r>
            </w:hyperlink>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gridSpan w:val="3"/>
          </w:tcPr>
          <w:p>
            <w:pPr>
              <w:spacing w:after="0"/>
              <w:rPr>
                <w:sz w:val="13"/>
                <w:szCs w:val="13"/>
                <w:color w:val="auto"/>
              </w:rPr>
            </w:pPr>
          </w:p>
        </w:tc>
        <w:tc>
          <w:tcPr>
            <w:tcW w:w="260" w:type="dxa"/>
            <w:vAlign w:val="bottom"/>
            <w:tcBorders>
              <w:top w:val="single" w:sz="8" w:color="0000FF"/>
            </w:tcBorders>
            <w:gridSpan w:val="2"/>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Global Guaranty Agreement by Innventure, LLC dated April 14, 2025 (incorporated by reference to Exhibit 10.1 to Innventure, Inc.’s</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6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Current Report on Form 8-K dated April 14, 2025).</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9860" w:type="dxa"/>
            <w:vAlign w:val="bottom"/>
            <w:gridSpan w:val="33"/>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Registration Rights Agreement, dated April 14, 2025, between Innventure, Inc. and YA II PN, Ltd. (incorporated by reference to Exhibit</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Innventure, Inc.’s Current Report on Form 8-K dated April 14, 2025).</w:t>
              </w:r>
            </w:hyperlink>
          </w:p>
        </w:tc>
        <w:tc>
          <w:tcPr>
            <w:tcW w:w="4260" w:type="dxa"/>
            <w:vAlign w:val="bottom"/>
            <w:tcBorders>
              <w:top w:val="single" w:sz="8" w:color="0000FF"/>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Form of Voting Agreement (incorporated by reference to Exhibit 10.1 to Innventure, Inc.’s Current Report on Form 8-K dated May 15,</w:t>
              </w:r>
            </w:hyperlink>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640" w:type="dxa"/>
            <w:vAlign w:val="bottom"/>
            <w:tcBorders>
              <w:top w:val="single" w:sz="8" w:color="0000FF"/>
            </w:tcBorders>
            <w:gridSpan w:val="2"/>
          </w:tcPr>
          <w:p>
            <w:pPr>
              <w:spacing w:after="0" w:line="136" w:lineRule="exact"/>
              <w:rPr>
                <w:rFonts w:ascii="Times New Roman" w:cs="Times New Roman" w:eastAsia="Times New Roman" w:hAnsi="Times New Roman"/>
                <w:sz w:val="15"/>
                <w:szCs w:val="15"/>
                <w:color w:val="0000FF"/>
              </w:rPr>
            </w:pPr>
            <w:hyperlink r:id="rId33">
              <w:r>
                <w:rPr>
                  <w:rFonts w:ascii="Times New Roman" w:cs="Times New Roman" w:eastAsia="Times New Roman" w:hAnsi="Times New Roman"/>
                  <w:sz w:val="15"/>
                  <w:szCs w:val="15"/>
                  <w:color w:val="0000FF"/>
                </w:rPr>
                <w:t>2025).</w:t>
              </w:r>
            </w:hyperlink>
          </w:p>
        </w:tc>
        <w:tc>
          <w:tcPr>
            <w:tcW w:w="1220" w:type="dxa"/>
            <w:vAlign w:val="bottom"/>
            <w:tcBorders>
              <w:top w:val="single" w:sz="8" w:color="0000FF"/>
            </w:tcBorders>
          </w:tcPr>
          <w:p>
            <w:pPr>
              <w:spacing w:after="0"/>
              <w:rPr>
                <w:sz w:val="11"/>
                <w:szCs w:val="11"/>
                <w:color w:val="auto"/>
              </w:rPr>
            </w:pPr>
          </w:p>
        </w:tc>
        <w:tc>
          <w:tcPr>
            <w:tcW w:w="184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Amendment to Convertible Debentures, dated as of June 4, 2025, by and between Innventure, Inc. and YA II PN, Ltd. (incorporated by</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reference to Exhibit 10.1 to Innventure, Inc.’s Current Report on Form 8-K dated June 4, 2025).</w:t>
              </w:r>
            </w:hyperlink>
          </w:p>
        </w:tc>
        <w:tc>
          <w:tcPr>
            <w:tcW w:w="28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10.5</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Form of Term Convertible Note (incorporated by reference to Exhibit 10.1 to Innventure, Inc.’s Current Report on Form 8-K dated July</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6"/>
              </w:rPr>
            </w:pPr>
            <w:hyperlink r:id="rId35">
              <w:r>
                <w:rPr>
                  <w:rFonts w:ascii="Times New Roman" w:cs="Times New Roman" w:eastAsia="Times New Roman" w:hAnsi="Times New Roman"/>
                  <w:sz w:val="18"/>
                  <w:szCs w:val="18"/>
                  <w:color w:val="0000FF"/>
                  <w:w w:val="96"/>
                </w:rPr>
                <w:t>1, 2025).</w:t>
              </w:r>
            </w:hyperlink>
          </w:p>
        </w:tc>
        <w:tc>
          <w:tcPr>
            <w:tcW w:w="122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10.6</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Letter Agreement, dated as of June 26, 2025, by and among Innventure, Inc., Innventure LLC and Accelsius Holdings LLC</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55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36">
              <w:r>
                <w:rPr>
                  <w:rFonts w:ascii="Times New Roman" w:cs="Times New Roman" w:eastAsia="Times New Roman" w:hAnsi="Times New Roman"/>
                  <w:sz w:val="18"/>
                  <w:szCs w:val="18"/>
                  <w:color w:val="0000FF"/>
                  <w:w w:val="98"/>
                </w:rPr>
                <w:t>(incorporated by reference to Exhibit 10.2 to Innventure, Inc.’s Current Report</w:t>
              </w:r>
            </w:hyperlink>
          </w:p>
        </w:tc>
        <w:tc>
          <w:tcPr>
            <w:tcW w:w="20" w:type="dxa"/>
            <w:vAlign w:val="bottom"/>
            <w:tcBorders>
              <w:bottom w:val="single" w:sz="8" w:color="0000FF"/>
            </w:tcBorders>
          </w:tcPr>
          <w:p>
            <w:pPr>
              <w:spacing w:after="0"/>
              <w:rPr>
                <w:sz w:val="13"/>
                <w:szCs w:val="13"/>
                <w:color w:val="auto"/>
              </w:rPr>
            </w:pPr>
          </w:p>
        </w:tc>
        <w:tc>
          <w:tcPr>
            <w:tcW w:w="2500" w:type="dxa"/>
            <w:vAlign w:val="bottom"/>
            <w:tcBorders>
              <w:top w:val="single" w:sz="8" w:color="0000FF"/>
              <w:bottom w:val="single" w:sz="8" w:color="0000FF"/>
            </w:tcBorders>
            <w:gridSpan w:val="6"/>
          </w:tcPr>
          <w:p>
            <w:pPr>
              <w:ind w:left="100"/>
              <w:spacing w:after="0" w:line="156" w:lineRule="exact"/>
              <w:rPr>
                <w:rFonts w:ascii="Times New Roman" w:cs="Times New Roman" w:eastAsia="Times New Roman" w:hAnsi="Times New Roman"/>
                <w:sz w:val="18"/>
                <w:szCs w:val="18"/>
                <w:color w:val="0000FF"/>
                <w:w w:val="98"/>
              </w:rPr>
            </w:pPr>
            <w:hyperlink r:id="rId36">
              <w:r>
                <w:rPr>
                  <w:rFonts w:ascii="Times New Roman" w:cs="Times New Roman" w:eastAsia="Times New Roman" w:hAnsi="Times New Roman"/>
                  <w:sz w:val="18"/>
                  <w:szCs w:val="18"/>
                  <w:color w:val="0000FF"/>
                  <w:w w:val="98"/>
                </w:rPr>
                <w:t>on Form 8-K dated July 1, 2025).</w:t>
              </w:r>
            </w:hyperlink>
          </w:p>
        </w:tc>
        <w:tc>
          <w:tcPr>
            <w:tcW w:w="780" w:type="dxa"/>
            <w:vAlign w:val="bottom"/>
            <w:tcBorders>
              <w:top w:val="single" w:sz="8" w:color="0000FF"/>
            </w:tcBorders>
          </w:tcPr>
          <w:p>
            <w:pPr>
              <w:spacing w:after="0"/>
              <w:rPr>
                <w:sz w:val="13"/>
                <w:szCs w:val="13"/>
                <w:color w:val="auto"/>
              </w:rPr>
            </w:pPr>
          </w:p>
        </w:tc>
        <w:tc>
          <w:tcPr>
            <w:tcW w:w="98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10.7</w:t>
            </w:r>
          </w:p>
        </w:tc>
        <w:tc>
          <w:tcPr>
            <w:tcW w:w="98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Form of Bridge Convertible Note (incorporated by reference to Exhibit 10.3 to Innventure, Inc.’s Current Report on Form 8-K dated July</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6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6"/>
              </w:rPr>
            </w:pPr>
            <w:hyperlink r:id="rId37">
              <w:r>
                <w:rPr>
                  <w:rFonts w:ascii="Times New Roman" w:cs="Times New Roman" w:eastAsia="Times New Roman" w:hAnsi="Times New Roman"/>
                  <w:sz w:val="18"/>
                  <w:szCs w:val="18"/>
                  <w:color w:val="0000FF"/>
                  <w:w w:val="96"/>
                </w:rPr>
                <w:t>1, 2025).</w:t>
              </w:r>
            </w:hyperlink>
          </w:p>
        </w:tc>
        <w:tc>
          <w:tcPr>
            <w:tcW w:w="1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78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10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780" w:type="dxa"/>
            <w:vAlign w:val="bottom"/>
            <w:gridSpan w:val="1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040" w:type="dxa"/>
            <w:vAlign w:val="bottom"/>
          </w:tcPr>
          <w:p>
            <w:pPr>
              <w:jc w:val="center"/>
              <w:ind w:right="310"/>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9780" w:type="dxa"/>
            <w:vAlign w:val="bottom"/>
            <w:gridSpan w:val="13"/>
          </w:tcPr>
          <w:p>
            <w:pPr>
              <w:spacing w:after="0" w:line="194"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Form of Amendment to Stock Appreciation Right Award Agreement (incorporated by reference to Exhibit 10.4 to Innventure, Inc.’s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Current Report on Form 8-K dated July 1, 2025).</w:t>
              </w:r>
            </w:hyperlink>
          </w:p>
        </w:tc>
        <w:tc>
          <w:tcPr>
            <w:tcW w:w="5980" w:type="dxa"/>
            <w:vAlign w:val="bottom"/>
            <w:tcBorders>
              <w:top w:val="single" w:sz="8" w:color="0000FF"/>
            </w:tcBorders>
            <w:gridSpan w:val="9"/>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10.9^#</w:t>
            </w:r>
          </w:p>
        </w:tc>
        <w:tc>
          <w:tcPr>
            <w:tcW w:w="9780" w:type="dxa"/>
            <w:vAlign w:val="bottom"/>
            <w:gridSpan w:val="13"/>
          </w:tcPr>
          <w:p>
            <w:pPr>
              <w:spacing w:after="0"/>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Amended and Restated Technology License and Know-How Agreement, dated June 30, 2025, among Accelsius, LLC, Innventure LLC</w:t>
              </w:r>
            </w:hyperlink>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68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39">
              <w:r>
                <w:rPr>
                  <w:rFonts w:ascii="Times New Roman" w:cs="Times New Roman" w:eastAsia="Times New Roman" w:hAnsi="Times New Roman"/>
                  <w:sz w:val="18"/>
                  <w:szCs w:val="18"/>
                  <w:color w:val="0000FF"/>
                  <w:w w:val="98"/>
                </w:rPr>
                <w:t>(solely as specifically set forth therein), Nokia Technologies Oy, Nokia Solutions and Networks</w:t>
              </w:r>
            </w:hyperlink>
          </w:p>
        </w:tc>
        <w:tc>
          <w:tcPr>
            <w:tcW w:w="20" w:type="dxa"/>
            <w:vAlign w:val="bottom"/>
            <w:tcBorders>
              <w:bottom w:val="single" w:sz="8" w:color="0000FF"/>
            </w:tcBorders>
          </w:tcPr>
          <w:p>
            <w:pPr>
              <w:spacing w:after="0"/>
              <w:rPr>
                <w:sz w:val="15"/>
                <w:szCs w:val="15"/>
                <w:color w:val="auto"/>
              </w:rPr>
            </w:pPr>
          </w:p>
        </w:tc>
        <w:tc>
          <w:tcPr>
            <w:tcW w:w="2900" w:type="dxa"/>
            <w:vAlign w:val="bottom"/>
            <w:tcBorders>
              <w:top w:val="single" w:sz="8" w:color="0000FF"/>
              <w:bottom w:val="single" w:sz="8" w:color="0000FF"/>
            </w:tcBorders>
            <w:gridSpan w:val="7"/>
          </w:tcPr>
          <w:p>
            <w:pPr>
              <w:ind w:left="100"/>
              <w:spacing w:after="0" w:line="156" w:lineRule="exact"/>
              <w:rPr>
                <w:rFonts w:ascii="Times New Roman" w:cs="Times New Roman" w:eastAsia="Times New Roman" w:hAnsi="Times New Roman"/>
                <w:sz w:val="18"/>
                <w:szCs w:val="18"/>
                <w:color w:val="0000FF"/>
                <w:w w:val="98"/>
              </w:rPr>
            </w:pPr>
            <w:hyperlink r:id="rId39">
              <w:r>
                <w:rPr>
                  <w:rFonts w:ascii="Times New Roman" w:cs="Times New Roman" w:eastAsia="Times New Roman" w:hAnsi="Times New Roman"/>
                  <w:sz w:val="18"/>
                  <w:szCs w:val="18"/>
                  <w:color w:val="0000FF"/>
                  <w:w w:val="98"/>
                </w:rPr>
                <w:t>Oy, and Nokia of America Corporation</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680" w:type="dxa"/>
            <w:vAlign w:val="bottom"/>
            <w:tcBorders>
              <w:bottom w:val="single" w:sz="8" w:color="0000FF"/>
            </w:tcBorders>
            <w:gridSpan w:val="2"/>
          </w:tcPr>
          <w:p>
            <w:pPr>
              <w:spacing w:after="0" w:line="149" w:lineRule="exact"/>
              <w:rPr>
                <w:rFonts w:ascii="Times New Roman" w:cs="Times New Roman" w:eastAsia="Times New Roman" w:hAnsi="Times New Roman"/>
                <w:sz w:val="17"/>
                <w:szCs w:val="17"/>
                <w:color w:val="0000FF"/>
              </w:rPr>
            </w:pPr>
            <w:hyperlink r:id="rId39">
              <w:r>
                <w:rPr>
                  <w:rFonts w:ascii="Times New Roman" w:cs="Times New Roman" w:eastAsia="Times New Roman" w:hAnsi="Times New Roman"/>
                  <w:sz w:val="17"/>
                  <w:szCs w:val="17"/>
                  <w:color w:val="0000FF"/>
                </w:rPr>
                <w:t>(incorporated by reference to Exhibit 10.1 to Innventure, Inc.’s</w:t>
              </w:r>
            </w:hyperlink>
          </w:p>
        </w:tc>
        <w:tc>
          <w:tcPr>
            <w:tcW w:w="3420" w:type="dxa"/>
            <w:vAlign w:val="bottom"/>
            <w:tcBorders>
              <w:bottom w:val="single" w:sz="8" w:color="0000FF"/>
            </w:tcBorders>
            <w:gridSpan w:val="6"/>
          </w:tcPr>
          <w:p>
            <w:pPr>
              <w:spacing w:after="0" w:line="149" w:lineRule="exact"/>
              <w:rPr>
                <w:rFonts w:ascii="Times New Roman" w:cs="Times New Roman" w:eastAsia="Times New Roman" w:hAnsi="Times New Roman"/>
                <w:sz w:val="17"/>
                <w:szCs w:val="17"/>
                <w:color w:val="0000FF"/>
              </w:rPr>
            </w:pPr>
            <w:hyperlink r:id="rId39">
              <w:r>
                <w:rPr>
                  <w:rFonts w:ascii="Times New Roman" w:cs="Times New Roman" w:eastAsia="Times New Roman" w:hAnsi="Times New Roman"/>
                  <w:sz w:val="17"/>
                  <w:szCs w:val="17"/>
                  <w:color w:val="0000FF"/>
                </w:rPr>
                <w:t>Current Report on Form 8-K dated July 2, 2025).</w:t>
              </w:r>
            </w:hyperlink>
          </w:p>
        </w:tc>
        <w:tc>
          <w:tcPr>
            <w:tcW w:w="16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jc w:val="center"/>
              <w:ind w:right="33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7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Form of Notice of Grant of Restricted Stock Units and Restricted Stock Units Agreement for</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Directors.</w:t>
            </w:r>
          </w:p>
        </w:tc>
        <w:tc>
          <w:tcPr>
            <w:tcW w:w="0" w:type="dxa"/>
            <w:vAlign w:val="bottom"/>
          </w:tcPr>
          <w:p>
            <w:pPr>
              <w:spacing w:after="0"/>
              <w:rPr>
                <w:sz w:val="1"/>
                <w:szCs w:val="1"/>
                <w:color w:val="auto"/>
              </w:rPr>
            </w:pPr>
          </w:p>
        </w:tc>
      </w:tr>
      <w:tr>
        <w:trPr>
          <w:trHeight w:val="198"/>
        </w:trPr>
        <w:tc>
          <w:tcPr>
            <w:tcW w:w="1040" w:type="dxa"/>
            <w:vAlign w:val="bottom"/>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w w:val="98"/>
              </w:rPr>
              <w:t>31.1*</w:t>
            </w:r>
          </w:p>
        </w:tc>
        <w:tc>
          <w:tcPr>
            <w:tcW w:w="9780" w:type="dxa"/>
            <w:vAlign w:val="bottom"/>
            <w:gridSpan w:val="13"/>
          </w:tcPr>
          <w:p>
            <w:pPr>
              <w:spacing w:after="0" w:line="198"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Rule 13a-14(a) Certification by Gregory W. Haskell, Chief Executive Officer, for the quarter ended June 30, 2025</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9"/>
        </w:trPr>
        <w:tc>
          <w:tcPr>
            <w:tcW w:w="10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31.2*</w:t>
            </w:r>
          </w:p>
        </w:tc>
        <w:tc>
          <w:tcPr>
            <w:tcW w:w="820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Rule 13a-14(a) Certification by David Yablunosky, Chief Financial Officer, for the quarter ended June 30, 2025</w:t>
              </w:r>
            </w:hyperlink>
            <w:r>
              <w:rPr>
                <w:rFonts w:ascii="Times New Roman" w:cs="Times New Roman" w:eastAsia="Times New Roman" w:hAnsi="Times New Roman"/>
                <w:sz w:val="18"/>
                <w:szCs w:val="18"/>
                <w:color w:val="000000"/>
              </w:rPr>
              <w:t>.</w:t>
            </w:r>
          </w:p>
        </w:tc>
        <w:tc>
          <w:tcPr>
            <w:tcW w:w="15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80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32.1**</w:t>
            </w:r>
          </w:p>
        </w:tc>
        <w:tc>
          <w:tcPr>
            <w:tcW w:w="9780" w:type="dxa"/>
            <w:vAlign w:val="bottom"/>
            <w:gridSpan w:val="13"/>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Section 1350 Certification by Gregory W. Haskell, Chief Executive Officer, for the quarter ended June 30, 2025</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10"/>
        </w:trPr>
        <w:tc>
          <w:tcPr>
            <w:tcW w:w="10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32.2**</w:t>
            </w:r>
          </w:p>
        </w:tc>
        <w:tc>
          <w:tcPr>
            <w:tcW w:w="806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Section 1350 Certification by David Yablunosky, Chief Financial Officer, for the quarter ended June 30, 202</w:t>
              </w:r>
            </w:hyperlink>
            <w:r>
              <w:rPr>
                <w:rFonts w:ascii="Times New Roman" w:cs="Times New Roman" w:eastAsia="Times New Roman" w:hAnsi="Times New Roman"/>
                <w:sz w:val="18"/>
                <w:szCs w:val="18"/>
                <w:color w:val="000000"/>
              </w:rPr>
              <w:t>5.</w:t>
            </w:r>
          </w:p>
        </w:tc>
        <w:tc>
          <w:tcPr>
            <w:tcW w:w="17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800" w:type="dxa"/>
            <w:vAlign w:val="bottom"/>
            <w:gridSpan w:val="5"/>
            <w:shd w:val="clear" w:color="auto" w:fill="0000FF"/>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jc w:val="center"/>
              <w:ind w:right="310"/>
              <w:spacing w:after="0" w:line="196" w:lineRule="exact"/>
              <w:rPr>
                <w:sz w:val="20"/>
                <w:szCs w:val="20"/>
                <w:color w:val="auto"/>
              </w:rPr>
            </w:pPr>
            <w:r>
              <w:rPr>
                <w:rFonts w:ascii="Times New Roman" w:cs="Times New Roman" w:eastAsia="Times New Roman" w:hAnsi="Times New Roman"/>
                <w:sz w:val="18"/>
                <w:szCs w:val="18"/>
                <w:color w:val="auto"/>
                <w:w w:val="99"/>
              </w:rPr>
              <w:t>101*</w:t>
            </w:r>
          </w:p>
        </w:tc>
        <w:tc>
          <w:tcPr>
            <w:tcW w:w="97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The following financial statements from Innventure, Inc.’s Quarterly Report on Form 10-Q for the quarter ended June 30, 2025,</w:t>
            </w: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978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 (i) Condensed Consolidated Balance Sheets as of June 30, 2025</w:t>
            </w:r>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978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w w:val="99"/>
              </w:rPr>
              <w:t>and December 31, 2024; (ii) Condensed Consolidated Statements of Operations and Comprehensive Income (Loss) for the three and six</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9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auto"/>
              </w:rPr>
              <w:t>months ended June 30, 2025 (Successor), and for the three and six months ended June 30, 2024 (Predecessor); (iii) Condensed</w:t>
            </w: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978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Consolidated Statements of Changes in Unitholders’ Deficit for the period December 31, 2023 through the three and six months ended</w:t>
            </w:r>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978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June 30, 2024 (Predecessor); (iv) Condensed Consolidated Statements of Changes in Mezzanine and Stockholders’ Equity (Deficit) for</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9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auto"/>
              </w:rPr>
              <w:t>the period December 31, 2024 through the three and six months ended June 30, 2025 (Successor); (v) Condensed Consolidated</w:t>
            </w: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978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Statements of Cash Flows for the six months ended June 30, 2025 (Successor), and the six months ended June 30, 2024 (Predecessor);</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and (vi) Notes to Condensed Consolidated Financial Statements.</w:t>
            </w:r>
          </w:p>
        </w:tc>
        <w:tc>
          <w:tcPr>
            <w:tcW w:w="0" w:type="dxa"/>
            <w:vAlign w:val="bottom"/>
          </w:tcPr>
          <w:p>
            <w:pPr>
              <w:spacing w:after="0"/>
              <w:rPr>
                <w:sz w:val="1"/>
                <w:szCs w:val="1"/>
                <w:color w:val="auto"/>
              </w:rPr>
            </w:pPr>
          </w:p>
        </w:tc>
      </w:tr>
      <w:tr>
        <w:trPr>
          <w:trHeight w:val="234"/>
        </w:trPr>
        <w:tc>
          <w:tcPr>
            <w:tcW w:w="10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104*</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58" w:lineRule="exact"/>
        <w:rPr>
          <w:sz w:val="20"/>
          <w:szCs w:val="20"/>
          <w:color w:val="auto"/>
        </w:rPr>
      </w:pPr>
    </w:p>
    <w:p>
      <w:pPr>
        <w:ind w:left="340" w:right="180" w:hanging="332"/>
        <w:spacing w:after="0" w:line="271" w:lineRule="auto"/>
        <w:tabs>
          <w:tab w:leader="none" w:pos="32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 SEC upon request.</w:t>
      </w:r>
    </w:p>
    <w:p>
      <w:pPr>
        <w:ind w:left="340" w:hanging="332"/>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15" w:lineRule="exact"/>
        <w:rPr>
          <w:sz w:val="20"/>
          <w:szCs w:val="20"/>
          <w:color w:val="auto"/>
        </w:rPr>
      </w:pPr>
    </w:p>
    <w:p>
      <w:pPr>
        <w:ind w:left="340" w:right="40" w:hanging="332"/>
        <w:spacing w:after="0" w:line="263" w:lineRule="auto"/>
        <w:tabs>
          <w:tab w:leader="none" w:pos="26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identified information has been excluded pursuant to Rule 601(b)(10) of Regulation S-K because it is both (i) not material and (ii)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1440" w:right="459" w:bottom="1440" w:gutter="0" w:footer="0" w:header="0"/>
        </w:sectPr>
      </w:pPr>
    </w:p>
    <w:bookmarkStart w:id="59" w:name="page60"/>
    <w:bookmarkEnd w:id="5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40" w:type="dxa"/>
            <w:vAlign w:val="bottom"/>
            <w:gridSpan w:val="4"/>
          </w:tcPr>
          <w:p>
            <w:pPr>
              <w:ind w:left="174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392"/>
        </w:trPr>
        <w:tc>
          <w:tcPr>
            <w:tcW w:w="3380" w:type="dxa"/>
            <w:vAlign w:val="bottom"/>
          </w:tcPr>
          <w:p>
            <w:pPr>
              <w:spacing w:after="0"/>
              <w:rPr>
                <w:sz w:val="24"/>
                <w:szCs w:val="24"/>
                <w:color w:val="auto"/>
              </w:rPr>
            </w:pPr>
          </w:p>
        </w:tc>
        <w:tc>
          <w:tcPr>
            <w:tcW w:w="2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Gregory W. Haskell</w:t>
            </w:r>
          </w:p>
        </w:tc>
      </w:tr>
      <w:tr>
        <w:trPr>
          <w:trHeight w:val="48"/>
        </w:trPr>
        <w:tc>
          <w:tcPr>
            <w:tcW w:w="33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r>
        <w:trPr>
          <w:trHeight w:val="237"/>
        </w:trPr>
        <w:tc>
          <w:tcPr>
            <w:tcW w:w="3380" w:type="dxa"/>
            <w:vAlign w:val="bottom"/>
          </w:tcPr>
          <w:p>
            <w:pPr>
              <w:spacing w:after="0"/>
              <w:rPr>
                <w:sz w:val="20"/>
                <w:szCs w:val="20"/>
                <w:color w:val="auto"/>
              </w:rPr>
            </w:pPr>
          </w:p>
        </w:tc>
        <w:tc>
          <w:tcPr>
            <w:tcW w:w="2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r>
      <w:tr>
        <w:trPr>
          <w:trHeight w:val="270"/>
        </w:trPr>
        <w:tc>
          <w:tcPr>
            <w:tcW w:w="3380" w:type="dxa"/>
            <w:vAlign w:val="bottom"/>
          </w:tcPr>
          <w:p>
            <w:pPr>
              <w:spacing w:after="0"/>
              <w:rPr>
                <w:sz w:val="23"/>
                <w:szCs w:val="23"/>
                <w:color w:val="auto"/>
              </w:rPr>
            </w:pPr>
          </w:p>
        </w:tc>
        <w:tc>
          <w:tcPr>
            <w:tcW w:w="2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527"/>
        </w:trPr>
        <w:tc>
          <w:tcPr>
            <w:tcW w:w="3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27"/>
        </w:trPr>
        <w:tc>
          <w:tcPr>
            <w:tcW w:w="33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2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2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endash "/>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4"/>
    </w:lvl>
  </w:abstractNum>
  <w:abstractNum w:abstractNumId="10">
    <w:nsid w:val="DED7263"/>
    <w:multiLevelType w:val="hybridMultilevel"/>
    <w:lvl w:ilvl="0">
      <w:lvlJc w:val="left"/>
      <w:lvlText w:val="(%1)"/>
      <w:numFmt w:val="decimal"/>
      <w:start w:val="12"/>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hyperlink" Target="https://www.sec.gov/Archives/edgar/data/2001557/000114036124040480/ny20012992x29_s4a.htm#tANNEXA" TargetMode="External"/><Relationship Id="rId25" Type="http://schemas.openxmlformats.org/officeDocument/2006/relationships/hyperlink" Target="https://www.sec.gov/Archives/edgar/data/2001557/000114036124043179/ef20036737_ex3-1.htm" TargetMode="External"/><Relationship Id="rId26" Type="http://schemas.openxmlformats.org/officeDocument/2006/relationships/hyperlink" Target="https://www.sec.gov/Archives/edgar/data/2001557/000114036124043179/ef20036737_ex3-2.htm" TargetMode="External"/><Relationship Id="rId27" Type="http://schemas.openxmlformats.org/officeDocument/2006/relationships/hyperlink" Target="https://www.sec.gov/Archives/edgar/data/2001557/000162828025025892/inv-ex33innventureseriesbp.htm" TargetMode="External"/><Relationship Id="rId28" Type="http://schemas.openxmlformats.org/officeDocument/2006/relationships/hyperlink" Target="https://www.sec.gov/Archives/edgar/data/2001557/000114036125010165/ef20045914_ex3-1.htm" TargetMode="External"/><Relationship Id="rId29" Type="http://schemas.openxmlformats.org/officeDocument/2006/relationships/hyperlink" Target="https://www.sec.gov/ix?doc=/Archives/edgar/data/0002001557/000162828025017703/inv-20250414.htm" TargetMode="External"/><Relationship Id="rId30" Type="http://schemas.openxmlformats.org/officeDocument/2006/relationships/hyperlink" Target="https://www.sec.gov/Archives/edgar/data/2001557/000162828025025932/inv-seconddebenturexex41.htm" TargetMode="External"/><Relationship Id="rId31" Type="http://schemas.openxmlformats.org/officeDocument/2006/relationships/hyperlink" Target="https://www.sec.gov/Archives/edgar/data/2001557/000162828025017703/exhibit101-globalguarant.htm" TargetMode="External"/><Relationship Id="rId32" Type="http://schemas.openxmlformats.org/officeDocument/2006/relationships/hyperlink" Target="https://www.sec.gov/Archives/edgar/data/2001557/000162828025017703/exhibit102-registrationr.htm" TargetMode="External"/><Relationship Id="rId33" Type="http://schemas.openxmlformats.org/officeDocument/2006/relationships/hyperlink" Target="https://www.sec.gov/Archives/edgar/data/2001557/000162828025025932/innventureformofvotingagre.htm" TargetMode="External"/><Relationship Id="rId34" Type="http://schemas.openxmlformats.org/officeDocument/2006/relationships/hyperlink" Target="https://www.sec.gov/Archives/edgar/data/2001557/000162828025029330/inv-amendmenttodebenturese.htm" TargetMode="External"/><Relationship Id="rId35" Type="http://schemas.openxmlformats.org/officeDocument/2006/relationships/hyperlink" Target="https://www.sec.gov/Archives/edgar/data/2001557/000162828025033614/exhibit101.htm" TargetMode="External"/><Relationship Id="rId36" Type="http://schemas.openxmlformats.org/officeDocument/2006/relationships/hyperlink" Target="https://www.sec.gov/Archives/edgar/data/2001557/000162828025033614/exhibit102.htm" TargetMode="External"/><Relationship Id="rId37" Type="http://schemas.openxmlformats.org/officeDocument/2006/relationships/hyperlink" Target="https://www.sec.gov/Archives/edgar/data/2001557/000162828025033614/exhibit103.htm" TargetMode="External"/><Relationship Id="rId38" Type="http://schemas.openxmlformats.org/officeDocument/2006/relationships/hyperlink" Target="https://www.sec.gov/Archives/edgar/data/2001557/000162828025033614/exhibit104.htm" TargetMode="External"/><Relationship Id="rId39" Type="http://schemas.openxmlformats.org/officeDocument/2006/relationships/hyperlink" Target="https://www.sec.gov/Archives/edgar/data/2001557/000162828025033968/inv-formxarnokialicensin.htm" TargetMode="External"/><Relationship Id="rId40" Type="http://schemas.openxmlformats.org/officeDocument/2006/relationships/hyperlink" Target="https://www.sec.gov/Archives/edgar/data/2001557/000162828025040379/inv-exhibit311to2025q210xq.htm" TargetMode="External"/><Relationship Id="rId41" Type="http://schemas.openxmlformats.org/officeDocument/2006/relationships/hyperlink" Target="https://www.sec.gov/Archives/edgar/data/2001557/000162828025040379/inv-exhibit312to2025q210xq.htm" TargetMode="External"/><Relationship Id="rId42" Type="http://schemas.openxmlformats.org/officeDocument/2006/relationships/hyperlink" Target="https://www.sec.gov/Archives/edgar/data/2001557/000162828025040379/inv-exhibit321to2025q210xq.htm" TargetMode="External"/><Relationship Id="rId43" Type="http://schemas.openxmlformats.org/officeDocument/2006/relationships/hyperlink" Target="https://www.sec.gov/Archives/edgar/data/2001557/000162828025040379/inv-exhibit322to2025q210x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2025-08-14T15:34:43Z</dcterms:created>
  <dcterms:modified xsi:type="dcterms:W3CDTF">2025-08-14T15:34:43Z</dcterms:modified>
</cp:coreProperties>
</file>