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18246.xml.htm"/>
      <w:bookmarkStart w:id="1" w:name="kswkform4_17873182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Donnally James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1007"/>
        <w:gridCol w:w="442"/>
        <w:gridCol w:w="616"/>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r>
              <w:rPr>
                <w:rFonts w:ascii="Times;serif" w:hAnsi="Times;serif"/>
                <w:color w:val="008000"/>
                <w:position w:val="7"/>
                <w:sz w:val="16"/>
                <w:sz w:val="20"/>
                <w:shd w:fill="FFFFFF" w:val="clear"/>
              </w:rPr>
              <w:t>(1)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252,886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18,237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1,635,349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4,708,121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acquired in multiple transactions at prices ranging from $1.48 to $1.53. The Reporting Person undertakes to provide to Innventure, Inc.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Common stock, par value $0.0001 per share (Common Stock), of the Issuer purchased by Our-No Family Holdings LP. (Our-No Family Holdings). The Reporting Person has voting and investment power over the Common Stock held by Our-No Family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held by the James O. Donnally Revocable Trust, for which the Reporting Person has voting and investment power over the shares of Common Stock held by that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held directly by the Glockner Family Venture Fund (the "Glockner Fund"). The Reporting Person is a 25% owner of the Glockner Fund and is a 25% owner and the Managing Member of Bellringer Consulting Group, LLC ("Bellringer"), the general partner of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Exchange Act of 1934.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141"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858</Words>
  <Characters>4601</Characters>
  <CharactersWithSpaces>5377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