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November 12,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left"/>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 xml:space="preserve">Entry into a Material Definitive Agreement.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Issuance of Fourth Convertible Debenture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the Current Report on Form 8-K filed by Innventure, Inc., a Delaware corporation (the “Company”), with the Securities and Exchange Commission (the “SEC”) on September 16, 2025, the Company entered into a securities purchase agreement (the “Purchase Agreement”) with YA II PN, Ltd. (“Yorkville”), for the issuance and sale by the Company of convertible debentures (the “Convertible Debentures”) issuable in an aggregate principal amount of up to $15,000,000, which Convertible Debentures are convertible into shares of the Company’s common stock, par value $0.0001 per share (the “Common Stock”) (as converted, the “Conversion Shares”). On September 15, 2025, the Company issued a Convertible Debenture to Yorkville with a principal amount of $10,000,000, resulting in gross proceeds to the Company of approximately $7,000,000, representing an original issue discount of 10% and including a concurrent $2,000,000 payment to Yorkville (as described previously).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12, 2025, the Company issued a Convertible Debenture to Yorkville with a principal amount of $5,000,000 (the “Fourth Convertible Debenture”). The Fourth Convertible Debenture will bear interest at an annual rate of 5.0%, unless an event of default occurs and remains uncured, upon which the Fourth Convertible Debenture will bear interest at an annual rate of 18.0%. The Fourth Convertible Debenture will mature on September 15, 2026 (the “Maturity Date”). The Fourth Convertible Debenture resulted in gross proceeds to the Company of approximately $4,500,000 (including the original issue discount of 10%). With respect to the Fourth Convertible Debenture, the Company will not be required to make monthly cash payments unless an Amortization Event (as defined below) has occurred and then the Company will make monthly cash payments each month until the earlier of (i) the entire outstanding amount under the Fourth Convertible Debenture has been repaid or (ii) the Amortization Event ceases, as provided in the Fourth Convertible Debenture. An “Amortization Event” means (i) the daily volume-weighted average price (“VWAP”) of the Company’s Common Stock is lower than the Floor Price (as defined below) for any five of seven consecutive trading days, (ii) the Company has issued in excess of 99% of the Common Stock available under the Exchange Cap (as defined below) or (iii) Yorkville is unable to use the Company’s registration statement on Form S-1 filed with the SEC on October 23, 2025, which registered the resale of at least 12 million Conversion Shares, for a period of 20 consecutive trading days. The monthly cash payments will be in an amount equal to 10% of the original principal amount (or the outstanding principal amount of the Fourth Convertible Debenture if lower than such amount), plus a payment premium of 5% and all accrued and unpaid interest as of the date of such payment. Such Amortization Event payments will commence 15 days following the Amortization Event.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Fourth Convertible Debenture is convertible at the option of the holder into Common Stock equal to the applicable Conversion Amount (as defined below) divided by the Conversion Price (as defined below). The conversion price for the Fourth Convertible Debenture will be the lower of (i) $7.00 per share of Common Stock (the “Fixed Price”), or (ii) 95% of the lowest daily VWAP of the Common Stock during the five consecutive trading days immediately preceding conversion date or other date of determination (the “Variable Price” and the applicable purchase price, the “Conversion Price”), but which Variable Price shall not be lower than the Floor Price then in effect. The Floor Price is $1.16, the price equal to 20% of the Minimum Price of the Common Stock (as calculated pursuant to the rules of the Nasdaq Stock Market). Any portion of the Fourth Convertible Debenture may be converted at any time and from time to time, subject to the Exchange Cap. The Conversion Amount with respect to any requested conversion will equal the principal amount requested to be converted plus all accrued and unpaid interest on the Fourth Convertible Debenture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shall not issue any Common Stock upon conversion of the Fourth Convertible Debenture held by Yorkville if the issuance of such Common Stock underlying the Fourth Convertible Debenture would exceed the aggregate number of Common Stock that the Company may issue upon conversion of the Fourth Convertible Debenture in compliance with the Company’s obligations under the rules or regulations of Nasdaq Stock Market (the “Exchange Cap”). The Exchange Cap will not apply if the Company obtains the approval of its stockholders as required by the applicable rules of the Nasdaq Stock Market for issuances of Common Stock in excess of such amount.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VWAP of the Common Stock is less than the Fixed Price, then the Fourth Convertible Debenture provides the Company, subject to certain conditions, with an optional redemption right pursuant to which the Company, upon 10 trading days’ prior written notice to Yorkville, may redeem in cash, in whole or in part, all amounts outstanding under the Fourth Convertible Debenture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Fourth Convertible Debenture does not purport to be complete and is qualified in its entirety by reference to the full text of such document, which is filed herewith as Exhibit 4.1 and is incorporated herein by reference.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Item 1.01 is incorporated herein by reference.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1.01 is incorporated herein by reference. The issuance of the Fourth Convertible Debenture was, and the Conversion Shares issuable upon conversion of the Fourth Convertible Debenture will be, exempt from registration pursuant to Section 4(a)(2) of the Securities Act. Yorkville represented to the Company that it is an “accredited investor” as defined in Rule 501 of the Securities Act and that each of the Fourth Convertible Debenture and the Conversion Shares will be acquired for investment purposes and not with a view to, or for sale in connection with, any distribution thereof.</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Exhibits and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8353" w:type="dxa"/>
        <w:jc w:val="left"/>
        <w:tblInd w:w="0" w:type="dxa"/>
        <w:tblLayout w:type="fixed"/>
        <w:tblCellMar>
          <w:top w:w="28" w:type="dxa"/>
          <w:left w:w="28" w:type="dxa"/>
          <w:bottom w:w="28" w:type="dxa"/>
          <w:right w:w="28" w:type="dxa"/>
        </w:tblCellMar>
      </w:tblPr>
      <w:tblGrid>
        <w:gridCol w:w="538"/>
        <w:gridCol w:w="472"/>
        <w:gridCol w:w="474"/>
        <w:gridCol w:w="2007"/>
        <w:gridCol w:w="2007"/>
        <w:gridCol w:w="28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68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pPr>
            <w:r>
              <w:rPr>
                <w:rFonts w:ascii="Times New Roman;serif" w:hAnsi="Times New Roman;serif"/>
                <w:b w:val="false"/>
                <w:color w:val="000000"/>
                <w:sz w:val="20"/>
              </w:rPr>
              <w:t>4.1</w:t>
            </w:r>
            <w:r>
              <w:rPr>
                <w:rFonts w:ascii="Cambria;sans-serif" w:hAnsi="Cambria;sans-serif"/>
                <w:b w:val="false"/>
                <w:color w:val="000000"/>
                <w:sz w:val="16"/>
              </w:rPr>
              <w:t>^</w:t>
            </w:r>
          </w:p>
        </w:tc>
        <w:tc>
          <w:tcPr>
            <w:tcW w:w="686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nv-ex41to8xkfourthconvert.htm">
              <w:r>
                <w:rPr>
                  <w:rStyle w:val="InternetLink"/>
                  <w:rFonts w:ascii="Times New Roman;serif" w:hAnsi="Times New Roman;serif"/>
                  <w:b w:val="false"/>
                  <w:color w:val="000080"/>
                  <w:sz w:val="20"/>
                </w:rPr>
                <w:t>Fourth</w:t>
              </w:r>
            </w:hyperlink>
            <w:hyperlink w:anchor="inv-ex41to8xkfourthconvert.htm">
              <w:r>
                <w:rPr>
                  <w:rStyle w:val="InternetLink"/>
                  <w:rFonts w:ascii="Times New Roman;serif" w:hAnsi="Times New Roman;serif"/>
                  <w:b w:val="false"/>
                  <w:color w:val="000080"/>
                  <w:sz w:val="20"/>
                </w:rPr>
                <w:t xml:space="preserve"> Convertible Debenture, issued to YA II PN, Ltd., dated </w:t>
              </w:r>
            </w:hyperlink>
            <w:hyperlink w:anchor="inv-ex41to8xkfourthconvert.htm">
              <w:r>
                <w:rPr>
                  <w:rStyle w:val="InternetLink"/>
                  <w:rFonts w:ascii="Times New Roman;serif" w:hAnsi="Times New Roman;serif"/>
                  <w:b w:val="false"/>
                  <w:color w:val="000080"/>
                  <w:sz w:val="20"/>
                </w:rPr>
                <w:t>November 12</w:t>
              </w:r>
            </w:hyperlink>
            <w:hyperlink w:anchor="inv-ex41to8xkfourthconvert.htm">
              <w:r>
                <w:rPr>
                  <w:rStyle w:val="InternetLink"/>
                  <w:rFonts w:ascii="Times New Roman;serif" w:hAnsi="Times New Roman;serif"/>
                  <w:b w:val="false"/>
                  <w:color w:val="000080"/>
                  <w:sz w:val="20"/>
                </w:rPr>
                <w:t xml:space="preserve">, 2025. </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8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w:t>
      </w:r>
    </w:p>
    <w:p>
      <w:pPr>
        <w:pStyle w:val="TextBody"/>
        <w:bidi w:val="0"/>
        <w:spacing w:lineRule="auto" w:line="268" w:before="0" w:after="0"/>
        <w:jc w:val="left"/>
        <w:rPr/>
      </w:pPr>
      <w:r>
        <w:rPr>
          <w:rFonts w:ascii="Cambria;sans-serif" w:hAnsi="Cambria;sans-serif"/>
          <w:b w:val="false"/>
          <w:color w:val="000000"/>
          <w:sz w:val="16"/>
        </w:rPr>
        <w:t>^    </w:t>
      </w:r>
      <w:r>
        <w:rPr>
          <w:rFonts w:ascii="Times New Roman;serif" w:hAnsi="Times New Roman;serif"/>
          <w:b w:val="false"/>
          <w:color w:val="000000"/>
          <w:sz w:val="16"/>
        </w:rPr>
        <w:t>Certain schedules have been omitted pursuant to Item 601(a)(5) of Regulation S-K. Innventure, Inc. agrees to furnish a copy of any omitted schedule to the SEC upon request.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606"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355"/>
        <w:gridCol w:w="355"/>
        <w:gridCol w:w="355"/>
        <w:gridCol w:w="587"/>
        <w:gridCol w:w="587"/>
        <w:gridCol w:w="83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480"/>
        <w:jc w:val="both"/>
        <w:rPr/>
      </w:pPr>
      <w:r>
        <w:rPr>
          <w:rFonts w:ascii="Times New Roman;serif" w:hAnsi="Times New Roman;serif"/>
          <w:b/>
          <w:color w:val="000000"/>
          <w:sz w:val="24"/>
        </w:rPr>
        <w:t>NEITHER THIS SECURITY NOR THE SECURITIES INTO WHICH THIS SECURITY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serif" w:hAnsi="Times New Roman;serif"/>
          <w:b/>
          <w:color w:val="000000"/>
          <w:sz w:val="24"/>
          <w:u w:val="single"/>
        </w:rPr>
        <w:t>SECURITIES ACT</w:t>
      </w:r>
      <w:r>
        <w:rPr>
          <w:color w:val="000000"/>
        </w:rPr>
        <w:t>”</w:t>
      </w:r>
      <w:r>
        <w:rPr>
          <w:rFonts w:ascii="Times New Roman;serif" w:hAnsi="Times New Roman;serif"/>
          <w:b/>
          <w:color w:val="000000"/>
          <w:sz w:val="24"/>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r>
        <w:rPr>
          <w:color w:val="000000"/>
        </w:rPr>
        <w:t xml:space="preserve"> </w:t>
      </w:r>
      <w:r>
        <w:rPr>
          <w:rFonts w:ascii="Times New Roman;serif" w:hAnsi="Times New Roman;serif"/>
          <w:b/>
          <w:color w:val="000000"/>
          <w:sz w:val="24"/>
        </w:rPr>
        <w:t>NOTWITHSTANDING THE FOREGOING, THE SECURITIES MAY BE PLEDGED IN CONNECTION WITH A BONA FIDE MARGIN ACCOUNT OR OTHER LOAN OR FINANCING ARRANGEMENT SECURED BY THE SECURITIES.</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INNVENTURE, INC.</w:t>
      </w:r>
    </w:p>
    <w:p>
      <w:pPr>
        <w:pStyle w:val="TextBody"/>
        <w:bidi w:val="0"/>
        <w:spacing w:lineRule="auto" w:line="288" w:before="0" w:after="480"/>
        <w:jc w:val="center"/>
        <w:rPr/>
      </w:pPr>
      <w:r>
        <w:rPr>
          <w:rFonts w:ascii="Times New Roman;serif" w:hAnsi="Times New Roman;serif"/>
          <w:b/>
          <w:color w:val="000000"/>
          <w:sz w:val="24"/>
        </w:rPr>
        <w:t>C</w:t>
      </w:r>
      <w:r>
        <w:rPr>
          <w:rFonts w:ascii="Times New Roman;serif" w:hAnsi="Times New Roman;serif"/>
          <w:b/>
          <w:color w:val="000000"/>
          <w:sz w:val="20"/>
        </w:rPr>
        <w:t>ONVERTIBLE</w:t>
      </w:r>
      <w:r>
        <w:rPr>
          <w:color w:val="000000"/>
        </w:rPr>
        <w:t xml:space="preserve"> </w:t>
      </w:r>
      <w:r>
        <w:rPr>
          <w:rFonts w:ascii="Times New Roman;serif" w:hAnsi="Times New Roman;serif"/>
          <w:b/>
          <w:color w:val="000000"/>
          <w:sz w:val="24"/>
        </w:rPr>
        <w:t>D</w:t>
      </w:r>
      <w:r>
        <w:rPr>
          <w:rFonts w:ascii="Times New Roman;serif" w:hAnsi="Times New Roman;serif"/>
          <w:b/>
          <w:color w:val="000000"/>
          <w:sz w:val="20"/>
        </w:rPr>
        <w:t>EBENTURE</w:t>
      </w:r>
    </w:p>
    <w:tbl>
      <w:tblPr>
        <w:tblW w:w="4290" w:type="dxa"/>
        <w:jc w:val="left"/>
        <w:tblInd w:w="0" w:type="dxa"/>
        <w:tblLayout w:type="fixed"/>
        <w:tblCellMar>
          <w:top w:w="28" w:type="dxa"/>
          <w:left w:w="28" w:type="dxa"/>
          <w:bottom w:w="28" w:type="dxa"/>
          <w:right w:w="28" w:type="dxa"/>
        </w:tblCellMar>
      </w:tblPr>
      <w:tblGrid>
        <w:gridCol w:w="1374"/>
        <w:gridCol w:w="1208"/>
        <w:gridCol w:w="1708"/>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Original Principal Amount:    $5,000,000</w:t>
            </w:r>
          </w:p>
        </w:tc>
      </w:tr>
    </w:tbl>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Issuance Date: November 12, 2025</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Number: INV-4</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4"/>
        </w:rPr>
        <w:t>FOR VALUE RECEIVED,</w:t>
      </w:r>
      <w:r>
        <w:rPr>
          <w:color w:val="000000"/>
        </w:rPr>
        <w:t xml:space="preserve"> </w:t>
      </w:r>
      <w:r>
        <w:rPr>
          <w:rFonts w:ascii="Times New Roman;serif" w:hAnsi="Times New Roman;serif"/>
          <w:b/>
          <w:color w:val="000000"/>
          <w:sz w:val="24"/>
        </w:rPr>
        <w:t>INNVENTURE, INC.,</w:t>
      </w:r>
      <w:r>
        <w:rPr>
          <w:color w:val="000000"/>
        </w:rPr>
        <w:t xml:space="preserve"> </w:t>
      </w:r>
      <w:r>
        <w:rPr>
          <w:rFonts w:ascii="Times New Roman;serif" w:hAnsi="Times New Roman;serif"/>
          <w:b w:val="false"/>
          <w:color w:val="000000"/>
          <w:sz w:val="24"/>
        </w:rPr>
        <w:t>a company incorporated under the laws of the State of Delaware</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hereby promises to pay to the order of YA II PN, LTD., or its registered assigns (the “</w:t>
      </w:r>
      <w:r>
        <w:rPr>
          <w:rFonts w:ascii="Times New Roman;serif" w:hAnsi="Times New Roman;serif"/>
          <w:b w:val="false"/>
          <w:color w:val="000000"/>
          <w:sz w:val="24"/>
          <w:u w:val="single"/>
        </w:rPr>
        <w:t>Holder</w:t>
      </w:r>
      <w:r>
        <w:rPr>
          <w:color w:val="000000"/>
        </w:rPr>
        <w:t>”</w:t>
      </w:r>
      <w:r>
        <w:rPr>
          <w:rFonts w:ascii="Times New Roman;serif" w:hAnsi="Times New Roman;serif"/>
          <w:b w:val="false"/>
          <w:color w:val="000000"/>
          <w:sz w:val="24"/>
        </w:rPr>
        <w:t>) the amount set out above as the Original Principal Amount (or such lesser amount as reduced pursuant to the terms hereof pursuant to repayment, redemption, conversion or otherwise, the “</w:t>
      </w:r>
      <w:r>
        <w:rPr>
          <w:rFonts w:ascii="Times New Roman;serif" w:hAnsi="Times New Roman;serif"/>
          <w:b w:val="false"/>
          <w:color w:val="000000"/>
          <w:sz w:val="24"/>
          <w:u w:val="single"/>
        </w:rPr>
        <w:t>Principal</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Principal Amount</w:t>
      </w:r>
      <w:r>
        <w:rPr>
          <w:color w:val="000000"/>
        </w:rPr>
        <w:t>”</w:t>
      </w:r>
      <w:r>
        <w:rPr>
          <w:rFonts w:ascii="Times New Roman;serif" w:hAnsi="Times New Roman;serif"/>
          <w:b w:val="false"/>
          <w:color w:val="000000"/>
          <w:sz w:val="24"/>
        </w:rPr>
        <w:t>) and the Payment Premium or the Redemption Premium, as applicable, in each case when due, and to pay interest (“</w:t>
      </w:r>
      <w:r>
        <w:rPr>
          <w:rFonts w:ascii="Times New Roman;serif" w:hAnsi="Times New Roman;serif"/>
          <w:b w:val="false"/>
          <w:color w:val="000000"/>
          <w:sz w:val="24"/>
          <w:u w:val="single"/>
        </w:rPr>
        <w:t>Interest</w:t>
      </w:r>
      <w:r>
        <w:rPr>
          <w:color w:val="000000"/>
        </w:rPr>
        <w:t>”</w:t>
      </w:r>
      <w:r>
        <w:rPr>
          <w:rFonts w:ascii="Times New Roman;serif" w:hAnsi="Times New Roman;serif"/>
          <w:b w:val="false"/>
          <w:color w:val="000000"/>
          <w:sz w:val="24"/>
        </w:rPr>
        <w:t>) on any outstanding Principal at the applicable Interest Rate (as defined below) from the date it commences to accrue pursuant to the terms hereof, until the same becomes due and payable, whether upon the Maturity Date or acceleration, conversion, redemption or otherwise (in each case in accordance with the terms hereof). The Issuance Date (set forth above) is the date of the first issuance of this Convertible Debenture (as amended, amended and restated, extended, supplemented or otherwise modified in writing from time to time, this “</w:t>
      </w:r>
      <w:r>
        <w:rPr>
          <w:rFonts w:ascii="Times New Roman;serif" w:hAnsi="Times New Roman;serif"/>
          <w:b w:val="false"/>
          <w:color w:val="000000"/>
          <w:sz w:val="24"/>
          <w:u w:val="single"/>
        </w:rPr>
        <w:t>Debenture</w:t>
      </w:r>
      <w:r>
        <w:rPr>
          <w:color w:val="000000"/>
        </w:rPr>
        <w:t>”</w:t>
      </w:r>
      <w:r>
        <w:rPr>
          <w:rFonts w:ascii="Times New Roman;serif" w:hAnsi="Times New Roman;serif"/>
          <w:b w:val="false"/>
          <w:color w:val="000000"/>
          <w:sz w:val="24"/>
        </w:rPr>
        <w:t>) regardless of the number of transfers and regardless of the number of instruments, which may be issued to evidence such Debenture. This Debenture was originally issued pursuant to the Securities Purchase Agreement dated as of September 15, 2025, between the Company and the Buyers listed on the Schedule of Buyers attached thereto (as it may be amended from time to time, the “</w:t>
      </w:r>
      <w:r>
        <w:rPr>
          <w:rFonts w:ascii="Times New Roman;serif" w:hAnsi="Times New Roman;serif"/>
          <w:b w:val="false"/>
          <w:color w:val="000000"/>
          <w:sz w:val="24"/>
          <w:u w:val="single"/>
        </w:rPr>
        <w:t>Securities Purchase Agreement</w:t>
      </w:r>
      <w:r>
        <w:rPr>
          <w:color w:val="000000"/>
        </w:rPr>
        <w:t>”</w:t>
      </w:r>
      <w:r>
        <w:rPr>
          <w:rFonts w:ascii="Times New Roman;serif" w:hAnsi="Times New Roman;serif"/>
          <w:b w:val="false"/>
          <w:color w:val="000000"/>
          <w:sz w:val="24"/>
        </w:rPr>
        <w:t>). Certain capitalized terms used herein are defined in Section (12).</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 TERMS</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Maturity Date</w:t>
      </w:r>
      <w:r>
        <w:rPr>
          <w:rFonts w:ascii="Times New Roman;serif" w:hAnsi="Times New Roman;serif"/>
          <w:b w:val="false"/>
          <w:color w:val="000000"/>
          <w:sz w:val="24"/>
        </w:rPr>
        <w:t>. On the Maturity Date, the Company shall pay to the Holder an amount in cash representing all outstanding Principal, together with the Payment Premium in respect of such Principal Amount, and all interest and other amounts owing pursuant to the terms of this Debenture. The "</w:t>
      </w:r>
      <w:r>
        <w:rPr>
          <w:rFonts w:ascii="Times New Roman;serif" w:hAnsi="Times New Roman;serif"/>
          <w:b w:val="false"/>
          <w:color w:val="000000"/>
          <w:sz w:val="24"/>
          <w:u w:val="single"/>
        </w:rPr>
        <w:t>Maturity Date</w:t>
      </w:r>
      <w:r>
        <w:rPr>
          <w:rFonts w:ascii="Times New Roman;serif" w:hAnsi="Times New Roman;serif"/>
          <w:b w:val="false"/>
          <w:color w:val="000000"/>
          <w:sz w:val="24"/>
        </w:rPr>
        <w:t xml:space="preserve">" shall be September 15, 2026, as may be extended at the option of the Holder. Other than as specifically permitted by this Debenture, the Company may not prepay or redeem any portion of the outstanding Principal and accrued and unpaid Interest.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Interest Rate and Payment of Interest</w:t>
      </w:r>
      <w:r>
        <w:rPr>
          <w:rFonts w:ascii="Times New Roman;serif" w:hAnsi="Times New Roman;serif"/>
          <w:b w:val="false"/>
          <w:color w:val="000000"/>
          <w:sz w:val="24"/>
        </w:rPr>
        <w:t>. Interest shall accrue on the outstanding Principal balance hereof at an annual rate equal to 5% (“</w:t>
      </w:r>
      <w:r>
        <w:rPr>
          <w:rFonts w:ascii="Times New Roman;serif" w:hAnsi="Times New Roman;serif"/>
          <w:b w:val="false"/>
          <w:color w:val="000000"/>
          <w:sz w:val="24"/>
          <w:u w:val="single"/>
        </w:rPr>
        <w:t>Interest Rate</w:t>
      </w:r>
      <w:r>
        <w:rPr>
          <w:color w:val="000000"/>
        </w:rPr>
        <w:t>”</w:t>
      </w:r>
      <w:r>
        <w:rPr>
          <w:rFonts w:ascii="Times New Roman;serif" w:hAnsi="Times New Roman;serif"/>
          <w:b w:val="false"/>
          <w:color w:val="000000"/>
          <w:sz w:val="24"/>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Amortization Event Payments</w:t>
      </w:r>
      <w:r>
        <w:rPr>
          <w:rFonts w:ascii="Times New Roman;serif" w:hAnsi="Times New Roman;serif"/>
          <w:b w:val="false"/>
          <w:color w:val="000000"/>
          <w:sz w:val="24"/>
        </w:rPr>
        <w:t xml:space="preserve">. If, any time after the Issuance Date set forth above, and from time to time thereafter, an Amortization Event has occurred, then the Company shall make monthly cash payments beginning on the 15th Trading Day after the Amortization Event Date and continuing on the same day of each successive Calendar Month until the entire outstanding amounts shall have been repaid. Each monthly cash payment shall be in an amount equal to the sum of (i) the Amortization Principal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 the Payment Premium in respect of such Amortization Principal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(iii) all accrued and unpaid interest hereunder as of each payment date. The obligation of the Company to make monthly cash payments related to an Amortization Event shall cease (with respect to any payment that has not yet come due) if at any time after the Amortization Event Date (A) in the event of a Floor Price Event, on the date upon which the daily VWAP has been greater than the Floor Price then in effect for five Trading Days during a period of seven consecutive Trading Days, (B) in the event of an Exchange Cap Event, on the date the Company either (i) has obtained stockholder approval to increase the number of Common Shares under the Exchange Cap and/or (ii) the Exchange Cap no longer applies, or (C) in the event of a Registration Event, on the date the condition or event causing the Registration Event has been cured or the Holder is able to resell the Common Shares issuable upon conversion of this Note in accordance with Rule 144 under the Securities Act, unless a subsequent Amortization Event occurs.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Optional Redemption</w:t>
      </w:r>
      <w:r>
        <w:rPr>
          <w:rFonts w:ascii="Times New Roman;serif" w:hAnsi="Times New Roman;serif"/>
          <w:b w:val="false"/>
          <w:color w:val="000000"/>
          <w:sz w:val="24"/>
        </w:rPr>
        <w:t>. The Company at its option shall have the right, but not the obligation, to redeem (“</w:t>
      </w:r>
      <w:r>
        <w:rPr>
          <w:rFonts w:ascii="Times New Roman;serif" w:hAnsi="Times New Roman;serif"/>
          <w:b w:val="false"/>
          <w:color w:val="000000"/>
          <w:sz w:val="24"/>
          <w:u w:val="single"/>
        </w:rPr>
        <w:t>Optional Redemption</w:t>
      </w:r>
      <w:r>
        <w:rPr>
          <w:color w:val="000000"/>
        </w:rPr>
        <w:t>”</w:t>
      </w:r>
      <w:r>
        <w:rPr>
          <w:rFonts w:ascii="Times New Roman;serif" w:hAnsi="Times New Roman;serif"/>
          <w:b w:val="false"/>
          <w:color w:val="000000"/>
          <w:sz w:val="24"/>
        </w:rPr>
        <w:t xml:space="preserve">) early any and all amounts outstanding under this Debenture as described in this Section;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provides the Holder with written notice (each, a “</w:t>
      </w:r>
      <w:r>
        <w:rPr>
          <w:rFonts w:ascii="Times New Roman;serif" w:hAnsi="Times New Roman;serif"/>
          <w:b w:val="false"/>
          <w:color w:val="000000"/>
          <w:sz w:val="24"/>
          <w:u w:val="single"/>
        </w:rPr>
        <w:t>Redemption Notice</w:t>
      </w:r>
      <w:r>
        <w:rPr>
          <w:color w:val="000000"/>
        </w:rPr>
        <w:t>”</w:t>
      </w:r>
      <w:r>
        <w:rPr>
          <w:rFonts w:ascii="Times New Roman;serif" w:hAnsi="Times New Roman;serif"/>
          <w:b w:val="false"/>
          <w:color w:val="000000"/>
          <w:sz w:val="24"/>
        </w:rPr>
        <w:t>) of its desire to exercise an Optional Redemption, which Redemption Notice (i) shall be delivered to the Holder after the close of regular trading hours on a Trading Day, and (ii) may only be given if the VWAP of the Common Shares was less than the Fixed Price on the date such Redemption Notice is delivered, unless otherwise agreed by the Holder. Each Redemption Notice shall be irrevocable and shall specify the amount of the outstanding balance of the Debenture to be redeemed and the Redemption Amount. The “</w:t>
      </w:r>
      <w:r>
        <w:rPr>
          <w:rFonts w:ascii="Times New Roman;serif" w:hAnsi="Times New Roman;serif"/>
          <w:b w:val="false"/>
          <w:color w:val="000000"/>
          <w:sz w:val="24"/>
          <w:u w:val="single"/>
        </w:rPr>
        <w:t>Redemption Amount</w:t>
      </w:r>
      <w:r>
        <w:rPr>
          <w:color w:val="000000"/>
        </w:rPr>
        <w:t xml:space="preserve">” </w:t>
      </w:r>
      <w:r>
        <w:rPr>
          <w:rFonts w:ascii="Times New Roman;serif" w:hAnsi="Times New Roman;serif"/>
          <w:b w:val="false"/>
          <w:color w:val="000000"/>
          <w:sz w:val="24"/>
        </w:rPr>
        <w:t xml:space="preserve">shall be an amount equal to (a) the outstanding Principal balance to be redeemed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the Redemption Premium in respect of such Principal balance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Debenture. On the eleventh (11</w:t>
      </w:r>
      <w:r>
        <w:rPr>
          <w:rFonts w:ascii="Times New Roman;serif" w:hAnsi="Times New Roman;serif"/>
          <w:b w:val="false"/>
          <w:color w:val="000000"/>
          <w:sz w:val="16"/>
        </w:rPr>
        <w:t>th</w:t>
      </w:r>
      <w:r>
        <w:rPr>
          <w:rFonts w:ascii="Times New Roman;serif" w:hAnsi="Times New Roman;serif"/>
          <w:b w:val="false"/>
          <w:color w:val="000000"/>
          <w:sz w:val="24"/>
        </w:rPr>
        <w:t xml:space="preserve">)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Prepayment</w:t>
      </w:r>
      <w:r>
        <w:rPr>
          <w:rFonts w:ascii="Times New Roman;serif" w:hAnsi="Times New Roman;serif"/>
          <w:b w:val="false"/>
          <w:color w:val="000000"/>
          <w:sz w:val="24"/>
        </w:rPr>
        <w:t xml:space="preserve">. Other than as specifically set forth in this Debenture, the Company shall not have the ability to make any early repayments without the consent of or at the request of the Holder. </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Payment Dates</w:t>
      </w:r>
      <w:r>
        <w:rPr>
          <w:rFonts w:ascii="Times New Roman;serif" w:hAnsi="Times New Roman;serif"/>
          <w:b w:val="false"/>
          <w:color w:val="000000"/>
          <w:sz w:val="24"/>
        </w:rPr>
        <w:t xml:space="preserve">. Whenever any payment or other obligation hereunder shall be due on a day other than a Business Day, such payment shall be made on the next succeeding Business Day.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An “</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Company's failure to pay to the Holder any amount of Principal, Redemption Amount, Payment Premium, Interest, or other amounts when and as due under this Debenture or any other Transaction Document within seven (7) Trading Days after such payment is due;</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(A) The Company shall commence, or there shall be commenced against the Company, any proceeding under any applicable bankruptcy or insolvency laws as now or hereafter in effect or any successor thereto, or the Company commences any other proceeding under any reorganization, arrangement, adjustment of debt, relief of debtors, dissolution, insolvency or liquidation or similar law of any jurisdiction whether now or hereafter in effect relating to the Company, in any such bankruptcy, insolvency or other proceeding which remains undismissed for a period of sixty one (61) days; (B) the Company is adjudicated insolvent or bankrupt; (C) any order of relief or other order approving any such case or proceeding is entered; (D) the Company suffers any appointment of any custodian, private or court appointed receiver or the like for it or all or substantially all of its property which continues undischarged or unstayed for a period of sixty one (61) days; (E) the Company makes a general assignment of all or substantially all of its assets for the benefit of creditors;</w:t>
      </w:r>
      <w:r>
        <w:rPr>
          <w:color w:val="000000"/>
        </w:rPr>
        <w:t xml:space="preserve"> </w:t>
      </w:r>
      <w:r>
        <w:rPr>
          <w:rFonts w:ascii="Times New Roman;serif" w:hAnsi="Times New Roman;serif"/>
          <w:b w:val="false"/>
          <w:color w:val="000000"/>
          <w:sz w:val="24"/>
        </w:rPr>
        <w:t>(F) the Company shall fail to pay its debts generally as they become due; or (G) any corporate or other action is taken by the Company for the purpose of effecting any of the foregoing;</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rPr>
        <w:t>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in an amount exceeding $500,000 (other than obligations under this Debenture or any other Transaction Document), whether such indebtedness now exists or shall hereafter be created and such default is not cured within the time prescribed by the documents governing such indebtedness, and as a result, such indebtedness becomes or is declared due and payable; provided, however, in no event shall this provision apply to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by and between the Company and any Subsidiary of the Company with an aggregate outstanding principal amount not exceeding $1,000,000;</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erif" w:hAnsi="Times New Roman;serif"/>
          <w:b w:val="false"/>
          <w:color w:val="000000"/>
          <w:sz w:val="24"/>
        </w:rPr>
        <w:t>(iv)</w:t>
      </w:r>
      <w:r>
        <w:rPr>
          <w:rFonts w:ascii="Times New Roman;serif" w:hAnsi="Times New Roman;serif"/>
          <w:b w:val="false"/>
          <w:color w:val="000000"/>
          <w:sz w:val="24"/>
        </w:rPr>
        <w:t>A final judgment or judgments for the payment of money singularly or in the aggregate in excess of $500,000 are rendered against the Company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will receive the proceeds of such insurance or indemnity within thirty (30) days of the issuance of such judgment;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(v)</w:t>
      </w:r>
      <w:r>
        <w:rPr>
          <w:rFonts w:ascii="Times New Roman;serif" w:hAnsi="Times New Roman;serif"/>
          <w:b w:val="false"/>
          <w:color w:val="000000"/>
          <w:sz w:val="24"/>
        </w:rPr>
        <w:t>The Common Shares shall cease to be quoted or listed for trading, as applicable, on any Principal Market for a period of ten (10) consecutive Trading Days;</w:t>
      </w:r>
    </w:p>
    <w:p>
      <w:pPr>
        <w:pStyle w:val="TextBody"/>
        <w:bidi w:val="0"/>
        <w:spacing w:lineRule="auto" w:line="240" w:before="0" w:after="240"/>
        <w:ind w:left="0" w:right="0" w:firstLine="2880"/>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The Company shall be a party to any Change of Control Transaction unless in connection with such Change of Control Transaction this Debenture is redeemed or retired; </w:t>
      </w:r>
    </w:p>
    <w:p>
      <w:pPr>
        <w:pStyle w:val="TextBody"/>
        <w:bidi w:val="0"/>
        <w:spacing w:lineRule="auto" w:line="240" w:before="0" w:after="240"/>
        <w:ind w:left="0" w:right="0" w:firstLine="2880"/>
        <w:jc w:val="both"/>
        <w:rPr/>
      </w:pPr>
      <w:r>
        <w:rPr>
          <w:rFonts w:ascii="Times New Roman;serif" w:hAnsi="Times New Roman;serif"/>
          <w:b w:val="false"/>
          <w:color w:val="000000"/>
          <w:sz w:val="24"/>
        </w:rPr>
        <w:t>(vii)</w:t>
      </w:r>
      <w:r>
        <w:rPr>
          <w:rFonts w:ascii="Times New Roman;serif" w:hAnsi="Times New Roman;serif"/>
          <w:b w:val="false"/>
          <w:color w:val="000000"/>
          <w:sz w:val="24"/>
        </w:rPr>
        <w:t>The Company’s (A) failure to deliver the required number of Common Shares to the Holder within three (3) Trading Days after the applicable Share Delivery Date, which failure is not a result of any action or inaction of the Holder or the Company’s Transfer Agent (as defined below), or (B) notice, written or oral,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pStyle w:val="TextBody"/>
        <w:bidi w:val="0"/>
        <w:spacing w:lineRule="auto" w:line="240" w:before="0" w:after="240"/>
        <w:ind w:left="0" w:right="0" w:firstLine="2880"/>
        <w:jc w:val="both"/>
        <w:rPr/>
      </w:pPr>
      <w:r>
        <w:rPr>
          <w:rFonts w:ascii="Times New Roman;serif" w:hAnsi="Times New Roman;serif"/>
          <w:b w:val="false"/>
          <w:color w:val="000000"/>
          <w:sz w:val="24"/>
        </w:rPr>
        <w:t>(viii)</w:t>
      </w:r>
      <w:r>
        <w:rPr>
          <w:rFonts w:ascii="Times New Roman;serif" w:hAnsi="Times New Roman;serif"/>
          <w:b w:val="false"/>
          <w:color w:val="000000"/>
          <w:sz w:val="24"/>
        </w:rPr>
        <w:t xml:space="preserve">The Company shall fail for any reason to deliver the payment in cash pursuant to a Buy-In (as defined below) within five (5) Business Days after such payment is due;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(ix)</w:t>
      </w:r>
      <w:r>
        <w:rPr>
          <w:rFonts w:ascii="Times New Roman;serif" w:hAnsi="Times New Roman;serif"/>
          <w:b w:val="false"/>
          <w:color w:val="000000"/>
          <w:sz w:val="24"/>
        </w:rPr>
        <w:t>The Company’s failure to timely file with the Commission any Periodic Report in accordance with the laws and regulations of the Commission for the filing thereof on or before the due date of such filing as established by the Commission, it being understood, for the avoidance of doubt, that due date includes any permitted filing deadline extension under Rule 12b-25 under the Exchange Act;</w:t>
      </w:r>
    </w:p>
    <w:p>
      <w:pPr>
        <w:pStyle w:val="TextBody"/>
        <w:bidi w:val="0"/>
        <w:spacing w:lineRule="auto" w:line="240" w:before="0" w:after="240"/>
        <w:ind w:left="0" w:right="0" w:firstLine="2880"/>
        <w:jc w:val="both"/>
        <w:rPr/>
      </w:pPr>
      <w:r>
        <w:rPr>
          <w:rFonts w:ascii="Times New Roman;serif" w:hAnsi="Times New Roman;serif"/>
          <w:b w:val="false"/>
          <w:color w:val="000000"/>
          <w:sz w:val="24"/>
        </w:rPr>
        <w:t>(x)</w:t>
      </w:r>
      <w:r>
        <w:rPr>
          <w:rFonts w:ascii="Times New Roman;serif" w:hAnsi="Times New Roman;serif"/>
          <w:b w:val="false"/>
          <w:color w:val="000000"/>
          <w:sz w:val="24"/>
        </w:rPr>
        <w:t>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a materiality, such representation or warranty shall prove to have been incorrect) when made or deemed made;</w:t>
      </w:r>
    </w:p>
    <w:p>
      <w:pPr>
        <w:pStyle w:val="TextBody"/>
        <w:bidi w:val="0"/>
        <w:spacing w:lineRule="auto" w:line="240" w:before="0" w:after="240"/>
        <w:ind w:left="0" w:right="0" w:firstLine="2880"/>
        <w:jc w:val="both"/>
        <w:rPr/>
      </w:pPr>
      <w:r>
        <w:rPr>
          <w:rFonts w:ascii="Times New Roman;serif" w:hAnsi="Times New Roman;serif"/>
          <w:b w:val="false"/>
          <w:color w:val="000000"/>
          <w:sz w:val="24"/>
        </w:rPr>
        <w:t>(xi)</w:t>
      </w:r>
      <w:r>
        <w:rPr>
          <w:rFonts w:ascii="Times New Roman;serif" w:hAnsi="Times New Roman;serif"/>
          <w:b w:val="false"/>
          <w:color w:val="000000"/>
          <w:sz w:val="24"/>
        </w:rPr>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erif" w:hAnsi="Times New Roman;serif"/>
          <w:b w:val="false"/>
          <w:color w:val="000000"/>
          <w:sz w:val="24"/>
        </w:rPr>
        <w:t>(xii)</w:t>
      </w:r>
      <w:r>
        <w:rPr>
          <w:rFonts w:ascii="Times New Roman;serif" w:hAnsi="Times New Roman;serif"/>
          <w:b w:val="false"/>
          <w:color w:val="000000"/>
          <w:sz w:val="24"/>
        </w:rPr>
        <w:t xml:space="preserve">Any Event of Default (as defined in the Other Debentures or in any Transaction Document other than this Debenture) occurs with respect to any Other Debentures or any breach of any material term of any other debenture, note, or instrument held by the Holder issued by the Company or any agreement between or among the Company and the Holder.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the time that any portion of this Debenture is outstanding, if any Event of Default has occurred and is continuing (other than an event with respect to the Company described in Section (2)(a)(ii)), the full unpaid Principal Amount of this Debenture, together with the Payment Premium in respect of the Principal Amount that was due and payable on the date of the Event of Default, and all interest and other amounts owing in respect of this Debenture to the date of acceleration, shall become, at the Holder's election given by notice pursuant to Section (5), immediately due and payable in cash; provided that, in the case of any event with respect to the Company described in Section (2)(a)(ii), the full unpaid Principal Amount of this Debenture, together with the Payment Premium(s) in respect of the Principal Amount that was due and payable on the date of the Event of Default,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CONVERSION OF DEBENTURE</w:t>
      </w:r>
      <w:r>
        <w:rPr>
          <w:rFonts w:ascii="Times New Roman;serif" w:hAnsi="Times New Roman;serif"/>
          <w:b w:val="false"/>
          <w:color w:val="000000"/>
          <w:sz w:val="24"/>
        </w:rPr>
        <w:t>.    This Debenture shall be convertible into Common Shares, on the terms and conditions set forth in this Section (3).</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Conversion Right</w:t>
      </w:r>
      <w:r>
        <w:rPr>
          <w:rFonts w:ascii="Times New Roman;serif" w:hAnsi="Times New Roman;serif"/>
          <w:b w:val="false"/>
          <w:color w:val="000000"/>
          <w:sz w:val="24"/>
        </w:rPr>
        <w:t xml:space="preserve">.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Conversion</w:t>
      </w:r>
      <w:r>
        <w:rPr>
          <w:rFonts w:ascii="Times New Roman;serif" w:hAnsi="Times New Roman;serif"/>
          <w:b w:val="false"/>
          <w:color w:val="000000"/>
          <w:sz w:val="24"/>
        </w:rPr>
        <w:t>. To convert any Conversion Amount into Common Shares on any date (a "</w:t>
      </w:r>
      <w:r>
        <w:rPr>
          <w:rFonts w:ascii="Times New Roman;serif" w:hAnsi="Times New Roman;serif"/>
          <w:b w:val="false"/>
          <w:color w:val="000000"/>
          <w:sz w:val="24"/>
          <w:u w:val="single"/>
        </w:rPr>
        <w:t>Conversion Date</w:t>
      </w:r>
      <w:r>
        <w:rPr>
          <w:rFonts w:ascii="Times New Roman;serif" w:hAnsi="Times New Roman;serif"/>
          <w:b w:val="false"/>
          <w:color w:val="000000"/>
          <w:sz w:val="24"/>
        </w:rPr>
        <w:t xml:space="preserve">"), the Holder shall (A) transmit by email (or otherwise deliver), for receipt on or prior to 11:59 p.m., New York time, on such date, a copy of an executed notice of conversion in the form attached hereto as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Conversion Notice</w:t>
      </w:r>
      <w:r>
        <w:rPr>
          <w:rFonts w:ascii="Times New Roman;serif" w:hAnsi="Times New Roman;serif"/>
          <w:b w:val="false"/>
          <w:color w:val="000000"/>
          <w:sz w:val="24"/>
        </w:rPr>
        <w:t xml:space="preserve">") to the Company and (B) if required by Section (3)(b)(iii), surrender this Debenture to a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nationally recognized overnight delivery service for delivery to the Company (or an indemnification undertaking reasonably satisfactory to the Company with respect to this Debenture in the case of its loss, theft or destruction). On or before the second (2nd) Trading Day following the date of receipt of the initial Conversion Notice or the first (1st) Trading Day (unless such Conversion Notice was received after 4:30 p.m. New York time, then the second (2) Trading Day) following the date of receipt of any subsequent Conversion Notices (together, the "</w:t>
      </w:r>
      <w:r>
        <w:rPr>
          <w:rFonts w:ascii="Times New Roman;serif" w:hAnsi="Times New Roman;serif"/>
          <w:b w:val="false"/>
          <w:color w:val="000000"/>
          <w:sz w:val="24"/>
          <w:u w:val="single"/>
        </w:rPr>
        <w:t>Share Delivery Date</w:t>
      </w:r>
      <w:r>
        <w:rPr>
          <w:rFonts w:ascii="Times New Roman;serif" w:hAnsi="Times New Roman;serif"/>
          <w:b w:val="false"/>
          <w:color w:val="000000"/>
          <w:sz w:val="24"/>
        </w:rPr>
        <w:t>"), the Company shall (X) if legends are not required to be placed on certificates or the book-entry position of the Common Shares and provided that the Company’s transfer agent (the “</w:t>
      </w:r>
      <w:r>
        <w:rPr>
          <w:rFonts w:ascii="Times New Roman;serif" w:hAnsi="Times New Roman;serif"/>
          <w:b w:val="false"/>
          <w:color w:val="000000"/>
          <w:sz w:val="24"/>
          <w:u w:val="single"/>
        </w:rPr>
        <w:t>Transfer Agent</w:t>
      </w:r>
      <w:r>
        <w:rPr>
          <w:color w:val="000000"/>
        </w:rPr>
        <w:t>”</w:t>
      </w:r>
      <w:r>
        <w:rPr>
          <w:rFonts w:ascii="Times New Roman;serif" w:hAnsi="Times New Roman;serif"/>
          <w:b w:val="false"/>
          <w:color w:val="000000"/>
          <w:sz w:val="24"/>
        </w:rPr>
        <w:t>) is participating in the Depository Trust Company's ("</w:t>
      </w:r>
      <w:r>
        <w:rPr>
          <w:rFonts w:ascii="Times New Roman;serif" w:hAnsi="Times New Roman;serif"/>
          <w:b w:val="false"/>
          <w:color w:val="000000"/>
          <w:sz w:val="24"/>
          <w:u w:val="single"/>
        </w:rPr>
        <w:t>DTC</w:t>
      </w:r>
      <w:r>
        <w:rPr>
          <w:rFonts w:ascii="Times New Roman;serif" w:hAnsi="Times New Roman;serif"/>
          <w:b w:val="false"/>
          <w:color w:val="000000"/>
          <w:sz w:val="24"/>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legends are required to be placed on certificates or the book-entry position of the Common Shares or 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transmission of a Conversion Notice.</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Company's Failure to Timely Convert</w:t>
      </w:r>
      <w:r>
        <w:rPr>
          <w:rFonts w:ascii="Times New Roman;serif" w:hAnsi="Times New Roman;serif"/>
          <w:b w:val="false"/>
          <w:color w:val="000000"/>
          <w:sz w:val="24"/>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serif" w:hAnsi="Times New Roman;serif"/>
          <w:b w:val="false"/>
          <w:color w:val="000000"/>
          <w:sz w:val="24"/>
          <w:u w:val="single"/>
        </w:rPr>
        <w:t>Buy-In</w:t>
      </w:r>
      <w:r>
        <w:rPr>
          <w:rFonts w:ascii="Times New Roman;serif" w:hAnsi="Times New Roman;serif"/>
          <w:b w:val="false"/>
          <w:color w:val="000000"/>
          <w:sz w:val="24"/>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serif" w:hAnsi="Times New Roman;serif"/>
          <w:b w:val="false"/>
          <w:color w:val="000000"/>
          <w:sz w:val="24"/>
          <w:u w:val="single"/>
        </w:rPr>
        <w:t>Buy-In Price</w:t>
      </w:r>
      <w:r>
        <w:rPr>
          <w:color w:val="000000"/>
        </w:rPr>
        <w:t>”</w:t>
      </w:r>
      <w:r>
        <w:rPr>
          <w:rFonts w:ascii="Times New Roman;serif" w:hAnsi="Times New Roman;serif"/>
          <w:b w:val="false"/>
          <w:color w:val="000000"/>
          <w:sz w:val="24"/>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(B) the Closing Price on the Conversion Date.</w:t>
      </w:r>
      <w:r>
        <w:rPr>
          <w:color w:val="000000"/>
        </w:rPr>
        <w:t xml:space="preserv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Book-Entry</w:t>
      </w:r>
      <w:r>
        <w:rPr>
          <w:rFonts w:ascii="Times New Roman;serif" w:hAnsi="Times New Roman;serif"/>
          <w:b w:val="false"/>
          <w:color w:val="000000"/>
          <w:sz w:val="24"/>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Limitations on Conversions</w:t>
      </w:r>
      <w:r>
        <w:rPr>
          <w:rFonts w:ascii="Times New Roman;serif" w:hAnsi="Times New Roman;serif"/>
          <w:b w:val="false"/>
          <w:color w:val="000000"/>
          <w:sz w:val="24"/>
        </w:rPr>
        <w:t>.</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Beneficial Ownership</w:t>
      </w:r>
      <w:r>
        <w:rPr>
          <w:rFonts w:ascii="Times New Roman;serif" w:hAnsi="Times New Roman;serif"/>
          <w:b w:val="false"/>
          <w:color w:val="000000"/>
          <w:sz w:val="24"/>
        </w:rPr>
        <w:t>. The Holder shall not have the right to convert any portion of this Debenture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or under the rules and regulations of the Principal Market,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Principal Market Limitation</w:t>
      </w:r>
      <w:r>
        <w:rPr>
          <w:rFonts w:ascii="Times New Roman;serif" w:hAnsi="Times New Roman;serif"/>
          <w:b w:val="false"/>
          <w:color w:val="000000"/>
          <w:sz w:val="24"/>
        </w:rPr>
        <w:t>. Notwithstanding anything in this Debenture to the contrary, the Company shall not issue any Common Shares upon conversion of this Debenture, or otherwise, if the issuance of such Common Shares, together with any Common Shares issued in connection with any other related transactions that may be considered part of the same series of transactions, would exceed the aggregate number of Common Shares that the Company may issue in a transaction in compliance with the Company’s obligations under the rules or regulations of The Nasdaq Stock Market LLC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and this limitation shall be referred to as the “</w:t>
      </w:r>
      <w:r>
        <w:rPr>
          <w:rFonts w:ascii="Times New Roman;serif" w:hAnsi="Times New Roman;serif"/>
          <w:b w:val="false"/>
          <w:color w:val="000000"/>
          <w:sz w:val="24"/>
          <w:u w:val="single"/>
        </w:rPr>
        <w:t>Exchange Cap,</w:t>
      </w:r>
      <w:r>
        <w:rPr>
          <w:color w:val="000000"/>
        </w:rPr>
        <w:t xml:space="preserve">” </w:t>
      </w:r>
      <w:r>
        <w:rPr>
          <w:rFonts w:ascii="Times New Roman;serif" w:hAnsi="Times New Roman;serif"/>
          <w:b w:val="false"/>
          <w:color w:val="000000"/>
          <w:sz w:val="24"/>
        </w:rPr>
        <w:t>except that such limitation shall not apply if the Company’s stockholders have approved such issuances on such terms in excess of the Exchange Cap in accordance with the rules and regulations of Nasdaq.</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Other Provisions</w:t>
      </w:r>
      <w:r>
        <w:rPr>
          <w:rFonts w:ascii="Times New Roman;serif" w:hAnsi="Times New Roman;serif"/>
          <w:b w:val="false"/>
          <w:color w:val="000000"/>
          <w:sz w:val="24"/>
        </w:rPr>
        <w:t>.</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rPr>
        <w:t>All calculations under this Section (3) shall be rounded to the nearest $0.0001 or whole share.</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Floor Price as of the date of determination, and (y) any such conversion shall not take into account any limitations on the conversion of the Debenture or Other Debentures set forth herein or therein (the “</w:t>
      </w:r>
      <w:r>
        <w:rPr>
          <w:rFonts w:ascii="Times New Roman;serif" w:hAnsi="Times New Roman;serif"/>
          <w:b w:val="false"/>
          <w:color w:val="000000"/>
          <w:sz w:val="24"/>
          <w:u w:val="single"/>
        </w:rPr>
        <w:t>Required Reserve Amount</w:t>
      </w:r>
      <w:r>
        <w:rPr>
          <w:color w:val="000000"/>
        </w:rPr>
        <w:t>”</w:t>
      </w:r>
      <w:r>
        <w:rPr>
          <w:rFonts w:ascii="Times New Roman;serif" w:hAnsi="Times New Roman;serif"/>
          <w:b w:val="false"/>
          <w:color w:val="000000"/>
          <w:sz w:val="24"/>
        </w:rPr>
        <w:t xml:space="preserve">)), provided that at no time shall the number of Common Shares 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Common Shares to satisfy its obligations for the conversion of this Debenture, the Company will promptly take all corporate action necessary to propose to a meeting of its stockholders an increase of its authorized share capital necessary to meet the Company's obligations pursuant to this Debenture, and cause its board of directors to recommend to the stockholders that they approve such proposal.</w:t>
      </w:r>
      <w:r>
        <w:rPr>
          <w:color w:val="000000"/>
        </w:rPr>
        <w:t xml:space="preserve"> </w:t>
      </w:r>
      <w:r>
        <w:rPr>
          <w:rFonts w:ascii="Times New Roman;serif" w:hAnsi="Times New Roman;serif"/>
          <w:b w:val="false"/>
          <w:color w:val="000000"/>
          <w:sz w:val="24"/>
        </w:rPr>
        <w:t>If at any time the number of Common Shares that remain available for issuance under the Exchange Cap is less than 100% of the maximum number of shares issuable upon conversion of all the Debentures and Other Debentures then outstanding (assuming for purposes hereof that (x) the Debentures are convertible at the Conversion Price then in effect, and (y) any such conversion shall not take into account any limitations on the conversion of the Debenture, other than the Floor Price then in effect but solely with respect to the Variable Price), the Company will use commercially reasonable efforts to promptly call and hold a stockholder meeting for the purpose of seeking the approval of its stockholders as required by the applicable rules of the Principal Market, for issuances of shares in excess of the Exchange Cap. The Company covenants that, upon issuance in accordance with conversion of this Debenture in accordance with its terms, the Common Shares, when issued, will be validly issued, fully paid and nonassessable</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 </w:t>
      </w:r>
    </w:p>
    <w:p>
      <w:pPr>
        <w:pStyle w:val="TextBody"/>
        <w:bidi w:val="0"/>
        <w:spacing w:lineRule="auto" w:line="240" w:before="0" w:after="240"/>
        <w:ind w:left="0" w:right="0" w:firstLine="288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Legal Opinions</w:t>
      </w:r>
      <w:r>
        <w:rPr>
          <w:rFonts w:ascii="Times New Roman;serif" w:hAnsi="Times New Roman;serif"/>
          <w:b w:val="false"/>
          <w:color w:val="000000"/>
          <w:sz w:val="24"/>
        </w:rPr>
        <w:t xml:space="preserve">.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provided that the Holder shall provide to the Company and its counsel certificates and letters of representation, if any, that are reasonably required and customary under the circumstances to effect such legend removal. To the extent a legal opinion is not provided (either timely or at all), then the Company agrees to reimburse the Holder for all reasonable costs incurred by the Holder in connection with any legal opinions paid for by the Holder in connection with the removal of such legends in connection with a sale or transfer of the Underlying Shares. The Holder shall notify the Company of any such costs and expenses it incurs that are referred to in this section from time to time and all amounts owed hereunder shall be paid by the Company with reasonable promptness.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Adjustment of Conversion Price upon Subdivision or Combination of Common Shares</w:t>
      </w:r>
      <w:r>
        <w:rPr>
          <w:rFonts w:ascii="Times New Roman;serif" w:hAnsi="Times New Roman;serif"/>
          <w:b w:val="false"/>
          <w:color w:val="000000"/>
          <w:sz w:val="24"/>
        </w:rPr>
        <w:t>. If the Company, at any time while this Debenture is outstanding, shall (i) pay a 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[RESERVED]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Other Corporate Events</w:t>
      </w:r>
      <w:r>
        <w:rPr>
          <w:rFonts w:ascii="Times New Roman;serif" w:hAnsi="Times New Roman;serif"/>
          <w:b w:val="false"/>
          <w:color w:val="000000"/>
          <w:sz w:val="24"/>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serif" w:hAnsi="Times New Roman;serif"/>
          <w:b w:val="false"/>
          <w:color w:val="000000"/>
          <w:sz w:val="24"/>
          <w:u w:val="single"/>
        </w:rPr>
        <w:t>Corporate Event</w:t>
      </w:r>
      <w:r>
        <w:rPr>
          <w:rFonts w:ascii="Times New Roman;serif" w:hAnsi="Times New Roman;serif"/>
          <w:b w:val="false"/>
          <w:color w:val="000000"/>
          <w:sz w:val="24"/>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Holders. The provisions of this Section shall apply similarly and equally to successive Corporate Events and shall be applied without regard to any limitations on the conversion or redemption of this Debenture.</w: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rPr>
        <w:t>Whenever the Conversion Price is adjusted pursuant to the terms hereof, the Company shall promptly provide the Holder with a written notice setting forth the Conversion Price after such adjustment and setting forth a brief statement of the facts requiring such adjustment.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In case of any (1) merger or consolidation of the Company with or into another Person, or (2) sale by the Company of substantially all of the assets of the Company in one or a series of related transactions, a Holder shall have the right to convert the aggregate amount of this Debenture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REISSUANCE OF THIS DEBENTURE</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w:t>
      </w:r>
      <w:r>
        <w:rPr>
          <w:rFonts w:ascii="Times New Roman;serif" w:hAnsi="Times New Roman;serif"/>
          <w:b w:val="false"/>
          <w:color w:val="000000"/>
          <w:sz w:val="24"/>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Lost, Stolen or Mutilated Debenture</w:t>
      </w:r>
      <w:r>
        <w:rPr>
          <w:rFonts w:ascii="Times New Roman;serif" w:hAnsi="Times New Roman;serif"/>
          <w:b w:val="false"/>
          <w:color w:val="000000"/>
          <w:sz w:val="24"/>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Debenture Exchangeable for Different Denominations</w:t>
      </w:r>
      <w:r>
        <w:rPr>
          <w:rFonts w:ascii="Times New Roman;serif" w:hAnsi="Times New Roman;serif"/>
          <w:b w:val="false"/>
          <w:color w:val="000000"/>
          <w:sz w:val="24"/>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Issuance of New Debentures</w:t>
      </w:r>
      <w:r>
        <w:rPr>
          <w:rFonts w:ascii="Times New Roman;serif" w:hAnsi="Times New Roman;serif"/>
          <w:b w:val="false"/>
          <w:color w:val="000000"/>
          <w:sz w:val="24"/>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w:t>
        <w:softHyphen/>
        <w:t>mail addresses for such communications shall</w:t>
      </w:r>
      <w:r>
        <w:rPr>
          <w:color w:val="000000"/>
        </w:rPr>
        <w:t xml:space="preserve"> </w:t>
      </w:r>
      <w:r>
        <w:rPr>
          <w:rFonts w:ascii="Times New Roman;serif" w:hAnsi="Times New Roman;serif"/>
          <w:b w:val="false"/>
          <w:color w:val="000000"/>
          <w:sz w:val="24"/>
        </w:rPr>
        <w:t>be: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14"/>
        <w:gridCol w:w="1507"/>
        <w:gridCol w:w="1511"/>
        <w:gridCol w:w="1604"/>
        <w:gridCol w:w="1600"/>
        <w:gridCol w:w="2269"/>
      </w:tblGrid>
      <w:tr>
        <w:trPr/>
        <w:tc>
          <w:tcPr>
            <w:tcW w:w="17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r>
      <w:tr>
        <w:trPr/>
        <w:tc>
          <w:tcPr>
            <w:tcW w:w="4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 to:</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INNVENTURE, INC.</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6900 Tavistock Lakes Blvd, Suite 400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Orlando, FL 32827</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Telephone:  (610) 996-1767</w:t>
              <w:br/>
              <w:t>Attention:  Suzanne Niemeyer, General Counsel</w:t>
              <w:br/>
              <w:t>E-Mail: legalnotices@innventure.com</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tc>
        <w:tc>
          <w:tcPr>
            <w:tcW w:w="54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Jones Day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1221 Peachtree Street, N.E., Suite 400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30361</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(404) 521-3939</w:t>
              <w:br/>
              <w:t>Attention:  Joel T. May, Esq. and Thomas L. Short, Esq.</w:t>
              <w:br/>
              <w:t>E-Mail: jtmay@jonesday.com and tshort@jonesday.com</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to the Holder:</w:t>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YA II PN, Ltd</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Yorkville Advisors Global,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1012 Springfield Avenue</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Mountainside, NJ 07092</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Attention: Mark Angelo</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Telephone: 201-985-8300</w:t>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Email: Legal@yorkvilleadvisors.com</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Except as expressly provided herein, no provision of this Debenture shall alter or impair the obligations of the Company, which are absolute and unconditional, to pay the Principal of, Interest and other charges (if any) on, this Debenture at the time, place, and rate, and in the currency, herein prescribed. This Debenture is a direct obligation of the Company. As long as this Debenture is outstanding, the Company shall not and shall cause each of its subsidiaries not to, without the consent of the Holder,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This Debenture shall not entitle the Holder to any of the rights of a stockholder of the Company, including without limitation, the right to vote, to receive dividends and other distributions, or to receive any notice of, or to attend, meetings of stockholders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 proceedings of the Company, unless and to the extent converted into Common Shares in accordance with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CHOICE OF LAW; VENUE; WAIVER OF JURY TRIAL</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Debenture and the rights and obligations of the Parties hereunder shall, in all respects, be governed by, and construed in accordance with, the laws (excluding the principles of conflict of laws) of the State of New York (the “</w:t>
      </w:r>
      <w:r>
        <w:rPr>
          <w:rFonts w:ascii="Times New Roman;serif" w:hAnsi="Times New Roman;serif"/>
          <w:b w:val="false"/>
          <w:color w:val="000000"/>
          <w:sz w:val="24"/>
          <w:u w:val="single"/>
        </w:rPr>
        <w:t>Governing Jurisdiction</w:t>
      </w:r>
      <w:r>
        <w:rPr>
          <w:color w:val="000000"/>
        </w:rPr>
        <w:t>”</w:t>
      </w:r>
      <w:r>
        <w:rPr>
          <w:rFonts w:ascii="Times New Roman;serif" w:hAnsi="Times New Roman;serif"/>
          <w:b w:val="false"/>
          <w:color w:val="000000"/>
          <w:sz w:val="24"/>
        </w:rPr>
        <w:t>) (including Section 5-1401 and Section 5-1402 of the General Obligations Law of the State of New York), including all matters of construction, validity and performance.</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 xml:space="preserve">Jurisdiction; Venue; Service.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pStyle w:val="TextBody"/>
        <w:bidi w:val="0"/>
        <w:spacing w:lineRule="auto" w:line="240"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rPr>
        <w:t>Any suit, claim, action, litigation or proceeding of any kind or description, whether in law or equity, whether in contract or tort or otherwise, brought by the 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(v)</w:t>
      </w:r>
      <w:r>
        <w:rPr>
          <w:rFonts w:ascii="Times New Roman;serif" w:hAnsi="Times New Roman;serif"/>
          <w:b w:val="false"/>
          <w:color w:val="000000"/>
          <w:sz w:val="24"/>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rPr>
        <w:t>If the Company fails to strictly comply with the terms of this Debenture, then the Company shall reimburse the Holder promptly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rPr>
        <w:t xml:space="preserve">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CERTAIN DEFINITIONS.</w:t>
      </w:r>
      <w:r>
        <w:rPr>
          <w:color w:val="000000"/>
        </w:rPr>
        <w:t xml:space="preserve"> </w:t>
      </w:r>
      <w:r>
        <w:rPr>
          <w:rFonts w:ascii="Times New Roman;serif" w:hAnsi="Times New Roman;serif"/>
          <w:b w:val="false"/>
          <w:color w:val="000000"/>
          <w:sz w:val="24"/>
        </w:rPr>
        <w:t>For purposes of this Debenture, the following terms shall have the following meanings:</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Amortization Event</w:t>
      </w:r>
      <w:r>
        <w:rPr>
          <w:color w:val="000000"/>
        </w:rPr>
        <w:t xml:space="preserve">” </w:t>
      </w:r>
      <w:r>
        <w:rPr>
          <w:rFonts w:ascii="Times New Roman;serif" w:hAnsi="Times New Roman;serif"/>
          <w:b w:val="false"/>
          <w:color w:val="000000"/>
          <w:sz w:val="24"/>
        </w:rPr>
        <w:t>shall mean (i) the daily VWAP of the Common Shares is less than the Floor Price then in effect for five Trading Days during a period of seven consecutive Trading Days (a “</w:t>
      </w:r>
      <w:r>
        <w:rPr>
          <w:rFonts w:ascii="Times New Roman;serif" w:hAnsi="Times New Roman;serif"/>
          <w:b w:val="false"/>
          <w:color w:val="000000"/>
          <w:sz w:val="24"/>
          <w:u w:val="single"/>
        </w:rPr>
        <w:t>Floor Price Event</w:t>
      </w:r>
      <w:r>
        <w:rPr>
          <w:color w:val="000000"/>
        </w:rPr>
        <w:t>”</w:t>
      </w:r>
      <w:r>
        <w:rPr>
          <w:rFonts w:ascii="Times New Roman;serif" w:hAnsi="Times New Roman;serif"/>
          <w:b w:val="false"/>
          <w:color w:val="000000"/>
          <w:sz w:val="24"/>
        </w:rPr>
        <w:t>), (ii) the Company has issued in excess of 99% of the Common Shares available under the Exchange Cap, where applicable (an “</w:t>
      </w:r>
      <w:r>
        <w:rPr>
          <w:rFonts w:ascii="Times New Roman;serif" w:hAnsi="Times New Roman;serif"/>
          <w:b w:val="false"/>
          <w:color w:val="000000"/>
          <w:sz w:val="24"/>
          <w:u w:val="single"/>
        </w:rPr>
        <w:t>Exchange Cap Event</w:t>
      </w:r>
      <w:r>
        <w:rPr>
          <w:color w:val="000000"/>
        </w:rPr>
        <w:t>”</w:t>
      </w:r>
      <w:r>
        <w:rPr>
          <w:rFonts w:ascii="Times New Roman;serif" w:hAnsi="Times New Roman;serif"/>
          <w:b w:val="false"/>
          <w:color w:val="000000"/>
          <w:sz w:val="24"/>
        </w:rPr>
        <w:t xml:space="preserve">), or (iii) any time after the Effectiveness Deadline (as defined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Registration Rights Agreement), the Investor is unable to utilize a Registration Statement to resell Underlying Shares for a period of twenty (20) consecutive Trading Days (a “</w:t>
      </w:r>
      <w:r>
        <w:rPr>
          <w:rFonts w:ascii="Times New Roman;serif" w:hAnsi="Times New Roman;serif"/>
          <w:b w:val="false"/>
          <w:color w:val="000000"/>
          <w:sz w:val="24"/>
          <w:u w:val="single"/>
        </w:rPr>
        <w:t>Registration Event</w:t>
      </w:r>
      <w:r>
        <w:rPr>
          <w:color w:val="000000"/>
        </w:rPr>
        <w:t>”</w:t>
      </w:r>
      <w:r>
        <w:rPr>
          <w:rFonts w:ascii="Times New Roman;serif" w:hAnsi="Times New Roman;serif"/>
          <w:b w:val="false"/>
          <w:color w:val="000000"/>
          <w:sz w:val="24"/>
        </w:rPr>
        <w:t>) (the last day of each such occurrence, an “</w:t>
      </w:r>
      <w:r>
        <w:rPr>
          <w:rFonts w:ascii="Times New Roman;serif" w:hAnsi="Times New Roman;serif"/>
          <w:b w:val="false"/>
          <w:color w:val="000000"/>
          <w:sz w:val="24"/>
          <w:u w:val="single"/>
        </w:rPr>
        <w:t>Amortization Event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Amortization Principal Amount</w:t>
      </w:r>
      <w:r>
        <w:rPr>
          <w:color w:val="000000"/>
        </w:rPr>
        <w:t xml:space="preserve">” </w:t>
      </w:r>
      <w:r>
        <w:rPr>
          <w:rFonts w:ascii="Times New Roman;serif" w:hAnsi="Times New Roman;serif"/>
          <w:b w:val="false"/>
          <w:color w:val="000000"/>
          <w:sz w:val="24"/>
        </w:rPr>
        <w:t>means an amount equal to 10</w:t>
      </w:r>
      <w:r>
        <w:rPr>
          <w:color w:val="000000"/>
        </w:rPr>
        <w:t xml:space="preserve"> </w:t>
      </w:r>
      <w:r>
        <w:rPr>
          <w:rFonts w:ascii="Times New Roman;serif" w:hAnsi="Times New Roman;serif"/>
          <w:b w:val="false"/>
          <w:color w:val="000000"/>
          <w:sz w:val="24"/>
        </w:rPr>
        <w:t xml:space="preserve">% of the original Principal Amount of this Debenture (or the outstanding Principal, if less than such amount).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w:t>
      </w:r>
      <w:r>
        <w:rPr>
          <w:rFonts w:ascii="Times New Roman;serif" w:hAnsi="Times New Roman;serif"/>
          <w:b w:val="false"/>
          <w:color w:val="000000"/>
          <w:sz w:val="24"/>
          <w:u w:val="single"/>
        </w:rPr>
        <w:t>Bloomberg</w:t>
      </w:r>
      <w:r>
        <w:rPr>
          <w:rFonts w:ascii="Times New Roman;serif" w:hAnsi="Times New Roman;serif"/>
          <w:b w:val="false"/>
          <w:color w:val="000000"/>
          <w:sz w:val="24"/>
        </w:rPr>
        <w:t>" means Bloomberg Financial Markets (or if not available, a similar service provider of national recognized standing).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except Saturday, Sunday and any day which shall be a federal legal holiday in the United States or a day on which banking institutions in the State of New York are authorized or required by law or other government action to close.</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Buy-In</w:t>
      </w:r>
      <w:r>
        <w:rPr>
          <w:color w:val="000000"/>
        </w:rPr>
        <w:t xml:space="preserve">” </w:t>
      </w:r>
      <w:r>
        <w:rPr>
          <w:rFonts w:ascii="Times New Roman;serif" w:hAnsi="Times New Roman;serif"/>
          <w:b w:val="false"/>
          <w:color w:val="000000"/>
          <w:sz w:val="24"/>
        </w:rPr>
        <w:t>shall have the meaning set forth in Section (3)(b)(ii).</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Buy-In Price</w:t>
      </w:r>
      <w:r>
        <w:rPr>
          <w:color w:val="000000"/>
        </w:rPr>
        <w:t xml:space="preserve">” </w:t>
      </w:r>
      <w:r>
        <w:rPr>
          <w:rFonts w:ascii="Times New Roman;serif" w:hAnsi="Times New Roman;serif"/>
          <w:b w:val="false"/>
          <w:color w:val="000000"/>
          <w:sz w:val="24"/>
        </w:rPr>
        <w:t>shall have the meaning set forth in Section (3)(b)(ii).</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Calendar Month</w:t>
      </w:r>
      <w:r>
        <w:rPr>
          <w:color w:val="000000"/>
        </w:rPr>
        <w:t xml:space="preserve">” </w:t>
      </w:r>
      <w:r>
        <w:rPr>
          <w:rFonts w:ascii="Times New Roman;serif" w:hAnsi="Times New Roman;serif"/>
          <w:b w:val="false"/>
          <w:color w:val="000000"/>
          <w:sz w:val="24"/>
        </w:rPr>
        <w:t xml:space="preserve">means the period from a particular date in one month to the same date in the next month. </w: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Change of Control Transaction</w:t>
      </w:r>
      <w:r>
        <w:rPr>
          <w:color w:val="000000"/>
        </w:rPr>
        <w:t xml:space="preserve">” </w:t>
      </w:r>
      <w:r>
        <w:rPr>
          <w:rFonts w:ascii="Times New Roman;serif" w:hAnsi="Times New Roman;serif"/>
          <w:b w:val="false"/>
          <w:color w:val="000000"/>
          <w:sz w:val="24"/>
        </w:rPr>
        <w:t>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the closing of any privatization (i.e., a take-private transaction), (c)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(d) the closing of any sale, lease, license, transfer or other disposition or sale of all or substantially all of the assets of the Company in one or a series of related transactions, or (e) the execution by the Company of an agreement to which the Company is a party or by which it is bound, providing for any of the events set forth above in (a) or (b). No transfer to a wholly-owned Subsidiary shall be deemed a Change of Control Transaction under this provision.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Closing Price</w:t>
      </w:r>
      <w:r>
        <w:rPr>
          <w:color w:val="000000"/>
        </w:rPr>
        <w:t xml:space="preserve">” </w:t>
      </w:r>
      <w:r>
        <w:rPr>
          <w:rFonts w:ascii="Times New Roman;serif" w:hAnsi="Times New Roman;serif"/>
          <w:b w:val="false"/>
          <w:color w:val="000000"/>
          <w:sz w:val="24"/>
        </w:rPr>
        <w:t>means the price per share in the last reported trade of the Common Shares on a Principal Market or on the exchange which the Common Shares is then listed as quoted by Bloomberg.</w:t>
      </w:r>
    </w:p>
    <w:p>
      <w:pPr>
        <w:pStyle w:val="TextBody"/>
        <w:bidi w:val="0"/>
        <w:spacing w:lineRule="auto" w:line="240" w:before="0" w:after="240"/>
        <w:ind w:left="0" w:right="0" w:firstLine="216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Commission</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Common Shares</w:t>
      </w:r>
      <w:r>
        <w:rPr>
          <w:color w:val="000000"/>
        </w:rPr>
        <w:t xml:space="preserve">” </w:t>
      </w:r>
      <w:r>
        <w:rPr>
          <w:rFonts w:ascii="Times New Roman;serif" w:hAnsi="Times New Roman;serif"/>
          <w:b w:val="false"/>
          <w:color w:val="000000"/>
          <w:sz w:val="24"/>
        </w:rPr>
        <w:t>means the shares of common stock, par value $0.0001, of the Company and stock of any other class into which such shares may hereafter be changed or reclassified.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Conversion Amount</w:t>
      </w:r>
      <w:r>
        <w:rPr>
          <w:color w:val="000000"/>
        </w:rPr>
        <w:t xml:space="preserve">” </w:t>
      </w:r>
      <w:r>
        <w:rPr>
          <w:rFonts w:ascii="Times New Roman;serif" w:hAnsi="Times New Roman;serif"/>
          <w:b w:val="false"/>
          <w:color w:val="000000"/>
          <w:sz w:val="24"/>
        </w:rPr>
        <w:t>means the portion of the Principal, Interest, or other amounts outstanding under this Note to be converted, redeemed or otherwise with respect to which this determination is being made.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(m)</w:t>
      </w:r>
      <w:r>
        <w:rPr>
          <w:rFonts w:ascii="Times New Roman;serif" w:hAnsi="Times New Roman;serif"/>
          <w:b w:val="false"/>
          <w:color w:val="000000"/>
          <w:sz w:val="24"/>
        </w:rPr>
        <w:t>"</w:t>
      </w:r>
      <w:r>
        <w:rPr>
          <w:rFonts w:ascii="Times New Roman;serif" w:hAnsi="Times New Roman;serif"/>
          <w:b w:val="false"/>
          <w:color w:val="000000"/>
          <w:sz w:val="24"/>
          <w:u w:val="single"/>
        </w:rPr>
        <w:t>Conversion Date</w:t>
      </w:r>
      <w:r>
        <w:rPr>
          <w:rFonts w:ascii="Times New Roman;serif" w:hAnsi="Times New Roman;serif"/>
          <w:b w:val="false"/>
          <w:color w:val="000000"/>
          <w:sz w:val="24"/>
        </w:rPr>
        <w:t xml:space="preserve">" shall have the meaning set forth in Section (3)(b)(i). </w:t>
      </w:r>
    </w:p>
    <w:p>
      <w:pPr>
        <w:pStyle w:val="TextBody"/>
        <w:bidi w:val="0"/>
        <w:spacing w:lineRule="auto" w:line="240" w:before="0" w:after="240"/>
        <w:ind w:left="0" w:right="0" w:firstLine="2160"/>
        <w:jc w:val="both"/>
        <w:rPr/>
      </w:pPr>
      <w:r>
        <w:rPr>
          <w:rFonts w:ascii="Times New Roman;serif" w:hAnsi="Times New Roman;serif"/>
          <w:b w:val="false"/>
          <w:color w:val="000000"/>
          <w:sz w:val="24"/>
        </w:rPr>
        <w:t>(n)</w:t>
      </w:r>
      <w:r>
        <w:rPr>
          <w:rFonts w:ascii="Times New Roman;serif" w:hAnsi="Times New Roman;serif"/>
          <w:b w:val="false"/>
          <w:color w:val="000000"/>
          <w:sz w:val="24"/>
        </w:rPr>
        <w:t>"</w:t>
      </w:r>
      <w:r>
        <w:rPr>
          <w:rFonts w:ascii="Times New Roman;serif" w:hAnsi="Times New Roman;serif"/>
          <w:b w:val="false"/>
          <w:color w:val="000000"/>
          <w:sz w:val="24"/>
          <w:u w:val="single"/>
        </w:rPr>
        <w:t>Conversion Notice</w:t>
      </w:r>
      <w:r>
        <w:rPr>
          <w:rFonts w:ascii="Times New Roman;serif" w:hAnsi="Times New Roman;serif"/>
          <w:b w:val="false"/>
          <w:color w:val="000000"/>
          <w:sz w:val="24"/>
        </w:rPr>
        <w:t xml:space="preserve">" shall have the meaning set forth in Section (3)(b)(i). </w:t>
      </w:r>
    </w:p>
    <w:p>
      <w:pPr>
        <w:pStyle w:val="TextBody"/>
        <w:bidi w:val="0"/>
        <w:spacing w:lineRule="auto" w:line="240" w:before="0" w:after="240"/>
        <w:ind w:left="0" w:right="0" w:firstLine="2160"/>
        <w:jc w:val="both"/>
        <w:rPr/>
      </w:pPr>
      <w:r>
        <w:rPr>
          <w:rFonts w:ascii="Times New Roman;serif" w:hAnsi="Times New Roman;serif"/>
          <w:b w:val="false"/>
          <w:color w:val="000000"/>
          <w:sz w:val="24"/>
        </w:rPr>
        <w:t>(o)</w:t>
      </w:r>
      <w:r>
        <w:rPr>
          <w:rFonts w:ascii="Times New Roman;serif" w:hAnsi="Times New Roman;serif"/>
          <w:b w:val="false"/>
          <w:color w:val="000000"/>
          <w:sz w:val="24"/>
        </w:rPr>
        <w:t>"</w:t>
      </w:r>
      <w:r>
        <w:rPr>
          <w:rFonts w:ascii="Times New Roman;serif" w:hAnsi="Times New Roman;serif"/>
          <w:b w:val="false"/>
          <w:color w:val="000000"/>
          <w:sz w:val="24"/>
          <w:u w:val="single"/>
        </w:rPr>
        <w:t>Conversion Price</w:t>
      </w:r>
      <w:r>
        <w:rPr>
          <w:rFonts w:ascii="Times New Roman;serif" w:hAnsi="Times New Roman;serif"/>
          <w:b w:val="false"/>
          <w:color w:val="000000"/>
          <w:sz w:val="24"/>
        </w:rPr>
        <w:t>" means, as of any Conversion Date or other date of determination the lower of (i) $7.00 per Common Share (the “</w:t>
      </w:r>
      <w:r>
        <w:rPr>
          <w:rFonts w:ascii="Times New Roman;serif" w:hAnsi="Times New Roman;serif"/>
          <w:b w:val="false"/>
          <w:color w:val="000000"/>
          <w:sz w:val="24"/>
          <w:u w:val="single"/>
        </w:rPr>
        <w:t>Fixed Price</w:t>
      </w:r>
      <w:r>
        <w:rPr>
          <w:color w:val="000000"/>
        </w:rPr>
        <w:t>”</w:t>
      </w:r>
      <w:r>
        <w:rPr>
          <w:rFonts w:ascii="Times New Roman;serif" w:hAnsi="Times New Roman;serif"/>
          <w:b w:val="false"/>
          <w:color w:val="000000"/>
          <w:sz w:val="24"/>
        </w:rPr>
        <w:t>), or (ii) 95% of the lowest daily VWAP during the 5 consecutive Trading Days immediately preceding the Conversion Date or other date of determination (the “</w:t>
      </w:r>
      <w:r>
        <w:rPr>
          <w:rFonts w:ascii="Times New Roman;serif" w:hAnsi="Times New Roman;serif"/>
          <w:b w:val="false"/>
          <w:color w:val="000000"/>
          <w:sz w:val="24"/>
          <w:u w:val="single"/>
        </w:rPr>
        <w:t>Variable Price</w:t>
      </w:r>
      <w:r>
        <w:rPr>
          <w:color w:val="000000"/>
        </w:rPr>
        <w:t>”</w:t>
      </w:r>
      <w:r>
        <w:rPr>
          <w:rFonts w:ascii="Times New Roman;serif" w:hAnsi="Times New Roman;serif"/>
          <w:b w:val="false"/>
          <w:color w:val="000000"/>
          <w:sz w:val="24"/>
        </w:rPr>
        <w:t xml:space="preserve">), but which Variable Price shall not be lower than the Floor Price then in effect. The Conversion Price shall be adjusted from time to time pursuant to the other terms and conditions of this Note.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u w:val="single"/>
        </w:rPr>
        <w:t>Floor Price</w:t>
      </w:r>
      <w:r>
        <w:rPr>
          <w:color w:val="000000"/>
        </w:rPr>
        <w:t xml:space="preserve">” </w:t>
      </w:r>
      <w:r>
        <w:rPr>
          <w:rFonts w:ascii="Times New Roman;serif" w:hAnsi="Times New Roman;serif"/>
          <w:b w:val="false"/>
          <w:color w:val="000000"/>
          <w:sz w:val="24"/>
        </w:rPr>
        <w:t xml:space="preserve">solely with respect to the Variable Price, shall mean $1.16 per Common Share.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u w:val="single"/>
        </w:rPr>
        <w:t>Fundamental Transaction</w:t>
      </w:r>
      <w:r>
        <w:rPr>
          <w:color w:val="000000"/>
        </w:rPr>
        <w:t xml:space="preserve">” </w:t>
      </w:r>
      <w:r>
        <w:rPr>
          <w:rFonts w:ascii="Times New Roman;serif" w:hAnsi="Times New Roman;serif"/>
          <w:b w:val="false"/>
          <w:color w:val="000000"/>
          <w:sz w:val="24"/>
        </w:rPr>
        <w:t xml:space="preserve">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all of their shares for other securities, cash or property, or (4) the Company effects any reclassification of the Common Shares or any compulsory share exchange pursuant to which the Common Shares is effectively converted into or exchanged for other securities, cash or property. </w:t>
      </w:r>
    </w:p>
    <w:p>
      <w:pPr>
        <w:pStyle w:val="TextBody"/>
        <w:bidi w:val="0"/>
        <w:spacing w:lineRule="auto" w:line="240" w:before="0" w:after="240"/>
        <w:ind w:left="0" w:right="0" w:firstLine="2160"/>
        <w:jc w:val="both"/>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u w:val="single"/>
        </w:rPr>
        <w:t>Optional Redemption</w:t>
      </w:r>
      <w:r>
        <w:rPr>
          <w:color w:val="000000"/>
        </w:rPr>
        <w:t xml:space="preserve">” </w:t>
      </w:r>
      <w:r>
        <w:rPr>
          <w:rFonts w:ascii="Times New Roman;serif" w:hAnsi="Times New Roman;serif"/>
          <w:b w:val="false"/>
          <w:color w:val="000000"/>
          <w:sz w:val="24"/>
        </w:rPr>
        <w:t xml:space="preserve">shall have the meaning set forth in (1)(d).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(t)</w:t>
      </w:r>
      <w:r>
        <w:rPr>
          <w:color w:val="000000"/>
        </w:rPr>
        <w:t>“</w:t>
      </w:r>
      <w:r>
        <w:rPr>
          <w:rFonts w:ascii="Times New Roman;serif" w:hAnsi="Times New Roman;serif"/>
          <w:b w:val="false"/>
          <w:color w:val="000000"/>
          <w:sz w:val="24"/>
          <w:u w:val="single"/>
        </w:rPr>
        <w:t>Other Debentures</w:t>
      </w:r>
      <w:r>
        <w:rPr>
          <w:color w:val="000000"/>
        </w:rPr>
        <w:t xml:space="preserve">” </w:t>
      </w:r>
      <w:r>
        <w:rPr>
          <w:rFonts w:ascii="Times New Roman;serif" w:hAnsi="Times New Roman;serif"/>
          <w:b w:val="false"/>
          <w:color w:val="000000"/>
          <w:sz w:val="24"/>
        </w:rPr>
        <w:t xml:space="preserve">means any other debentures issued pursuant to the Securities Purchase Agreement and any other debentures, notes, or other instruments issued in exchange, replacement, or modification of the foregoing. </w:t>
      </w:r>
    </w:p>
    <w:p>
      <w:pPr>
        <w:pStyle w:val="TextBody"/>
        <w:bidi w:val="0"/>
        <w:spacing w:lineRule="auto" w:line="240" w:before="0" w:after="240"/>
        <w:ind w:left="0" w:right="0" w:firstLine="2160"/>
        <w:jc w:val="both"/>
        <w:rPr/>
      </w:pPr>
      <w:r>
        <w:rPr>
          <w:rFonts w:ascii="Times New Roman;serif" w:hAnsi="Times New Roman;serif"/>
          <w:b w:val="false"/>
          <w:color w:val="000000"/>
          <w:sz w:val="24"/>
        </w:rPr>
        <w:t>(u)</w:t>
      </w:r>
      <w:r>
        <w:rPr>
          <w:color w:val="000000"/>
        </w:rPr>
        <w:t>“</w:t>
      </w:r>
      <w:r>
        <w:rPr>
          <w:rFonts w:ascii="Times New Roman;serif" w:hAnsi="Times New Roman;serif"/>
          <w:b w:val="false"/>
          <w:color w:val="000000"/>
          <w:sz w:val="24"/>
          <w:u w:val="single"/>
        </w:rPr>
        <w:t>Payment Premium</w:t>
      </w:r>
      <w:r>
        <w:rPr>
          <w:color w:val="000000"/>
        </w:rPr>
        <w:t xml:space="preserve">” </w:t>
      </w:r>
      <w:r>
        <w:rPr>
          <w:rFonts w:ascii="Times New Roman;serif" w:hAnsi="Times New Roman;serif"/>
          <w:b w:val="false"/>
          <w:color w:val="000000"/>
          <w:sz w:val="24"/>
        </w:rPr>
        <w:t xml:space="preserve">means 5% of the Principal Amount being paid.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Periodic Report</w:t>
      </w:r>
      <w:r>
        <w:rPr>
          <w:color w:val="000000"/>
        </w:rPr>
        <w:t xml:space="preserve">” </w:t>
      </w:r>
      <w:r>
        <w:rPr>
          <w:rFonts w:ascii="Times New Roman;serif" w:hAnsi="Times New Roman;serif"/>
          <w:b w:val="false"/>
          <w:color w:val="000000"/>
          <w:sz w:val="24"/>
        </w:rPr>
        <w:t>shall mean each of the Company’s reports required to be filed by the Company with the Commission under applicable laws and regulations (including, without limitation, Regulation S-K), including annual reports (on Form 10-K) and quarterly reports (on Form 10-Q), but excluding current reports on Form 8-K, for so long as any amounts are outstanding under this Debenture.</w:t>
      </w:r>
    </w:p>
    <w:p>
      <w:pPr>
        <w:pStyle w:val="TextBody"/>
        <w:bidi w:val="0"/>
        <w:spacing w:lineRule="auto" w:line="240" w:before="0" w:after="240"/>
        <w:ind w:left="0" w:right="0" w:firstLine="2160"/>
        <w:jc w:val="both"/>
        <w:rPr/>
      </w:pPr>
      <w:r>
        <w:rPr>
          <w:rFonts w:ascii="Times New Roman;serif" w:hAnsi="Times New Roman;serif"/>
          <w:b w:val="false"/>
          <w:color w:val="000000"/>
          <w:sz w:val="24"/>
        </w:rPr>
        <w:t>(w)</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 corporation, an association, a partnership, organization, a business, an individual, a government or political subdivision thereof or a governmental agency.</w:t>
      </w:r>
    </w:p>
    <w:p>
      <w:pPr>
        <w:pStyle w:val="TextBody"/>
        <w:bidi w:val="0"/>
        <w:spacing w:lineRule="auto" w:line="240" w:before="0" w:after="240"/>
        <w:ind w:left="0" w:right="0" w:firstLine="2160"/>
        <w:jc w:val="both"/>
        <w:rPr/>
      </w:pPr>
      <w:r>
        <w:rPr>
          <w:rFonts w:ascii="Times New Roman;serif" w:hAnsi="Times New Roman;serif"/>
          <w:b w:val="false"/>
          <w:color w:val="000000"/>
          <w:sz w:val="24"/>
        </w:rPr>
        <w:t>(x)</w:t>
      </w:r>
      <w:r>
        <w:rPr>
          <w:color w:val="000000"/>
        </w:rPr>
        <w:t>“</w:t>
      </w:r>
      <w:r>
        <w:rPr>
          <w:rFonts w:ascii="Times New Roman;serif" w:hAnsi="Times New Roman;serif"/>
          <w:b w:val="false"/>
          <w:color w:val="000000"/>
          <w:sz w:val="24"/>
          <w:u w:val="single"/>
        </w:rPr>
        <w:t>Principal Market</w:t>
      </w:r>
      <w:r>
        <w:rPr>
          <w:color w:val="000000"/>
        </w:rPr>
        <w:t xml:space="preserve">” </w:t>
      </w:r>
      <w:r>
        <w:rPr>
          <w:rFonts w:ascii="Times New Roman;serif" w:hAnsi="Times New Roman;serif"/>
          <w:b w:val="false"/>
          <w:color w:val="000000"/>
          <w:sz w:val="24"/>
        </w:rPr>
        <w:t xml:space="preserve">means the Nasdaq Stock Market; provided however, that in the event the Company’s Common Shares are ever listed or traded on any of the New York Stock Exchange, the NYSE American, or any such successor thereto, the “Principal Market” shall mean that market on which the Common Shares are then listed or traded.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(y)</w:t>
      </w:r>
      <w:r>
        <w:rPr>
          <w:color w:val="000000"/>
        </w:rPr>
        <w:t>“</w:t>
      </w:r>
      <w:r>
        <w:rPr>
          <w:rFonts w:ascii="Times New Roman;serif" w:hAnsi="Times New Roman;serif"/>
          <w:b w:val="false"/>
          <w:color w:val="000000"/>
          <w:sz w:val="24"/>
          <w:u w:val="single"/>
        </w:rPr>
        <w:t>Redemption Amount</w:t>
      </w:r>
      <w:r>
        <w:rPr>
          <w:color w:val="000000"/>
        </w:rPr>
        <w:t xml:space="preserve">” </w:t>
      </w:r>
      <w:r>
        <w:rPr>
          <w:rFonts w:ascii="Times New Roman;serif" w:hAnsi="Times New Roman;serif"/>
          <w:b w:val="false"/>
          <w:color w:val="000000"/>
          <w:sz w:val="24"/>
        </w:rPr>
        <w:t>shall have the meaning set forth in Section (1)(d).</w:t>
      </w:r>
    </w:p>
    <w:p>
      <w:pPr>
        <w:pStyle w:val="TextBody"/>
        <w:bidi w:val="0"/>
        <w:spacing w:lineRule="auto" w:line="240" w:before="0" w:after="240"/>
        <w:ind w:left="0" w:right="0" w:firstLine="2160"/>
        <w:jc w:val="both"/>
        <w:rPr/>
      </w:pPr>
      <w:r>
        <w:rPr>
          <w:rFonts w:ascii="Times New Roman;serif" w:hAnsi="Times New Roman;serif"/>
          <w:b w:val="false"/>
          <w:color w:val="000000"/>
          <w:sz w:val="24"/>
        </w:rPr>
        <w:t>(z)</w:t>
      </w:r>
      <w:r>
        <w:rPr>
          <w:color w:val="000000"/>
        </w:rPr>
        <w:t>“</w:t>
      </w:r>
      <w:r>
        <w:rPr>
          <w:rFonts w:ascii="Times New Roman;serif" w:hAnsi="Times New Roman;serif"/>
          <w:b w:val="false"/>
          <w:color w:val="000000"/>
          <w:sz w:val="24"/>
          <w:u w:val="single"/>
        </w:rPr>
        <w:t>Redemption Notice</w:t>
      </w:r>
      <w:r>
        <w:rPr>
          <w:color w:val="000000"/>
        </w:rPr>
        <w:t xml:space="preserve">” </w:t>
      </w:r>
      <w:r>
        <w:rPr>
          <w:rFonts w:ascii="Times New Roman;serif" w:hAnsi="Times New Roman;serif"/>
          <w:b w:val="false"/>
          <w:color w:val="000000"/>
          <w:sz w:val="24"/>
        </w:rPr>
        <w:t>shall have the meaning set forth in Section (1)(d).</w:t>
      </w:r>
    </w:p>
    <w:p>
      <w:pPr>
        <w:pStyle w:val="TextBody"/>
        <w:bidi w:val="0"/>
        <w:spacing w:lineRule="auto" w:line="240" w:before="0" w:after="240"/>
        <w:ind w:left="0" w:right="0" w:firstLine="2160"/>
        <w:jc w:val="both"/>
        <w:rPr/>
      </w:pPr>
      <w:r>
        <w:rPr>
          <w:rFonts w:ascii="Times New Roman;serif" w:hAnsi="Times New Roman;serif"/>
          <w:b w:val="false"/>
          <w:color w:val="000000"/>
          <w:sz w:val="24"/>
        </w:rPr>
        <w:t>(aa)</w:t>
      </w:r>
      <w:r>
        <w:rPr>
          <w:color w:val="000000"/>
        </w:rPr>
        <w:t>“</w:t>
      </w:r>
      <w:r>
        <w:rPr>
          <w:rFonts w:ascii="Times New Roman;serif" w:hAnsi="Times New Roman;serif"/>
          <w:b w:val="false"/>
          <w:color w:val="000000"/>
          <w:sz w:val="24"/>
          <w:u w:val="single"/>
        </w:rPr>
        <w:t>Redemption Premium</w:t>
      </w:r>
      <w:r>
        <w:rPr>
          <w:color w:val="000000"/>
        </w:rPr>
        <w:t xml:space="preserve">” </w:t>
      </w:r>
      <w:r>
        <w:rPr>
          <w:rFonts w:ascii="Times New Roman;serif" w:hAnsi="Times New Roman;serif"/>
          <w:b w:val="false"/>
          <w:color w:val="000000"/>
          <w:sz w:val="24"/>
        </w:rPr>
        <w:t xml:space="preserve">means 10% of the Principal Amount being redeemed. </w:t>
      </w:r>
    </w:p>
    <w:p>
      <w:pPr>
        <w:pStyle w:val="TextBody"/>
        <w:bidi w:val="0"/>
        <w:spacing w:before="0" w:after="0"/>
        <w:jc w:val="both"/>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 xml:space="preserve">(bb)     </w:t>
      </w:r>
      <w:r>
        <w:rPr>
          <w:color w:val="000000"/>
          <w:u w:val="single"/>
        </w:rPr>
        <w:t>“</w:t>
      </w:r>
      <w:r>
        <w:rPr>
          <w:rFonts w:ascii="Times New Roman;serif" w:hAnsi="Times New Roman;serif"/>
          <w:b w:val="false"/>
          <w:color w:val="000000"/>
          <w:sz w:val="24"/>
          <w:u w:val="single"/>
        </w:rPr>
        <w:t>Registration Rights Agreement”</w:t>
      </w:r>
      <w:r>
        <w:rPr>
          <w:color w:val="000000"/>
        </w:rPr>
        <w:t xml:space="preserve"> </w:t>
      </w:r>
      <w:r>
        <w:rPr>
          <w:rFonts w:ascii="Times New Roman;serif" w:hAnsi="Times New Roman;serif"/>
          <w:b w:val="false"/>
          <w:color w:val="000000"/>
          <w:sz w:val="24"/>
        </w:rPr>
        <w:t>has the meaning given such term in the Securities Purchase Agreement.</w:t>
      </w:r>
    </w:p>
    <w:p>
      <w:pPr>
        <w:pStyle w:val="TextBody"/>
        <w:bidi w:val="0"/>
        <w:spacing w:before="0" w:after="0"/>
        <w:ind w:left="0" w:right="0" w:firstLine="72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(cc)    </w:t>
      </w:r>
      <w:r>
        <w:rPr>
          <w:color w:val="000000"/>
          <w:u w:val="single"/>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 xml:space="preserve">means a registration statement meeting the requirements set forth in the Registration Rights Agreement, covering among other things the resale of the Underlying Shares and naming the Holder as a “selling stockholder” thereunder.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(dd)    </w:t>
      </w:r>
      <w:r>
        <w:rPr>
          <w:color w:val="000000"/>
          <w:u w:val="single"/>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(ee)    </w:t>
      </w:r>
      <w:r>
        <w:rPr>
          <w:color w:val="000000"/>
          <w:u w:val="single"/>
        </w:rPr>
        <w:t>“</w:t>
      </w:r>
      <w:r>
        <w:rPr>
          <w:rFonts w:ascii="Times New Roman;serif" w:hAnsi="Times New Roman;serif"/>
          <w:b w:val="false"/>
          <w:color w:val="000000"/>
          <w:sz w:val="24"/>
          <w:u w:val="single"/>
        </w:rPr>
        <w:t>SEPA”</w:t>
      </w:r>
      <w:r>
        <w:rPr>
          <w:color w:val="000000"/>
        </w:rPr>
        <w:t xml:space="preserve"> </w:t>
      </w:r>
      <w:r>
        <w:rPr>
          <w:rFonts w:ascii="Times New Roman;serif" w:hAnsi="Times New Roman;serif"/>
          <w:b w:val="false"/>
          <w:color w:val="000000"/>
          <w:sz w:val="24"/>
        </w:rPr>
        <w:t xml:space="preserve">means the Standby Equity Distribution Agreement entered into between the Company and the Holder on October 24, 2023.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(ff)    </w:t>
      </w:r>
      <w:r>
        <w:rPr>
          <w:rFonts w:ascii="Times New Roman;serif" w:hAnsi="Times New Roman;serif"/>
          <w:b w:val="false"/>
          <w:color w:val="000000"/>
          <w:sz w:val="24"/>
          <w:u w:val="single"/>
        </w:rPr>
        <w:t>"Share Delivery Date"</w:t>
      </w:r>
      <w:r>
        <w:rPr>
          <w:color w:val="000000"/>
        </w:rPr>
        <w:t xml:space="preserve"> </w:t>
      </w:r>
      <w:r>
        <w:rPr>
          <w:rFonts w:ascii="Times New Roman;serif" w:hAnsi="Times New Roman;serif"/>
          <w:b w:val="false"/>
          <w:color w:val="000000"/>
          <w:sz w:val="24"/>
        </w:rPr>
        <w:t>shall have the meaning set forth in Section (3)(b)(i).</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(gg)    </w:t>
      </w:r>
      <w:r>
        <w:rPr>
          <w:color w:val="000000"/>
          <w:u w:val="single"/>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color w:val="000000"/>
          <w:u w:val="single"/>
        </w:rPr>
        <w:t>“</w:t>
      </w:r>
      <w:r>
        <w:rPr>
          <w:rFonts w:ascii="Times New Roman;serif" w:hAnsi="Times New Roman;serif"/>
          <w:b w:val="false"/>
          <w:color w:val="000000"/>
          <w:sz w:val="24"/>
          <w:u w:val="single"/>
        </w:rPr>
        <w:t xml:space="preserve">Subsidiaries.”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(hh)    </w:t>
      </w:r>
      <w:r>
        <w:rPr>
          <w:color w:val="000000"/>
          <w:u w:val="single"/>
        </w:rPr>
        <w:t>“</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the Common Shares are quoted or traded on a Principal Market on which the Common Shares are then quoted or listed; provided, that in the event that the Common Shares are not listed or quoted, then Trading Day shall mean a Business Day.</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(ii)    “</w:t>
      </w:r>
      <w:r>
        <w:rPr>
          <w:rFonts w:ascii="Times New Roman;serif" w:hAnsi="Times New Roman;serif"/>
          <w:b w:val="false"/>
          <w:color w:val="000000"/>
          <w:sz w:val="24"/>
          <w:u w:val="single"/>
        </w:rPr>
        <w:t>Transaction Document”</w:t>
      </w:r>
      <w:r>
        <w:rPr>
          <w:color w:val="000000"/>
        </w:rPr>
        <w:t xml:space="preserve"> </w:t>
      </w:r>
      <w:r>
        <w:rPr>
          <w:rFonts w:ascii="Times New Roman;serif" w:hAnsi="Times New Roman;serif"/>
          <w:b w:val="false"/>
          <w:color w:val="000000"/>
          <w:sz w:val="24"/>
        </w:rPr>
        <w:t xml:space="preserve">has the meaning given such term in the Securities Purchase Agreement.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(jj)    </w:t>
      </w:r>
      <w:r>
        <w:rPr>
          <w:color w:val="000000"/>
          <w:u w:val="single"/>
        </w:rPr>
        <w:t>“</w:t>
      </w:r>
      <w:r>
        <w:rPr>
          <w:rFonts w:ascii="Times New Roman;serif" w:hAnsi="Times New Roman;serif"/>
          <w:b w:val="false"/>
          <w:color w:val="000000"/>
          <w:sz w:val="24"/>
          <w:u w:val="single"/>
        </w:rPr>
        <w:t>Underlying Shares”</w:t>
      </w:r>
      <w:r>
        <w:rPr>
          <w:color w:val="000000"/>
        </w:rPr>
        <w:t xml:space="preserve"> </w:t>
      </w:r>
      <w:r>
        <w:rPr>
          <w:rFonts w:ascii="Times New Roman;serif" w:hAnsi="Times New Roman;serif"/>
          <w:b w:val="false"/>
          <w:color w:val="000000"/>
          <w:sz w:val="24"/>
        </w:rPr>
        <w:t>means the Common Shares issuable upon conversion of this Debenture in accordance with the terms hereof.</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erif" w:hAnsi="Times New Roman;serif"/>
          <w:b w:val="false"/>
          <w:color w:val="000000"/>
          <w:sz w:val="24"/>
        </w:rPr>
        <w:t>(kk)    </w:t>
      </w:r>
      <w:r>
        <w:rPr>
          <w:rFonts w:ascii="Times New Roman;serif" w:hAnsi="Times New Roman;serif"/>
          <w:b w:val="false"/>
          <w:color w:val="000000"/>
          <w:sz w:val="24"/>
          <w:u w:val="single"/>
        </w:rPr>
        <w:t>"VWAP"</w:t>
      </w:r>
      <w:r>
        <w:rPr>
          <w:color w:val="000000"/>
        </w:rPr>
        <w:t xml:space="preserve"> </w:t>
      </w:r>
      <w:r>
        <w:rPr>
          <w:rFonts w:ascii="Times New Roman;serif" w:hAnsi="Times New Roman;serif"/>
          <w:b w:val="false"/>
          <w:color w:val="000000"/>
          <w:sz w:val="24"/>
        </w:rPr>
        <w:t xml:space="preserve">means, for any Trading Day, the daily volume weighted average price of the Common Shares for such Trading Day on the Principal Market during regular trading hours as reported by Bloomberg.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Convertible Debenture to be duly executed by a duly authorized officer as of the date set forth above.</w:t>
      </w:r>
    </w:p>
    <w:p>
      <w:pPr>
        <w:pStyle w:val="TextBody"/>
        <w:bidi w:val="0"/>
        <w:spacing w:before="0" w:after="0"/>
        <w:jc w:val="left"/>
        <w:rPr/>
      </w:pPr>
      <w:r>
        <w:rPr/>
      </w:r>
    </w:p>
    <w:tbl>
      <w:tblPr>
        <w:tblW w:w="3626" w:type="dxa"/>
        <w:jc w:val="left"/>
        <w:tblInd w:w="0" w:type="dxa"/>
        <w:tblLayout w:type="fixed"/>
        <w:tblCellMar>
          <w:top w:w="28" w:type="dxa"/>
          <w:left w:w="28" w:type="dxa"/>
          <w:bottom w:w="28" w:type="dxa"/>
          <w:right w:w="28" w:type="dxa"/>
        </w:tblCellMar>
      </w:tblPr>
      <w:tblGrid>
        <w:gridCol w:w="124"/>
        <w:gridCol w:w="109"/>
        <w:gridCol w:w="109"/>
        <w:gridCol w:w="960"/>
        <w:gridCol w:w="960"/>
        <w:gridCol w:w="1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INNVENTURE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David Yablunosky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David Yablunosky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10595</Words>
  <Characters>55883</Characters>
  <CharactersWithSpaces>66363</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