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u w:val="single" w:color="auto"/>
          <w:color w:val="auto"/>
        </w:rPr>
        <w:t>Innventure,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par value $0.0001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45784M108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October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740" w:firstLine="8"/>
        <w:spacing w:after="0" w:line="226" w:lineRule="exact"/>
        <w:tabs>
          <w:tab w:leader="none" w:pos="47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purposes of Section 18 of the Securities and Exchange Act of 1934 (“Act”) or otherwise subject to the liabilities of that section of the Act out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45784M108</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7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6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YA II PN, Ltd.</w:t>
            </w:r>
          </w:p>
        </w:tc>
        <w:tc>
          <w:tcPr>
            <w:tcW w:w="0" w:type="dxa"/>
            <w:vAlign w:val="bottom"/>
          </w:tcPr>
          <w:p>
            <w:pPr>
              <w:spacing w:after="0"/>
              <w:rPr>
                <w:sz w:val="1"/>
                <w:szCs w:val="1"/>
                <w:color w:val="auto"/>
              </w:rPr>
            </w:pPr>
          </w:p>
        </w:tc>
      </w:tr>
      <w:tr>
        <w:trPr>
          <w:trHeight w:val="234"/>
        </w:trPr>
        <w:tc>
          <w:tcPr>
            <w:tcW w:w="17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68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(98-0615462)</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908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19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19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2"/>
          </w:tcPr>
          <w:p>
            <w:pPr>
              <w:spacing w:after="0"/>
              <w:rPr>
                <w:sz w:val="15"/>
                <w:szCs w:val="15"/>
                <w:color w:val="auto"/>
              </w:rPr>
            </w:pPr>
          </w:p>
        </w:tc>
        <w:tc>
          <w:tcPr>
            <w:tcW w:w="6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8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 Cayman Islands</w:t>
            </w:r>
          </w:p>
        </w:tc>
        <w:tc>
          <w:tcPr>
            <w:tcW w:w="0" w:type="dxa"/>
            <w:vAlign w:val="bottom"/>
          </w:tcPr>
          <w:p>
            <w:pPr>
              <w:spacing w:after="0"/>
              <w:rPr>
                <w:sz w:val="1"/>
                <w:szCs w:val="1"/>
                <w:color w:val="auto"/>
              </w:rPr>
            </w:pPr>
          </w:p>
        </w:tc>
      </w:tr>
      <w:tr>
        <w:trPr>
          <w:trHeight w:val="198"/>
        </w:trPr>
        <w:tc>
          <w:tcPr>
            <w:tcW w:w="1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spacing w:after="0"/>
              <w:rPr>
                <w:sz w:val="17"/>
                <w:szCs w:val="17"/>
                <w:color w:val="auto"/>
              </w:rPr>
            </w:pPr>
          </w:p>
        </w:tc>
        <w:tc>
          <w:tcPr>
            <w:tcW w:w="6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720" w:type="dxa"/>
            <w:vAlign w:val="bottom"/>
            <w:tcBorders>
              <w:left w:val="single" w:sz="8" w:color="auto"/>
              <w:right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6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720" w:type="dxa"/>
            <w:vAlign w:val="bottom"/>
            <w:tcBorders>
              <w:left w:val="single" w:sz="8" w:color="auto"/>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Beneficially</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6</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4,950,346*</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7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Each</w:t>
            </w: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720" w:type="dxa"/>
            <w:vAlign w:val="bottom"/>
            <w:tcBorders>
              <w:left w:val="single" w:sz="8" w:color="auto"/>
              <w:right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7.</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1720" w:type="dxa"/>
            <w:vAlign w:val="bottom"/>
            <w:tcBorders>
              <w:left w:val="single" w:sz="8" w:color="auto"/>
              <w:right w:val="single" w:sz="8" w:color="auto"/>
            </w:tcBorders>
          </w:tcPr>
          <w:p>
            <w:pPr>
              <w:spacing w:after="0"/>
              <w:rPr>
                <w:sz w:val="24"/>
                <w:szCs w:val="24"/>
                <w:color w:val="auto"/>
              </w:rPr>
            </w:pP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4,950,346*</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260" w:hanging="349"/>
        <w:spacing w:after="0"/>
        <w:tabs>
          <w:tab w:leader="none" w:pos="2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4,950,346*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1680" w:type="dxa"/>
            <w:vAlign w:val="bottom"/>
            <w:tcBorders>
              <w:top w:val="single" w:sz="8" w:color="auto"/>
            </w:tcBorders>
          </w:tcPr>
          <w:p>
            <w:pPr>
              <w:ind w:left="1040"/>
              <w:spacing w:after="0" w:line="181" w:lineRule="exact"/>
              <w:rPr>
                <w:sz w:val="20"/>
                <w:szCs w:val="20"/>
                <w:color w:val="auto"/>
              </w:rPr>
            </w:pPr>
            <w:r>
              <w:rPr>
                <w:rFonts w:ascii="MS PGothic" w:cs="MS PGothic" w:eastAsia="MS PGothic" w:hAnsi="MS PGothic"/>
                <w:sz w:val="18"/>
                <w:szCs w:val="18"/>
                <w:color w:val="auto"/>
              </w:rPr>
              <w:t>☐</w:t>
            </w:r>
          </w:p>
        </w:tc>
      </w:tr>
      <w:tr>
        <w:trPr>
          <w:trHeight w:val="129"/>
        </w:trPr>
        <w:tc>
          <w:tcPr>
            <w:tcW w:w="2180" w:type="dxa"/>
            <w:vAlign w:val="bottom"/>
            <w:tcBorders>
              <w:bottom w:val="single" w:sz="8" w:color="auto"/>
            </w:tcBorders>
          </w:tcPr>
          <w:p>
            <w:pPr>
              <w:spacing w:after="0"/>
              <w:rPr>
                <w:sz w:val="11"/>
                <w:szCs w:val="11"/>
                <w:color w:val="auto"/>
              </w:rPr>
            </w:pPr>
          </w:p>
        </w:tc>
        <w:tc>
          <w:tcPr>
            <w:tcW w:w="4340" w:type="dxa"/>
            <w:vAlign w:val="bottom"/>
            <w:tcBorders>
              <w:bottom w:val="single" w:sz="8" w:color="auto"/>
            </w:tcBorders>
          </w:tcPr>
          <w:p>
            <w:pPr>
              <w:spacing w:after="0"/>
              <w:rPr>
                <w:sz w:val="11"/>
                <w:szCs w:val="11"/>
                <w:color w:val="auto"/>
              </w:rPr>
            </w:pPr>
          </w:p>
        </w:tc>
        <w:tc>
          <w:tcPr>
            <w:tcW w:w="30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r>
      <w:tr>
        <w:trPr>
          <w:trHeight w:val="228"/>
        </w:trPr>
        <w:tc>
          <w:tcPr>
            <w:tcW w:w="2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Percentage of Class Represented by Amount in Row (9):</w:t>
            </w:r>
          </w:p>
        </w:tc>
        <w:tc>
          <w:tcPr>
            <w:tcW w:w="304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9.99%**</w:t>
            </w:r>
          </w:p>
        </w:tc>
        <w:tc>
          <w:tcPr>
            <w:tcW w:w="1680" w:type="dxa"/>
            <w:vAlign w:val="bottom"/>
          </w:tcPr>
          <w:p>
            <w:pPr>
              <w:spacing w:after="0"/>
              <w:rPr>
                <w:sz w:val="19"/>
                <w:szCs w:val="19"/>
                <w:color w:val="auto"/>
              </w:rPr>
            </w:pPr>
          </w:p>
        </w:tc>
      </w:tr>
    </w:tbl>
    <w:p>
      <w:pPr>
        <w:spacing w:after="0" w:line="193" w:lineRule="exact"/>
        <w:rPr>
          <w:sz w:val="20"/>
          <w:szCs w:val="20"/>
          <w:color w:val="auto"/>
        </w:rPr>
      </w:pPr>
    </w:p>
    <w:p>
      <w:pPr>
        <w:ind w:left="2260" w:hanging="393"/>
        <w:spacing w:after="0"/>
        <w:tabs>
          <w:tab w:leader="none" w:pos="2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25" w:lineRule="exact"/>
        <w:rPr>
          <w:rFonts w:ascii="Times New Roman" w:cs="Times New Roman" w:eastAsia="Times New Roman" w:hAnsi="Times New Roman"/>
          <w:sz w:val="18"/>
          <w:szCs w:val="18"/>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4,950,346 shares of Common Stock par value $0.0001 per share (“Common Stock”) of Innventure, Inc. (the “Issuer”) consisting of the direct ownership of 0 shares of Common Stock and the deemed ownership of 4,950,346 additional shares of Common Stock that the reporting person may acquire within 60 days of the date of this filing.</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2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based on 49,553,019 outstanding shares of Common Stock, consisting of 44,602,673 shares of Common Stock outstanding as of October 2, 2024, as reported by the Issuer in its Form 8-K filed on October 2, 2024, and an additional 4,950,346 shares of Common Stock that the reporting person may acquire within 60 days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-1256030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CUSIP No. 45784M108</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7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6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YA Global Investments II (U.S.), LP</w:t>
            </w:r>
          </w:p>
        </w:tc>
        <w:tc>
          <w:tcPr>
            <w:tcW w:w="0" w:type="dxa"/>
            <w:vAlign w:val="bottom"/>
          </w:tcPr>
          <w:p>
            <w:pPr>
              <w:spacing w:after="0"/>
              <w:rPr>
                <w:sz w:val="1"/>
                <w:szCs w:val="1"/>
                <w:color w:val="auto"/>
              </w:rPr>
            </w:pPr>
          </w:p>
        </w:tc>
      </w:tr>
      <w:tr>
        <w:trPr>
          <w:trHeight w:val="216"/>
        </w:trPr>
        <w:tc>
          <w:tcPr>
            <w:tcW w:w="1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908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19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19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2"/>
          </w:tcPr>
          <w:p>
            <w:pPr>
              <w:spacing w:after="0"/>
              <w:rPr>
                <w:sz w:val="15"/>
                <w:szCs w:val="15"/>
                <w:color w:val="auto"/>
              </w:rPr>
            </w:pPr>
          </w:p>
        </w:tc>
        <w:tc>
          <w:tcPr>
            <w:tcW w:w="6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8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 Cayman Islands</w:t>
            </w:r>
          </w:p>
        </w:tc>
        <w:tc>
          <w:tcPr>
            <w:tcW w:w="0" w:type="dxa"/>
            <w:vAlign w:val="bottom"/>
          </w:tcPr>
          <w:p>
            <w:pPr>
              <w:spacing w:after="0"/>
              <w:rPr>
                <w:sz w:val="1"/>
                <w:szCs w:val="1"/>
                <w:color w:val="auto"/>
              </w:rPr>
            </w:pPr>
          </w:p>
        </w:tc>
      </w:tr>
      <w:tr>
        <w:trPr>
          <w:trHeight w:val="198"/>
        </w:trPr>
        <w:tc>
          <w:tcPr>
            <w:tcW w:w="1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spacing w:after="0"/>
              <w:rPr>
                <w:sz w:val="17"/>
                <w:szCs w:val="17"/>
                <w:color w:val="auto"/>
              </w:rPr>
            </w:pPr>
          </w:p>
        </w:tc>
        <w:tc>
          <w:tcPr>
            <w:tcW w:w="6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720" w:type="dxa"/>
            <w:vAlign w:val="bottom"/>
            <w:tcBorders>
              <w:left w:val="single" w:sz="8" w:color="auto"/>
              <w:right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6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720" w:type="dxa"/>
            <w:vAlign w:val="bottom"/>
            <w:tcBorders>
              <w:left w:val="single" w:sz="8" w:color="auto"/>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Beneficially</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6</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4,950,346*</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7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Each</w:t>
            </w: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720" w:type="dxa"/>
            <w:vAlign w:val="bottom"/>
            <w:tcBorders>
              <w:left w:val="single" w:sz="8" w:color="auto"/>
              <w:right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7.</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1720" w:type="dxa"/>
            <w:vAlign w:val="bottom"/>
            <w:tcBorders>
              <w:left w:val="single" w:sz="8" w:color="auto"/>
              <w:right w:val="single" w:sz="8" w:color="auto"/>
            </w:tcBorders>
          </w:tcPr>
          <w:p>
            <w:pPr>
              <w:spacing w:after="0"/>
              <w:rPr>
                <w:sz w:val="24"/>
                <w:szCs w:val="24"/>
                <w:color w:val="auto"/>
              </w:rPr>
            </w:pP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4,950,346*</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260" w:hanging="349"/>
        <w:spacing w:after="0"/>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4,950,346*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1680" w:type="dxa"/>
            <w:vAlign w:val="bottom"/>
            <w:tcBorders>
              <w:top w:val="single" w:sz="8" w:color="auto"/>
            </w:tcBorders>
          </w:tcPr>
          <w:p>
            <w:pPr>
              <w:ind w:left="1040"/>
              <w:spacing w:after="0" w:line="181" w:lineRule="exact"/>
              <w:rPr>
                <w:sz w:val="20"/>
                <w:szCs w:val="20"/>
                <w:color w:val="auto"/>
              </w:rPr>
            </w:pPr>
            <w:r>
              <w:rPr>
                <w:rFonts w:ascii="MS PGothic" w:cs="MS PGothic" w:eastAsia="MS PGothic" w:hAnsi="MS PGothic"/>
                <w:sz w:val="18"/>
                <w:szCs w:val="18"/>
                <w:color w:val="auto"/>
              </w:rPr>
              <w:t>☐</w:t>
            </w:r>
          </w:p>
        </w:tc>
      </w:tr>
      <w:tr>
        <w:trPr>
          <w:trHeight w:val="129"/>
        </w:trPr>
        <w:tc>
          <w:tcPr>
            <w:tcW w:w="2180" w:type="dxa"/>
            <w:vAlign w:val="bottom"/>
            <w:tcBorders>
              <w:bottom w:val="single" w:sz="8" w:color="auto"/>
            </w:tcBorders>
          </w:tcPr>
          <w:p>
            <w:pPr>
              <w:spacing w:after="0"/>
              <w:rPr>
                <w:sz w:val="11"/>
                <w:szCs w:val="11"/>
                <w:color w:val="auto"/>
              </w:rPr>
            </w:pPr>
          </w:p>
        </w:tc>
        <w:tc>
          <w:tcPr>
            <w:tcW w:w="438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r>
      <w:tr>
        <w:trPr>
          <w:trHeight w:val="228"/>
        </w:trPr>
        <w:tc>
          <w:tcPr>
            <w:tcW w:w="2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Percentage of Class Represented by Amount in Row (9):</w:t>
            </w:r>
          </w:p>
        </w:tc>
        <w:tc>
          <w:tcPr>
            <w:tcW w:w="300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9.99%**</w:t>
            </w:r>
          </w:p>
        </w:tc>
        <w:tc>
          <w:tcPr>
            <w:tcW w:w="1680" w:type="dxa"/>
            <w:vAlign w:val="bottom"/>
          </w:tcPr>
          <w:p>
            <w:pPr>
              <w:spacing w:after="0"/>
              <w:rPr>
                <w:sz w:val="19"/>
                <w:szCs w:val="19"/>
                <w:color w:val="auto"/>
              </w:rPr>
            </w:pPr>
          </w:p>
        </w:tc>
      </w:tr>
    </w:tbl>
    <w:p>
      <w:pPr>
        <w:spacing w:after="0" w:line="193" w:lineRule="exact"/>
        <w:rPr>
          <w:sz w:val="20"/>
          <w:szCs w:val="20"/>
          <w:color w:val="auto"/>
        </w:rPr>
      </w:pPr>
    </w:p>
    <w:p>
      <w:pPr>
        <w:ind w:left="2260" w:hanging="393"/>
        <w:spacing w:after="0"/>
        <w:tabs>
          <w:tab w:leader="none" w:pos="22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25" w:lineRule="exact"/>
        <w:rPr>
          <w:rFonts w:ascii="Times New Roman" w:cs="Times New Roman" w:eastAsia="Times New Roman" w:hAnsi="Times New Roman"/>
          <w:sz w:val="18"/>
          <w:szCs w:val="18"/>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4,950,346 shares of Common Stock par value $0.0001 per share (“Common Stock”) of Innventure, Inc. (the “Issuer”) consisting of the direct ownership of 0 shares of Common Stock and the deemed ownership of 4,950,346 additional shares of Common Stock that the reporting person may acquire within 60 days of the date of this filing.</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2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based on 49,553,019 outstanding shares of Common Stock, consisting of 44,602,673 shares of Common Stock outstanding as of October 2, 2024, as reported by the Issuer in its Form 8-K filed on October 2, 2024, and an additional 4,950,346 shares of Common Stock that the reporting person may acquire within 60 days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-1256030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45784M108</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7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6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Yorkville Advisors Global, LP</w:t>
            </w:r>
          </w:p>
        </w:tc>
        <w:tc>
          <w:tcPr>
            <w:tcW w:w="0" w:type="dxa"/>
            <w:vAlign w:val="bottom"/>
          </w:tcPr>
          <w:p>
            <w:pPr>
              <w:spacing w:after="0"/>
              <w:rPr>
                <w:sz w:val="1"/>
                <w:szCs w:val="1"/>
                <w:color w:val="auto"/>
              </w:rPr>
            </w:pPr>
          </w:p>
        </w:tc>
      </w:tr>
      <w:tr>
        <w:trPr>
          <w:trHeight w:val="216"/>
        </w:trPr>
        <w:tc>
          <w:tcPr>
            <w:tcW w:w="1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908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19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19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2"/>
          </w:tcPr>
          <w:p>
            <w:pPr>
              <w:spacing w:after="0"/>
              <w:rPr>
                <w:sz w:val="15"/>
                <w:szCs w:val="15"/>
                <w:color w:val="auto"/>
              </w:rPr>
            </w:pPr>
          </w:p>
        </w:tc>
        <w:tc>
          <w:tcPr>
            <w:tcW w:w="6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8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 Cayman Islands</w:t>
            </w:r>
          </w:p>
        </w:tc>
        <w:tc>
          <w:tcPr>
            <w:tcW w:w="0" w:type="dxa"/>
            <w:vAlign w:val="bottom"/>
          </w:tcPr>
          <w:p>
            <w:pPr>
              <w:spacing w:after="0"/>
              <w:rPr>
                <w:sz w:val="1"/>
                <w:szCs w:val="1"/>
                <w:color w:val="auto"/>
              </w:rPr>
            </w:pPr>
          </w:p>
        </w:tc>
      </w:tr>
      <w:tr>
        <w:trPr>
          <w:trHeight w:val="198"/>
        </w:trPr>
        <w:tc>
          <w:tcPr>
            <w:tcW w:w="1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spacing w:after="0"/>
              <w:rPr>
                <w:sz w:val="17"/>
                <w:szCs w:val="17"/>
                <w:color w:val="auto"/>
              </w:rPr>
            </w:pPr>
          </w:p>
        </w:tc>
        <w:tc>
          <w:tcPr>
            <w:tcW w:w="6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720" w:type="dxa"/>
            <w:vAlign w:val="bottom"/>
            <w:tcBorders>
              <w:left w:val="single" w:sz="8" w:color="auto"/>
              <w:right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6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720" w:type="dxa"/>
            <w:vAlign w:val="bottom"/>
            <w:tcBorders>
              <w:left w:val="single" w:sz="8" w:color="auto"/>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Beneficially</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6</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4,950,346*</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7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Each</w:t>
            </w: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720" w:type="dxa"/>
            <w:vAlign w:val="bottom"/>
            <w:tcBorders>
              <w:left w:val="single" w:sz="8" w:color="auto"/>
              <w:right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7.</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1720" w:type="dxa"/>
            <w:vAlign w:val="bottom"/>
            <w:tcBorders>
              <w:left w:val="single" w:sz="8" w:color="auto"/>
              <w:right w:val="single" w:sz="8" w:color="auto"/>
            </w:tcBorders>
          </w:tcPr>
          <w:p>
            <w:pPr>
              <w:spacing w:after="0"/>
              <w:rPr>
                <w:sz w:val="24"/>
                <w:szCs w:val="24"/>
                <w:color w:val="auto"/>
              </w:rPr>
            </w:pP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4,950,346*</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260" w:hanging="349"/>
        <w:spacing w:after="0"/>
        <w:tabs>
          <w:tab w:leader="none" w:pos="2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4,950,346*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1660" w:type="dxa"/>
            <w:vAlign w:val="bottom"/>
            <w:tcBorders>
              <w:top w:val="single" w:sz="8" w:color="auto"/>
            </w:tcBorders>
          </w:tcPr>
          <w:p>
            <w:pPr>
              <w:ind w:left="1020"/>
              <w:spacing w:after="0" w:line="181" w:lineRule="exact"/>
              <w:rPr>
                <w:sz w:val="20"/>
                <w:szCs w:val="20"/>
                <w:color w:val="auto"/>
              </w:rPr>
            </w:pPr>
            <w:r>
              <w:rPr>
                <w:rFonts w:ascii="MS PGothic" w:cs="MS PGothic" w:eastAsia="MS PGothic" w:hAnsi="MS PGothic"/>
                <w:sz w:val="18"/>
                <w:szCs w:val="18"/>
                <w:color w:val="auto"/>
              </w:rPr>
              <w:t>☐</w:t>
            </w:r>
          </w:p>
        </w:tc>
      </w:tr>
      <w:tr>
        <w:trPr>
          <w:trHeight w:val="129"/>
        </w:trPr>
        <w:tc>
          <w:tcPr>
            <w:tcW w:w="2180" w:type="dxa"/>
            <w:vAlign w:val="bottom"/>
            <w:tcBorders>
              <w:bottom w:val="single" w:sz="8" w:color="auto"/>
            </w:tcBorders>
          </w:tcPr>
          <w:p>
            <w:pPr>
              <w:spacing w:after="0"/>
              <w:rPr>
                <w:sz w:val="11"/>
                <w:szCs w:val="11"/>
                <w:color w:val="auto"/>
              </w:rPr>
            </w:pPr>
          </w:p>
        </w:tc>
        <w:tc>
          <w:tcPr>
            <w:tcW w:w="4380" w:type="dxa"/>
            <w:vAlign w:val="bottom"/>
            <w:tcBorders>
              <w:bottom w:val="single" w:sz="8" w:color="auto"/>
            </w:tcBorders>
          </w:tcPr>
          <w:p>
            <w:pPr>
              <w:spacing w:after="0"/>
              <w:rPr>
                <w:sz w:val="11"/>
                <w:szCs w:val="11"/>
                <w:color w:val="auto"/>
              </w:rPr>
            </w:pPr>
          </w:p>
        </w:tc>
        <w:tc>
          <w:tcPr>
            <w:tcW w:w="30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r>
      <w:tr>
        <w:trPr>
          <w:trHeight w:val="228"/>
        </w:trPr>
        <w:tc>
          <w:tcPr>
            <w:tcW w:w="2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Percentage of Class Represented by Amount in Row (9):</w:t>
            </w:r>
          </w:p>
        </w:tc>
        <w:tc>
          <w:tcPr>
            <w:tcW w:w="302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9.99%**</w:t>
            </w:r>
          </w:p>
        </w:tc>
        <w:tc>
          <w:tcPr>
            <w:tcW w:w="1660" w:type="dxa"/>
            <w:vAlign w:val="bottom"/>
          </w:tcPr>
          <w:p>
            <w:pPr>
              <w:spacing w:after="0"/>
              <w:rPr>
                <w:sz w:val="19"/>
                <w:szCs w:val="19"/>
                <w:color w:val="auto"/>
              </w:rPr>
            </w:pPr>
          </w:p>
        </w:tc>
      </w:tr>
    </w:tbl>
    <w:p>
      <w:pPr>
        <w:spacing w:after="0" w:line="193" w:lineRule="exact"/>
        <w:rPr>
          <w:sz w:val="20"/>
          <w:szCs w:val="20"/>
          <w:color w:val="auto"/>
        </w:rPr>
      </w:pPr>
    </w:p>
    <w:p>
      <w:pPr>
        <w:ind w:left="2260" w:hanging="393"/>
        <w:spacing w:after="0"/>
        <w:tabs>
          <w:tab w:leader="none" w:pos="22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25" w:lineRule="exact"/>
        <w:rPr>
          <w:rFonts w:ascii="Times New Roman" w:cs="Times New Roman" w:eastAsia="Times New Roman" w:hAnsi="Times New Roman"/>
          <w:sz w:val="18"/>
          <w:szCs w:val="18"/>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4,950,346 shares of Common Stock par value $0.0001 per share (“Common Stock”) of Innventure, Inc. (the “Issuer”) consisting of the direct ownership of 0 shares of Common Stock and the deemed ownership of 4,950,346 additional shares of Common Stock that the reporting person may acquire within 60 days of the date of this filing.</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2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based on 49,553,019 outstanding shares of Common Stock, consisting of 44,602,673 shares of Common Stock outstanding as of October 2, 2024, as reported by the Issuer in its Form 8-K filed on October 2, 2024, and an additional 4,950,346 shares of Common Stock that the reporting person may acquire within 60 days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-1256030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 45784M108</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7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6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Yorkville Advisors Global II, LLC</w:t>
            </w:r>
          </w:p>
        </w:tc>
        <w:tc>
          <w:tcPr>
            <w:tcW w:w="0" w:type="dxa"/>
            <w:vAlign w:val="bottom"/>
          </w:tcPr>
          <w:p>
            <w:pPr>
              <w:spacing w:after="0"/>
              <w:rPr>
                <w:sz w:val="1"/>
                <w:szCs w:val="1"/>
                <w:color w:val="auto"/>
              </w:rPr>
            </w:pPr>
          </w:p>
        </w:tc>
      </w:tr>
      <w:tr>
        <w:trPr>
          <w:trHeight w:val="216"/>
        </w:trPr>
        <w:tc>
          <w:tcPr>
            <w:tcW w:w="1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908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19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19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2"/>
          </w:tcPr>
          <w:p>
            <w:pPr>
              <w:spacing w:after="0"/>
              <w:rPr>
                <w:sz w:val="15"/>
                <w:szCs w:val="15"/>
                <w:color w:val="auto"/>
              </w:rPr>
            </w:pPr>
          </w:p>
        </w:tc>
        <w:tc>
          <w:tcPr>
            <w:tcW w:w="6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8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 Cayman Islands</w:t>
            </w:r>
          </w:p>
        </w:tc>
        <w:tc>
          <w:tcPr>
            <w:tcW w:w="0" w:type="dxa"/>
            <w:vAlign w:val="bottom"/>
          </w:tcPr>
          <w:p>
            <w:pPr>
              <w:spacing w:after="0"/>
              <w:rPr>
                <w:sz w:val="1"/>
                <w:szCs w:val="1"/>
                <w:color w:val="auto"/>
              </w:rPr>
            </w:pPr>
          </w:p>
        </w:tc>
      </w:tr>
      <w:tr>
        <w:trPr>
          <w:trHeight w:val="198"/>
        </w:trPr>
        <w:tc>
          <w:tcPr>
            <w:tcW w:w="1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spacing w:after="0"/>
              <w:rPr>
                <w:sz w:val="17"/>
                <w:szCs w:val="17"/>
                <w:color w:val="auto"/>
              </w:rPr>
            </w:pPr>
          </w:p>
        </w:tc>
        <w:tc>
          <w:tcPr>
            <w:tcW w:w="6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720" w:type="dxa"/>
            <w:vAlign w:val="bottom"/>
            <w:tcBorders>
              <w:left w:val="single" w:sz="8" w:color="auto"/>
              <w:right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6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720" w:type="dxa"/>
            <w:vAlign w:val="bottom"/>
            <w:tcBorders>
              <w:left w:val="single" w:sz="8" w:color="auto"/>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Beneficially</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6</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4,950,346*</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7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Each</w:t>
            </w: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720" w:type="dxa"/>
            <w:vAlign w:val="bottom"/>
            <w:tcBorders>
              <w:left w:val="single" w:sz="8" w:color="auto"/>
              <w:right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7.</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1720" w:type="dxa"/>
            <w:vAlign w:val="bottom"/>
            <w:tcBorders>
              <w:left w:val="single" w:sz="8" w:color="auto"/>
              <w:right w:val="single" w:sz="8" w:color="auto"/>
            </w:tcBorders>
          </w:tcPr>
          <w:p>
            <w:pPr>
              <w:spacing w:after="0"/>
              <w:rPr>
                <w:sz w:val="24"/>
                <w:szCs w:val="24"/>
                <w:color w:val="auto"/>
              </w:rPr>
            </w:pP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4,950,346*</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260" w:hanging="349"/>
        <w:spacing w:after="0"/>
        <w:tabs>
          <w:tab w:leader="none" w:pos="2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4,950,346*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1680" w:type="dxa"/>
            <w:vAlign w:val="bottom"/>
            <w:tcBorders>
              <w:top w:val="single" w:sz="8" w:color="auto"/>
            </w:tcBorders>
          </w:tcPr>
          <w:p>
            <w:pPr>
              <w:ind w:left="1040"/>
              <w:spacing w:after="0" w:line="181" w:lineRule="exact"/>
              <w:rPr>
                <w:sz w:val="20"/>
                <w:szCs w:val="20"/>
                <w:color w:val="auto"/>
              </w:rPr>
            </w:pPr>
            <w:r>
              <w:rPr>
                <w:rFonts w:ascii="MS PGothic" w:cs="MS PGothic" w:eastAsia="MS PGothic" w:hAnsi="MS PGothic"/>
                <w:sz w:val="18"/>
                <w:szCs w:val="18"/>
                <w:color w:val="auto"/>
              </w:rPr>
              <w:t>☐</w:t>
            </w:r>
          </w:p>
        </w:tc>
      </w:tr>
      <w:tr>
        <w:trPr>
          <w:trHeight w:val="129"/>
        </w:trPr>
        <w:tc>
          <w:tcPr>
            <w:tcW w:w="2180" w:type="dxa"/>
            <w:vAlign w:val="bottom"/>
            <w:tcBorders>
              <w:bottom w:val="single" w:sz="8" w:color="auto"/>
            </w:tcBorders>
          </w:tcPr>
          <w:p>
            <w:pPr>
              <w:spacing w:after="0"/>
              <w:rPr>
                <w:sz w:val="11"/>
                <w:szCs w:val="11"/>
                <w:color w:val="auto"/>
              </w:rPr>
            </w:pPr>
          </w:p>
        </w:tc>
        <w:tc>
          <w:tcPr>
            <w:tcW w:w="438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r>
      <w:tr>
        <w:trPr>
          <w:trHeight w:val="228"/>
        </w:trPr>
        <w:tc>
          <w:tcPr>
            <w:tcW w:w="2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Percentage of Class Represented by Amount in Row (9):</w:t>
            </w:r>
          </w:p>
        </w:tc>
        <w:tc>
          <w:tcPr>
            <w:tcW w:w="300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9.99%**</w:t>
            </w:r>
          </w:p>
        </w:tc>
        <w:tc>
          <w:tcPr>
            <w:tcW w:w="1680" w:type="dxa"/>
            <w:vAlign w:val="bottom"/>
          </w:tcPr>
          <w:p>
            <w:pPr>
              <w:spacing w:after="0"/>
              <w:rPr>
                <w:sz w:val="19"/>
                <w:szCs w:val="19"/>
                <w:color w:val="auto"/>
              </w:rPr>
            </w:pPr>
          </w:p>
        </w:tc>
      </w:tr>
    </w:tbl>
    <w:p>
      <w:pPr>
        <w:spacing w:after="0" w:line="193" w:lineRule="exact"/>
        <w:rPr>
          <w:sz w:val="20"/>
          <w:szCs w:val="20"/>
          <w:color w:val="auto"/>
        </w:rPr>
      </w:pPr>
    </w:p>
    <w:p>
      <w:pPr>
        <w:ind w:left="2260" w:hanging="393"/>
        <w:spacing w:after="0"/>
        <w:tabs>
          <w:tab w:leader="none" w:pos="22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25" w:lineRule="exact"/>
        <w:rPr>
          <w:rFonts w:ascii="Times New Roman" w:cs="Times New Roman" w:eastAsia="Times New Roman" w:hAnsi="Times New Roman"/>
          <w:sz w:val="18"/>
          <w:szCs w:val="18"/>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4,950,346 shares of Common Stock par value $0.0001 per share (“Common Stock”) of Innventure, Inc. (the “Issuer”) consisting of the direct ownership of 0 shares of Common Stock and the deemed ownership of 4,950,346 additional shares of Common Stock that the reporting person may acquire within 60 days of the date of this filing.</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2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based on 49,553,019 outstanding shares of Common Stock, consisting of 44,602,673 shares of Common Stock outstanding as of October 2, 2024, as reported by the Issuer in its Form 8-K filed on October 2, 2024, and an additional 4,950,346 shares of Common Stock that the reporting person may acquire within 60 days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-1256030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CUSIP No. 45784M108</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7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6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YA II GP, LP</w:t>
            </w:r>
          </w:p>
        </w:tc>
        <w:tc>
          <w:tcPr>
            <w:tcW w:w="0" w:type="dxa"/>
            <w:vAlign w:val="bottom"/>
          </w:tcPr>
          <w:p>
            <w:pPr>
              <w:spacing w:after="0"/>
              <w:rPr>
                <w:sz w:val="1"/>
                <w:szCs w:val="1"/>
                <w:color w:val="auto"/>
              </w:rPr>
            </w:pPr>
          </w:p>
        </w:tc>
      </w:tr>
      <w:tr>
        <w:trPr>
          <w:trHeight w:val="216"/>
        </w:trPr>
        <w:tc>
          <w:tcPr>
            <w:tcW w:w="1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908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19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19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2"/>
          </w:tcPr>
          <w:p>
            <w:pPr>
              <w:spacing w:after="0"/>
              <w:rPr>
                <w:sz w:val="15"/>
                <w:szCs w:val="15"/>
                <w:color w:val="auto"/>
              </w:rPr>
            </w:pPr>
          </w:p>
        </w:tc>
        <w:tc>
          <w:tcPr>
            <w:tcW w:w="6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8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 Cayman Islands</w:t>
            </w:r>
          </w:p>
        </w:tc>
        <w:tc>
          <w:tcPr>
            <w:tcW w:w="0" w:type="dxa"/>
            <w:vAlign w:val="bottom"/>
          </w:tcPr>
          <w:p>
            <w:pPr>
              <w:spacing w:after="0"/>
              <w:rPr>
                <w:sz w:val="1"/>
                <w:szCs w:val="1"/>
                <w:color w:val="auto"/>
              </w:rPr>
            </w:pPr>
          </w:p>
        </w:tc>
      </w:tr>
      <w:tr>
        <w:trPr>
          <w:trHeight w:val="198"/>
        </w:trPr>
        <w:tc>
          <w:tcPr>
            <w:tcW w:w="1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spacing w:after="0"/>
              <w:rPr>
                <w:sz w:val="17"/>
                <w:szCs w:val="17"/>
                <w:color w:val="auto"/>
              </w:rPr>
            </w:pPr>
          </w:p>
        </w:tc>
        <w:tc>
          <w:tcPr>
            <w:tcW w:w="6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720" w:type="dxa"/>
            <w:vAlign w:val="bottom"/>
            <w:tcBorders>
              <w:left w:val="single" w:sz="8" w:color="auto"/>
              <w:right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6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720" w:type="dxa"/>
            <w:vAlign w:val="bottom"/>
            <w:tcBorders>
              <w:left w:val="single" w:sz="8" w:color="auto"/>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Beneficially</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6</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4,950,346*</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7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Each</w:t>
            </w: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720" w:type="dxa"/>
            <w:vAlign w:val="bottom"/>
            <w:tcBorders>
              <w:left w:val="single" w:sz="8" w:color="auto"/>
              <w:right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7.</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1720" w:type="dxa"/>
            <w:vAlign w:val="bottom"/>
            <w:tcBorders>
              <w:left w:val="single" w:sz="8" w:color="auto"/>
              <w:right w:val="single" w:sz="8" w:color="auto"/>
            </w:tcBorders>
          </w:tcPr>
          <w:p>
            <w:pPr>
              <w:spacing w:after="0"/>
              <w:rPr>
                <w:sz w:val="24"/>
                <w:szCs w:val="24"/>
                <w:color w:val="auto"/>
              </w:rPr>
            </w:pP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4,950,346*</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260" w:hanging="349"/>
        <w:spacing w:after="0"/>
        <w:tabs>
          <w:tab w:leader="none" w:pos="2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4,950,346*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1680" w:type="dxa"/>
            <w:vAlign w:val="bottom"/>
            <w:tcBorders>
              <w:top w:val="single" w:sz="8" w:color="auto"/>
            </w:tcBorders>
          </w:tcPr>
          <w:p>
            <w:pPr>
              <w:ind w:left="1040"/>
              <w:spacing w:after="0" w:line="181" w:lineRule="exact"/>
              <w:rPr>
                <w:sz w:val="20"/>
                <w:szCs w:val="20"/>
                <w:color w:val="auto"/>
              </w:rPr>
            </w:pPr>
            <w:r>
              <w:rPr>
                <w:rFonts w:ascii="MS PGothic" w:cs="MS PGothic" w:eastAsia="MS PGothic" w:hAnsi="MS PGothic"/>
                <w:sz w:val="18"/>
                <w:szCs w:val="18"/>
                <w:color w:val="auto"/>
              </w:rPr>
              <w:t>☐</w:t>
            </w:r>
          </w:p>
        </w:tc>
      </w:tr>
      <w:tr>
        <w:trPr>
          <w:trHeight w:val="129"/>
        </w:trPr>
        <w:tc>
          <w:tcPr>
            <w:tcW w:w="2180" w:type="dxa"/>
            <w:vAlign w:val="bottom"/>
            <w:tcBorders>
              <w:bottom w:val="single" w:sz="8" w:color="auto"/>
            </w:tcBorders>
          </w:tcPr>
          <w:p>
            <w:pPr>
              <w:spacing w:after="0"/>
              <w:rPr>
                <w:sz w:val="11"/>
                <w:szCs w:val="11"/>
                <w:color w:val="auto"/>
              </w:rPr>
            </w:pPr>
          </w:p>
        </w:tc>
        <w:tc>
          <w:tcPr>
            <w:tcW w:w="438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r>
      <w:tr>
        <w:trPr>
          <w:trHeight w:val="228"/>
        </w:trPr>
        <w:tc>
          <w:tcPr>
            <w:tcW w:w="2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Percentage of Class Represented by Amount in Row (9):</w:t>
            </w:r>
          </w:p>
        </w:tc>
        <w:tc>
          <w:tcPr>
            <w:tcW w:w="300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9.99%**</w:t>
            </w:r>
          </w:p>
        </w:tc>
        <w:tc>
          <w:tcPr>
            <w:tcW w:w="1680" w:type="dxa"/>
            <w:vAlign w:val="bottom"/>
          </w:tcPr>
          <w:p>
            <w:pPr>
              <w:spacing w:after="0"/>
              <w:rPr>
                <w:sz w:val="19"/>
                <w:szCs w:val="19"/>
                <w:color w:val="auto"/>
              </w:rPr>
            </w:pPr>
          </w:p>
        </w:tc>
      </w:tr>
    </w:tbl>
    <w:p>
      <w:pPr>
        <w:spacing w:after="0" w:line="193" w:lineRule="exact"/>
        <w:rPr>
          <w:sz w:val="20"/>
          <w:szCs w:val="20"/>
          <w:color w:val="auto"/>
        </w:rPr>
      </w:pPr>
    </w:p>
    <w:p>
      <w:pPr>
        <w:ind w:left="2260" w:hanging="393"/>
        <w:spacing w:after="0"/>
        <w:tabs>
          <w:tab w:leader="none" w:pos="2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25" w:lineRule="exact"/>
        <w:rPr>
          <w:rFonts w:ascii="Times New Roman" w:cs="Times New Roman" w:eastAsia="Times New Roman" w:hAnsi="Times New Roman"/>
          <w:sz w:val="18"/>
          <w:szCs w:val="18"/>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4,950,346 shares of Common Stock par value $0.0001 per share (“Common Stock”) of Innventure, Inc. (the “Issuer”) consisting of the direct ownership of 0 shares of Common Stock and the deemed ownership of 4,950,346 additional shares of Common Stock that the reporting person may acquire within 60 days of the date of this filing.</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2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based on 49,553,019 outstanding shares of Common Stock, consisting of 44,602,673 shares of Common Stock outstanding as of October 2, 2024, as reported by the Issuer in its Form 8-K filed on October 2, 2024, and an additional 4,950,346 shares of Common Stock that the reporting person may acquire within 60 days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-1256030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CUSIP No. 45784M108</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7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6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YAII GP II, LLC</w:t>
            </w:r>
          </w:p>
        </w:tc>
        <w:tc>
          <w:tcPr>
            <w:tcW w:w="0" w:type="dxa"/>
            <w:vAlign w:val="bottom"/>
          </w:tcPr>
          <w:p>
            <w:pPr>
              <w:spacing w:after="0"/>
              <w:rPr>
                <w:sz w:val="1"/>
                <w:szCs w:val="1"/>
                <w:color w:val="auto"/>
              </w:rPr>
            </w:pPr>
          </w:p>
        </w:tc>
      </w:tr>
      <w:tr>
        <w:trPr>
          <w:trHeight w:val="216"/>
        </w:trPr>
        <w:tc>
          <w:tcPr>
            <w:tcW w:w="1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908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19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19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2"/>
          </w:tcPr>
          <w:p>
            <w:pPr>
              <w:spacing w:after="0"/>
              <w:rPr>
                <w:sz w:val="15"/>
                <w:szCs w:val="15"/>
                <w:color w:val="auto"/>
              </w:rPr>
            </w:pPr>
          </w:p>
        </w:tc>
        <w:tc>
          <w:tcPr>
            <w:tcW w:w="6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8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 Cayman Islands</w:t>
            </w:r>
          </w:p>
        </w:tc>
        <w:tc>
          <w:tcPr>
            <w:tcW w:w="0" w:type="dxa"/>
            <w:vAlign w:val="bottom"/>
          </w:tcPr>
          <w:p>
            <w:pPr>
              <w:spacing w:after="0"/>
              <w:rPr>
                <w:sz w:val="1"/>
                <w:szCs w:val="1"/>
                <w:color w:val="auto"/>
              </w:rPr>
            </w:pPr>
          </w:p>
        </w:tc>
      </w:tr>
      <w:tr>
        <w:trPr>
          <w:trHeight w:val="198"/>
        </w:trPr>
        <w:tc>
          <w:tcPr>
            <w:tcW w:w="1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spacing w:after="0"/>
              <w:rPr>
                <w:sz w:val="17"/>
                <w:szCs w:val="17"/>
                <w:color w:val="auto"/>
              </w:rPr>
            </w:pPr>
          </w:p>
        </w:tc>
        <w:tc>
          <w:tcPr>
            <w:tcW w:w="6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720" w:type="dxa"/>
            <w:vAlign w:val="bottom"/>
            <w:tcBorders>
              <w:left w:val="single" w:sz="8" w:color="auto"/>
              <w:right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6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720" w:type="dxa"/>
            <w:vAlign w:val="bottom"/>
            <w:tcBorders>
              <w:left w:val="single" w:sz="8" w:color="auto"/>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Beneficially</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6</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4,950,346*</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7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Each</w:t>
            </w: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720" w:type="dxa"/>
            <w:vAlign w:val="bottom"/>
            <w:tcBorders>
              <w:left w:val="single" w:sz="8" w:color="auto"/>
              <w:right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7.</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1720" w:type="dxa"/>
            <w:vAlign w:val="bottom"/>
            <w:tcBorders>
              <w:left w:val="single" w:sz="8" w:color="auto"/>
              <w:right w:val="single" w:sz="8" w:color="auto"/>
            </w:tcBorders>
          </w:tcPr>
          <w:p>
            <w:pPr>
              <w:spacing w:after="0"/>
              <w:rPr>
                <w:sz w:val="24"/>
                <w:szCs w:val="24"/>
                <w:color w:val="auto"/>
              </w:rPr>
            </w:pP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4,950,346*</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260" w:hanging="349"/>
        <w:spacing w:after="0"/>
        <w:tabs>
          <w:tab w:leader="none" w:pos="2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4,950,346*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1680" w:type="dxa"/>
            <w:vAlign w:val="bottom"/>
            <w:tcBorders>
              <w:top w:val="single" w:sz="8" w:color="auto"/>
            </w:tcBorders>
          </w:tcPr>
          <w:p>
            <w:pPr>
              <w:ind w:left="1040"/>
              <w:spacing w:after="0" w:line="181" w:lineRule="exact"/>
              <w:rPr>
                <w:sz w:val="20"/>
                <w:szCs w:val="20"/>
                <w:color w:val="auto"/>
              </w:rPr>
            </w:pPr>
            <w:r>
              <w:rPr>
                <w:rFonts w:ascii="MS PGothic" w:cs="MS PGothic" w:eastAsia="MS PGothic" w:hAnsi="MS PGothic"/>
                <w:sz w:val="18"/>
                <w:szCs w:val="18"/>
                <w:color w:val="auto"/>
              </w:rPr>
              <w:t>☐</w:t>
            </w:r>
          </w:p>
        </w:tc>
      </w:tr>
      <w:tr>
        <w:trPr>
          <w:trHeight w:val="129"/>
        </w:trPr>
        <w:tc>
          <w:tcPr>
            <w:tcW w:w="2180" w:type="dxa"/>
            <w:vAlign w:val="bottom"/>
            <w:tcBorders>
              <w:bottom w:val="single" w:sz="8" w:color="auto"/>
            </w:tcBorders>
          </w:tcPr>
          <w:p>
            <w:pPr>
              <w:spacing w:after="0"/>
              <w:rPr>
                <w:sz w:val="11"/>
                <w:szCs w:val="11"/>
                <w:color w:val="auto"/>
              </w:rPr>
            </w:pPr>
          </w:p>
        </w:tc>
        <w:tc>
          <w:tcPr>
            <w:tcW w:w="438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r>
      <w:tr>
        <w:trPr>
          <w:trHeight w:val="228"/>
        </w:trPr>
        <w:tc>
          <w:tcPr>
            <w:tcW w:w="2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Percentage of Class Represented by Amount in Row (9):</w:t>
            </w:r>
          </w:p>
        </w:tc>
        <w:tc>
          <w:tcPr>
            <w:tcW w:w="300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9.99%**</w:t>
            </w:r>
          </w:p>
        </w:tc>
        <w:tc>
          <w:tcPr>
            <w:tcW w:w="1680" w:type="dxa"/>
            <w:vAlign w:val="bottom"/>
          </w:tcPr>
          <w:p>
            <w:pPr>
              <w:spacing w:after="0"/>
              <w:rPr>
                <w:sz w:val="19"/>
                <w:szCs w:val="19"/>
                <w:color w:val="auto"/>
              </w:rPr>
            </w:pPr>
          </w:p>
        </w:tc>
      </w:tr>
    </w:tbl>
    <w:p>
      <w:pPr>
        <w:spacing w:after="0" w:line="193" w:lineRule="exact"/>
        <w:rPr>
          <w:sz w:val="20"/>
          <w:szCs w:val="20"/>
          <w:color w:val="auto"/>
        </w:rPr>
      </w:pPr>
    </w:p>
    <w:p>
      <w:pPr>
        <w:ind w:left="2260" w:hanging="393"/>
        <w:spacing w:after="0"/>
        <w:tabs>
          <w:tab w:leader="none" w:pos="22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25" w:lineRule="exact"/>
        <w:rPr>
          <w:rFonts w:ascii="Times New Roman" w:cs="Times New Roman" w:eastAsia="Times New Roman" w:hAnsi="Times New Roman"/>
          <w:sz w:val="18"/>
          <w:szCs w:val="18"/>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4,950,346 shares of Common Stock par value $0.0001 per share (“Common Stock”) of Innventure, Inc. (the “Issuer”) consisting of the direct ownership of 0 shares of Common Stock and the deemed ownership of 4,950,346 additional shares of Common Stock that the reporting person may acquire within 60 days of the date of this filing.</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3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based on 49,553,019 outstanding shares of Common Stock, consisting of 44,602,673 shares Common Stock outstanding as of October 2, 2024, as reported by the Issuer in its Form 8-K filed on October 2, 2024, and an additional 4,950,346 shares of Common Stock that the reporting person may acquire within 60 days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-1256030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CUSIP No. 45784M108</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7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6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Mark Angelo</w:t>
            </w:r>
          </w:p>
        </w:tc>
        <w:tc>
          <w:tcPr>
            <w:tcW w:w="0" w:type="dxa"/>
            <w:vAlign w:val="bottom"/>
          </w:tcPr>
          <w:p>
            <w:pPr>
              <w:spacing w:after="0"/>
              <w:rPr>
                <w:sz w:val="1"/>
                <w:szCs w:val="1"/>
                <w:color w:val="auto"/>
              </w:rPr>
            </w:pPr>
          </w:p>
        </w:tc>
      </w:tr>
      <w:tr>
        <w:trPr>
          <w:trHeight w:val="216"/>
        </w:trPr>
        <w:tc>
          <w:tcPr>
            <w:tcW w:w="1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4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908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19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19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2"/>
          </w:tcPr>
          <w:p>
            <w:pPr>
              <w:spacing w:after="0"/>
              <w:rPr>
                <w:sz w:val="15"/>
                <w:szCs w:val="15"/>
                <w:color w:val="auto"/>
              </w:rPr>
            </w:pPr>
          </w:p>
        </w:tc>
        <w:tc>
          <w:tcPr>
            <w:tcW w:w="6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8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 Cayman Islands</w:t>
            </w:r>
          </w:p>
        </w:tc>
        <w:tc>
          <w:tcPr>
            <w:tcW w:w="0" w:type="dxa"/>
            <w:vAlign w:val="bottom"/>
          </w:tcPr>
          <w:p>
            <w:pPr>
              <w:spacing w:after="0"/>
              <w:rPr>
                <w:sz w:val="1"/>
                <w:szCs w:val="1"/>
                <w:color w:val="auto"/>
              </w:rPr>
            </w:pPr>
          </w:p>
        </w:tc>
      </w:tr>
      <w:tr>
        <w:trPr>
          <w:trHeight w:val="198"/>
        </w:trPr>
        <w:tc>
          <w:tcPr>
            <w:tcW w:w="1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spacing w:after="0"/>
              <w:rPr>
                <w:sz w:val="17"/>
                <w:szCs w:val="17"/>
                <w:color w:val="auto"/>
              </w:rPr>
            </w:pPr>
          </w:p>
        </w:tc>
        <w:tc>
          <w:tcPr>
            <w:tcW w:w="6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720" w:type="dxa"/>
            <w:vAlign w:val="bottom"/>
            <w:tcBorders>
              <w:left w:val="single" w:sz="8" w:color="auto"/>
              <w:right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6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720" w:type="dxa"/>
            <w:vAlign w:val="bottom"/>
            <w:tcBorders>
              <w:left w:val="single" w:sz="8" w:color="auto"/>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Beneficially</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6</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4,950,346*</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7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Each</w:t>
            </w: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720" w:type="dxa"/>
            <w:vAlign w:val="bottom"/>
            <w:tcBorders>
              <w:left w:val="single" w:sz="8" w:color="auto"/>
              <w:right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7.</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1720" w:type="dxa"/>
            <w:vAlign w:val="bottom"/>
            <w:tcBorders>
              <w:left w:val="single" w:sz="8" w:color="auto"/>
              <w:right w:val="single" w:sz="8" w:color="auto"/>
            </w:tcBorders>
          </w:tcPr>
          <w:p>
            <w:pPr>
              <w:spacing w:after="0"/>
              <w:rPr>
                <w:sz w:val="24"/>
                <w:szCs w:val="24"/>
                <w:color w:val="auto"/>
              </w:rPr>
            </w:pP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4,950,346*</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260" w:hanging="349"/>
        <w:spacing w:after="0"/>
        <w:tabs>
          <w:tab w:leader="none" w:pos="2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4,950,346*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1680" w:type="dxa"/>
            <w:vAlign w:val="bottom"/>
            <w:tcBorders>
              <w:top w:val="single" w:sz="8" w:color="auto"/>
            </w:tcBorders>
          </w:tcPr>
          <w:p>
            <w:pPr>
              <w:ind w:left="1040"/>
              <w:spacing w:after="0" w:line="181" w:lineRule="exact"/>
              <w:rPr>
                <w:sz w:val="20"/>
                <w:szCs w:val="20"/>
                <w:color w:val="auto"/>
              </w:rPr>
            </w:pPr>
            <w:r>
              <w:rPr>
                <w:rFonts w:ascii="MS PGothic" w:cs="MS PGothic" w:eastAsia="MS PGothic" w:hAnsi="MS PGothic"/>
                <w:sz w:val="18"/>
                <w:szCs w:val="18"/>
                <w:color w:val="auto"/>
              </w:rPr>
              <w:t>☐</w:t>
            </w:r>
          </w:p>
        </w:tc>
      </w:tr>
      <w:tr>
        <w:trPr>
          <w:trHeight w:val="129"/>
        </w:trPr>
        <w:tc>
          <w:tcPr>
            <w:tcW w:w="2180" w:type="dxa"/>
            <w:vAlign w:val="bottom"/>
            <w:tcBorders>
              <w:bottom w:val="single" w:sz="8" w:color="auto"/>
            </w:tcBorders>
          </w:tcPr>
          <w:p>
            <w:pPr>
              <w:spacing w:after="0"/>
              <w:rPr>
                <w:sz w:val="11"/>
                <w:szCs w:val="11"/>
                <w:color w:val="auto"/>
              </w:rPr>
            </w:pPr>
          </w:p>
        </w:tc>
        <w:tc>
          <w:tcPr>
            <w:tcW w:w="438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r>
      <w:tr>
        <w:trPr>
          <w:trHeight w:val="228"/>
        </w:trPr>
        <w:tc>
          <w:tcPr>
            <w:tcW w:w="2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Percentage of Class Represented by Amount in Row (9):</w:t>
            </w:r>
          </w:p>
        </w:tc>
        <w:tc>
          <w:tcPr>
            <w:tcW w:w="300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9.99%**</w:t>
            </w:r>
          </w:p>
        </w:tc>
        <w:tc>
          <w:tcPr>
            <w:tcW w:w="1680" w:type="dxa"/>
            <w:vAlign w:val="bottom"/>
          </w:tcPr>
          <w:p>
            <w:pPr>
              <w:spacing w:after="0"/>
              <w:rPr>
                <w:sz w:val="19"/>
                <w:szCs w:val="19"/>
                <w:color w:val="auto"/>
              </w:rPr>
            </w:pPr>
          </w:p>
        </w:tc>
      </w:tr>
    </w:tbl>
    <w:p>
      <w:pPr>
        <w:spacing w:after="0" w:line="193" w:lineRule="exact"/>
        <w:rPr>
          <w:sz w:val="20"/>
          <w:szCs w:val="20"/>
          <w:color w:val="auto"/>
        </w:rPr>
      </w:pPr>
    </w:p>
    <w:p>
      <w:pPr>
        <w:ind w:left="2260" w:hanging="393"/>
        <w:spacing w:after="0"/>
        <w:tabs>
          <w:tab w:leader="none" w:pos="22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25" w:lineRule="exact"/>
        <w:rPr>
          <w:rFonts w:ascii="Times New Roman" w:cs="Times New Roman" w:eastAsia="Times New Roman" w:hAnsi="Times New Roman"/>
          <w:sz w:val="18"/>
          <w:szCs w:val="18"/>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4,950,346 shares Common Stock par value $0.0001 per share (“Common Stock”) of Innventure, Inc. (the “Issuer”) consisting of the direct ownership of 0 shares of Common Stock and the deemed ownership of 4,950,346 additional shares of Common Stock that the reporting person may acquire within 60 days of the date of this filing.</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based on 49,553,019 outstanding shares of Common Stock, consisting of 44,602,673 shares of Common Stock outstanding as of October 2, 2024, as reported by the Issuer in its Form 8-K filed on October 2, 2024, and an additional 4,950,346 shares of Common Stock that the reporting person may acquire within 60 days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-1256030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CUSIP No. 45784M108</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7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6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SC-Sigma Global Partners, LP</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8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84-5173620</w:t>
            </w:r>
          </w:p>
        </w:tc>
        <w:tc>
          <w:tcPr>
            <w:tcW w:w="0" w:type="dxa"/>
            <w:vAlign w:val="bottom"/>
          </w:tcPr>
          <w:p>
            <w:pPr>
              <w:spacing w:after="0"/>
              <w:rPr>
                <w:sz w:val="1"/>
                <w:szCs w:val="1"/>
                <w:color w:val="auto"/>
              </w:rPr>
            </w:pPr>
          </w:p>
        </w:tc>
      </w:tr>
      <w:tr>
        <w:trPr>
          <w:trHeight w:val="216"/>
        </w:trPr>
        <w:tc>
          <w:tcPr>
            <w:tcW w:w="1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4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9080" w:type="dxa"/>
            <w:vAlign w:val="bottom"/>
            <w:gridSpan w:val="3"/>
          </w:tcPr>
          <w:p>
            <w:pPr>
              <w:ind w:left="10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19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19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2"/>
          </w:tcPr>
          <w:p>
            <w:pPr>
              <w:spacing w:after="0"/>
              <w:rPr>
                <w:sz w:val="15"/>
                <w:szCs w:val="15"/>
                <w:color w:val="auto"/>
              </w:rPr>
            </w:pPr>
          </w:p>
        </w:tc>
        <w:tc>
          <w:tcPr>
            <w:tcW w:w="6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8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 Delaware</w:t>
            </w:r>
          </w:p>
        </w:tc>
        <w:tc>
          <w:tcPr>
            <w:tcW w:w="0" w:type="dxa"/>
            <w:vAlign w:val="bottom"/>
          </w:tcPr>
          <w:p>
            <w:pPr>
              <w:spacing w:after="0"/>
              <w:rPr>
                <w:sz w:val="1"/>
                <w:szCs w:val="1"/>
                <w:color w:val="auto"/>
              </w:rPr>
            </w:pPr>
          </w:p>
        </w:tc>
      </w:tr>
      <w:tr>
        <w:trPr>
          <w:trHeight w:val="198"/>
        </w:trPr>
        <w:tc>
          <w:tcPr>
            <w:tcW w:w="1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spacing w:after="0"/>
              <w:rPr>
                <w:sz w:val="17"/>
                <w:szCs w:val="17"/>
                <w:color w:val="auto"/>
              </w:rPr>
            </w:pPr>
          </w:p>
        </w:tc>
        <w:tc>
          <w:tcPr>
            <w:tcW w:w="6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720" w:type="dxa"/>
            <w:vAlign w:val="bottom"/>
            <w:tcBorders>
              <w:left w:val="single" w:sz="8" w:color="auto"/>
              <w:right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6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720" w:type="dxa"/>
            <w:vAlign w:val="bottom"/>
            <w:tcBorders>
              <w:left w:val="single" w:sz="8" w:color="auto"/>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Beneficially</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6</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4,950,346*</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7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Each</w:t>
            </w: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720" w:type="dxa"/>
            <w:vAlign w:val="bottom"/>
            <w:tcBorders>
              <w:left w:val="single" w:sz="8" w:color="auto"/>
              <w:right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7.</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1720" w:type="dxa"/>
            <w:vAlign w:val="bottom"/>
            <w:tcBorders>
              <w:left w:val="single" w:sz="8" w:color="auto"/>
              <w:right w:val="single" w:sz="8" w:color="auto"/>
            </w:tcBorders>
          </w:tcPr>
          <w:p>
            <w:pPr>
              <w:spacing w:after="0"/>
              <w:rPr>
                <w:sz w:val="24"/>
                <w:szCs w:val="24"/>
                <w:color w:val="auto"/>
              </w:rPr>
            </w:pP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w:t>
            </w: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4,950,346*</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6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260" w:hanging="349"/>
        <w:spacing w:after="0"/>
        <w:tabs>
          <w:tab w:leader="none" w:pos="2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4,950,346*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1680" w:type="dxa"/>
            <w:vAlign w:val="bottom"/>
            <w:tcBorders>
              <w:top w:val="single" w:sz="8" w:color="auto"/>
            </w:tcBorders>
          </w:tcPr>
          <w:p>
            <w:pPr>
              <w:ind w:left="1040"/>
              <w:spacing w:after="0" w:line="181" w:lineRule="exact"/>
              <w:rPr>
                <w:sz w:val="20"/>
                <w:szCs w:val="20"/>
                <w:color w:val="auto"/>
              </w:rPr>
            </w:pPr>
            <w:r>
              <w:rPr>
                <w:rFonts w:ascii="MS PGothic" w:cs="MS PGothic" w:eastAsia="MS PGothic" w:hAnsi="MS PGothic"/>
                <w:sz w:val="18"/>
                <w:szCs w:val="18"/>
                <w:color w:val="auto"/>
              </w:rPr>
              <w:t>☐</w:t>
            </w:r>
          </w:p>
        </w:tc>
      </w:tr>
      <w:tr>
        <w:trPr>
          <w:trHeight w:val="129"/>
        </w:trPr>
        <w:tc>
          <w:tcPr>
            <w:tcW w:w="2180" w:type="dxa"/>
            <w:vAlign w:val="bottom"/>
            <w:tcBorders>
              <w:bottom w:val="single" w:sz="8" w:color="auto"/>
            </w:tcBorders>
          </w:tcPr>
          <w:p>
            <w:pPr>
              <w:spacing w:after="0"/>
              <w:rPr>
                <w:sz w:val="11"/>
                <w:szCs w:val="11"/>
                <w:color w:val="auto"/>
              </w:rPr>
            </w:pPr>
          </w:p>
        </w:tc>
        <w:tc>
          <w:tcPr>
            <w:tcW w:w="438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r>
      <w:tr>
        <w:trPr>
          <w:trHeight w:val="228"/>
        </w:trPr>
        <w:tc>
          <w:tcPr>
            <w:tcW w:w="2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Percentage of Class Represented by Amount in Row (9):</w:t>
            </w:r>
          </w:p>
        </w:tc>
        <w:tc>
          <w:tcPr>
            <w:tcW w:w="300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9.99%**</w:t>
            </w:r>
          </w:p>
        </w:tc>
        <w:tc>
          <w:tcPr>
            <w:tcW w:w="1680" w:type="dxa"/>
            <w:vAlign w:val="bottom"/>
          </w:tcPr>
          <w:p>
            <w:pPr>
              <w:spacing w:after="0"/>
              <w:rPr>
                <w:sz w:val="19"/>
                <w:szCs w:val="19"/>
                <w:color w:val="auto"/>
              </w:rPr>
            </w:pPr>
          </w:p>
        </w:tc>
      </w:tr>
    </w:tbl>
    <w:p>
      <w:pPr>
        <w:spacing w:after="0" w:line="193" w:lineRule="exact"/>
        <w:rPr>
          <w:sz w:val="20"/>
          <w:szCs w:val="20"/>
          <w:color w:val="auto"/>
        </w:rPr>
      </w:pPr>
    </w:p>
    <w:p>
      <w:pPr>
        <w:ind w:left="2260" w:hanging="393"/>
        <w:spacing w:after="0"/>
        <w:tabs>
          <w:tab w:leader="none" w:pos="22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25" w:lineRule="exact"/>
        <w:rPr>
          <w:rFonts w:ascii="Times New Roman" w:cs="Times New Roman" w:eastAsia="Times New Roman" w:hAnsi="Times New Roman"/>
          <w:sz w:val="18"/>
          <w:szCs w:val="18"/>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4,950,346 shares of Common Stock par value $0.0001 per share (“Common Stock”) of Innventure, Inc. (the “Issuer”) consisting of the direct ownership of 0 shares of Common Stock and the deemed ownership of 4,950,346 additional shares of Common Stock that the reporting person may acquire within 60 days of the date of this filing.</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2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based on 49,553,019 outstanding shares of Common Stock, consisting of 44,602,673 shares of Common Stock outstanding as of October 2, 2024, as reported by the Issuer in its Form 8-K filed on October 2, 2024, and an additional 4,950,346 shares of Common Stock that the reporting person may acquire within 60 days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-1256030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of Issuer:</w:t>
      </w:r>
    </w:p>
    <w:p>
      <w:pPr>
        <w:spacing w:after="0" w:line="2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Innventure, Inc.</w:t>
      </w:r>
    </w:p>
    <w:p>
      <w:pPr>
        <w:spacing w:after="0" w:line="22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2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6900 Tavistock Lakes Blvd</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Suite 400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Orland, FL 32827</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Identity and Background</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of Person Filing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YA II PN, Ltd.</w:t>
      </w:r>
    </w:p>
    <w:p>
      <w:pPr>
        <w:spacing w:after="0" w:line="221"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Address of Principal Executive Office or, if none, Residence of Reporting Persons:</w:t>
      </w:r>
    </w:p>
    <w:p>
      <w:pPr>
        <w:spacing w:after="0" w:line="2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1012 Springfield Ave.</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Mountainside, NJ 07092</w:t>
      </w:r>
    </w:p>
    <w:p>
      <w:pPr>
        <w:spacing w:after="0" w:line="203"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Citizenship:</w:t>
      </w:r>
    </w:p>
    <w:p>
      <w:pPr>
        <w:spacing w:after="0" w:line="2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Cayman Islands</w:t>
      </w:r>
    </w:p>
    <w:p>
      <w:pPr>
        <w:spacing w:after="0" w:line="221"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Title of Class of Securities:</w:t>
      </w:r>
    </w:p>
    <w:p>
      <w:pPr>
        <w:spacing w:after="0" w:line="2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Common Stock par value $0.0001 per share</w:t>
      </w:r>
    </w:p>
    <w:p>
      <w:pPr>
        <w:spacing w:after="0" w:line="221"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CUSIP Number: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96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45784M108</w:t>
            </w:r>
          </w:p>
        </w:tc>
      </w:tr>
      <w:tr>
        <w:trPr>
          <w:trHeight w:val="432"/>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If the statement is filed pursuant to §§ 240.13d-1(b) or 240.13d-2(b) or (c), check whether the person filing is:</w:t>
            </w:r>
          </w:p>
        </w:tc>
      </w:tr>
      <w:tr>
        <w:trPr>
          <w:trHeight w:val="37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6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6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6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6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Investment company registered under section 8 of the Investment Company Act of 1940 (15 of the Act (15 U.S.C. 78o);</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6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 investment adviser in accordance with §240.13d-1(b)(1)(ii)(E);</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6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§240.13d-1(b)(1)(ii)(F);</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6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§240.13d-1(b)(1)(ii)(G);</w:t>
            </w:r>
          </w:p>
        </w:tc>
      </w:tr>
      <w:tr>
        <w:trPr>
          <w:trHeight w:val="26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6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 (12 U.S.C. 1813);</w:t>
            </w:r>
          </w:p>
        </w:tc>
      </w:tr>
    </w:tbl>
    <w:p>
      <w:pPr>
        <w:ind w:left="500" w:hanging="492"/>
        <w:spacing w:after="0" w:line="207" w:lineRule="exact"/>
        <w:tabs>
          <w:tab w:leader="none" w:pos="500" w:val="left"/>
        </w:tabs>
        <w:numPr>
          <w:ilvl w:val="0"/>
          <w:numId w:val="3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6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1940 (15 U.S.C. 80a-3);</w:t>
            </w:r>
          </w:p>
        </w:tc>
        <w:tc>
          <w:tcPr>
            <w:tcW w:w="0" w:type="dxa"/>
            <w:vAlign w:val="bottom"/>
          </w:tcPr>
          <w:p>
            <w:pPr>
              <w:spacing w:after="0"/>
              <w:rPr>
                <w:sz w:val="1"/>
                <w:szCs w:val="1"/>
                <w:color w:val="auto"/>
              </w:rPr>
            </w:pPr>
          </w:p>
        </w:tc>
      </w:tr>
      <w:tr>
        <w:trPr>
          <w:trHeight w:val="180"/>
        </w:trPr>
        <w:tc>
          <w:tcPr>
            <w:tcW w:w="3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(j)</w:t>
            </w:r>
          </w:p>
        </w:tc>
        <w:tc>
          <w:tcPr>
            <w:tcW w:w="620" w:type="dxa"/>
            <w:vAlign w:val="bottom"/>
            <w:vMerge w:val="continue"/>
          </w:tcPr>
          <w:p>
            <w:pPr>
              <w:spacing w:after="0"/>
              <w:rPr>
                <w:sz w:val="15"/>
                <w:szCs w:val="15"/>
                <w:color w:val="auto"/>
              </w:rPr>
            </w:pPr>
          </w:p>
        </w:tc>
        <w:tc>
          <w:tcPr>
            <w:tcW w:w="1026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A non-U.S. institution in accordance with §240.13d-1(b)(1)(ii)(J); or</w:t>
            </w:r>
          </w:p>
        </w:tc>
        <w:tc>
          <w:tcPr>
            <w:tcW w:w="0" w:type="dxa"/>
            <w:vAlign w:val="bottom"/>
          </w:tcPr>
          <w:p>
            <w:pPr>
              <w:spacing w:after="0"/>
              <w:rPr>
                <w:sz w:val="1"/>
                <w:szCs w:val="1"/>
                <w:color w:val="auto"/>
              </w:rPr>
            </w:pPr>
          </w:p>
        </w:tc>
      </w:tr>
      <w:tr>
        <w:trPr>
          <w:trHeight w:val="30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(k)</w:t>
            </w:r>
          </w:p>
        </w:tc>
        <w:tc>
          <w:tcPr>
            <w:tcW w:w="6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Group, in accordance with 240.13d(b)(1)(ii)(K).</w:t>
            </w:r>
          </w:p>
        </w:tc>
        <w:tc>
          <w:tcPr>
            <w:tcW w:w="0" w:type="dxa"/>
            <w:vAlign w:val="bottom"/>
          </w:tcPr>
          <w:p>
            <w:pPr>
              <w:spacing w:after="0"/>
              <w:rPr>
                <w:sz w:val="1"/>
                <w:szCs w:val="1"/>
                <w:color w:val="auto"/>
              </w:rPr>
            </w:pPr>
          </w:p>
        </w:tc>
      </w:tr>
      <w:tr>
        <w:trPr>
          <w:trHeight w:val="642"/>
        </w:trPr>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980" w:hanging="324"/>
        <w:spacing w:after="0"/>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4,950,346*</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Class: 9.99%**</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4,950,346</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4,950,346</w:t>
      </w:r>
    </w:p>
    <w:p>
      <w:pPr>
        <w:spacing w:after="0" w:line="225" w:lineRule="exact"/>
        <w:rPr>
          <w:rFonts w:ascii="Times New Roman" w:cs="Times New Roman" w:eastAsia="Times New Roman" w:hAnsi="Times New Roman"/>
          <w:sz w:val="18"/>
          <w:szCs w:val="18"/>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4,950,346 shares of Common Stock par value $0.0001 per share (“Common Stock”) of Innventure, Inc. (the “Issuer”) consisting of the direct ownership of 0 shares of Common Stock and the deemed ownership of 4,950,346 additional shares of Common Stock that the reporting person may acquire within 60 days of the date of this filing.</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2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based on 49,553,019 outstanding shares of Common Stock, consisting of 44,602,673 shares of Common Stock outstanding as of October 2, 2024, as reported by the Issuer in its Form 8-K filed on October 2, 2024, and an additional 4,950,346 shares of Common Stock that the reporting person may acquire within 60 days of the date of this filing.</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Ownership of Five Percent or Less of a Class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Ownership of more than five percent on Behalf of Another Person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reporting persons directly or indirectly own (or are deemed to own) an aggregate of 4,950,346 shares of Common Stock of the Issuer, or 9.99% of such class of stock as of the date of this filing.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description of the relationship among the reporting persons: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YA II PN, Ltd. (“YA II”) is beneficially owned by YA Global Investments II (U.S.), LP (the “YA Feeder”). Yorkville Advisors Global, LP (the “YA Advisor”) is the investment manager to YA II. Yorkville Advisors Global II, LLC (the “YA Advisor GP”) is the general partner to the YA Advisor. YAII GP, LP (the “YA GP”) is the general partner to the YA Feeder. YAII GP II, LLC (the “Yorkville GP”) is the general partner to the YA GP. Mark Angelo makes the investment decisions on behalf of YA II. Accordingly, each of YA II, YA Feeder, the YA Advisor, the YA Advisor GP, the YA GP, the Yorkville GP and Mark Angelo may be deemed affiliates and therefore may be deemed to beneficially own the same number of Class A Shares.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YA II GP, LP is the general partner of SC-Sigma Global Partners, LP (“SC-Sigma”), which is an investor in YA II. YAII GP II, LLC is the general partner of YA II GP, LP. The YA Advisor is the investment manager to SC-Sigma. Accordingly, SC-Sigma, the YA GP, the Yorkville GP, the YA Advisor, and Mark Angelo may be deemed affiliates and therefore may be deemed to beneficially own the same number of shares of Class A Shares.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purposes of this filing, each of the reporting persons is deemed an affiliate of each other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Member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Notice of Dissolution of Group</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participant in any transaction having that purpose or effect.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w:t>
      </w:r>
      <w:r>
        <w:rPr>
          <w:rFonts w:ascii="Times New Roman" w:cs="Times New Roman" w:eastAsia="Times New Roman" w:hAnsi="Times New Roman"/>
          <w:sz w:val="25"/>
          <w:szCs w:val="25"/>
          <w:b w:val="1"/>
          <w:bCs w:val="1"/>
          <w:color w:val="auto"/>
        </w:rPr>
        <w:t>:</w:t>
      </w:r>
    </w:p>
    <w:p>
      <w:pPr>
        <w:spacing w:after="0" w:line="23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Reporting Person disclaims beneficial ownership of any securities beneficially owned by each other Reporting Person, and its report shall not be deemed to be an admission that any Reporting Person is the beneficial owner of these securities for the purpose of Section 16 or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in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u w:val="single" w:color="auto"/>
          <w:color w:val="auto"/>
        </w:rPr>
        <w:t>REPORTING PERSON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 2024</w:t>
      </w: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u w:val="single" w:color="auto"/>
          <w:color w:val="auto"/>
        </w:rPr>
        <w:t>REPORTING PERSON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Munro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Robert Munro</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 Global Investments II (U.S.), LP</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Munro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Robert Munro</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Yorkville Advisors Global,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Yorkville Advisors Global,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Its: General Partner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Munro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Robert Munro</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Yorkville Advisors Global II, LLC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Munro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Robert Munro</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 II GP,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YAII GP II,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Its: General Partner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Munro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Robert Munro</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YAII GP II, LLC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Munro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Robert Munro</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Chief Compliance Officer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SC-Sigma Global Partners, LP</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Munro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Robert Munro</w:t>
      </w:r>
    </w:p>
    <w:p>
      <w:pPr>
        <w:spacing w:after="0" w:line="23" w:lineRule="exact"/>
        <w:rPr>
          <w:sz w:val="20"/>
          <w:szCs w:val="20"/>
          <w:color w:val="auto"/>
        </w:rPr>
      </w:pPr>
    </w:p>
    <w:p>
      <w:pPr>
        <w:jc w:val="right"/>
        <w:ind w:right="7679"/>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with respect to the equity securities of Innventure, Inc. is, and any amendment thereto signed by each of the undersigned shall be, filed on behalf of each of the undersigned pursuant to and in accordance with the provisions of Rule 13d-1(k) promulgated under the Securities Exchange Act of 1934, as amended. The undersigned hereby further agree that this Joint Filing Agreement be included as an exhibit to such statement and any such amendment.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This Joint Filing Agreement may be executed in any number of counterparts, all of which taken together shall constitute one and the same instrument.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Munro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Robert Munro</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 Global Investments II (U.S.), LP</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Munro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Robert Munro</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Yorkville Advisors Global,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Yorkville Advisors Global,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Its: General Partner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Munro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Robert Munro</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Yorkville Advisors Global II, LLC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Munro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Robert Munro</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 II GP,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YAII GP II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Its: General Partner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Munro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Robert Munro</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YAII GP II LLC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Munro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Robert Munro</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Chief Compliance Officer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SC-Sigma Global Partners, LP</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Munro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Robert Munro</w:t>
      </w:r>
    </w:p>
    <w:p>
      <w:pPr>
        <w:spacing w:after="0" w:line="23" w:lineRule="exact"/>
        <w:rPr>
          <w:sz w:val="20"/>
          <w:szCs w:val="20"/>
          <w:color w:val="auto"/>
        </w:rPr>
      </w:pPr>
    </w:p>
    <w:p>
      <w:pPr>
        <w:jc w:val="right"/>
        <w:ind w:right="7679"/>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11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decimal"/>
      <w:start w:val="9"/>
    </w:lvl>
  </w:abstractNum>
  <w:abstractNum w:abstractNumId="2">
    <w:nsid w:val="7C83E458"/>
    <w:multiLevelType w:val="hybridMultilevel"/>
    <w:lvl w:ilvl="0">
      <w:lvlJc w:val="left"/>
      <w:lvlText w:val="*"/>
      <w:numFmt w:val="bullet"/>
      <w:start w:val="1"/>
    </w:lvl>
    <w:lvl w:ilvl="1">
      <w:lvlJc w:val="left"/>
      <w:lvlText w:val="%2."/>
      <w:numFmt w:val="decimal"/>
      <w:start w:val="12"/>
    </w:lvl>
  </w:abstractNum>
  <w:abstractNum w:abstractNumId="3">
    <w:nsid w:val="257130A3"/>
    <w:multiLevelType w:val="hybridMultilevel"/>
    <w:lvl w:ilvl="0">
      <w:lvlJc w:val="left"/>
      <w:lvlText w:val="**"/>
      <w:numFmt w:val="bullet"/>
      <w:start w:val="1"/>
    </w:lvl>
    <w:lvl w:ilvl="1">
      <w:lvlJc w:val="left"/>
      <w:lvlText w:val="%2"/>
      <w:numFmt w:val="decimal"/>
      <w:start w:val="1"/>
    </w:lvl>
  </w:abstractNum>
  <w:abstractNum w:abstractNumId="4">
    <w:nsid w:val="62BBD95A"/>
    <w:multiLevelType w:val="hybridMultilevel"/>
    <w:lvl w:ilvl="0">
      <w:lvlJc w:val="left"/>
      <w:lvlText w:val="%1."/>
      <w:numFmt w:val="decimal"/>
      <w:start w:val="9"/>
    </w:lvl>
  </w:abstractNum>
  <w:abstractNum w:abstractNumId="5">
    <w:nsid w:val="436C6125"/>
    <w:multiLevelType w:val="hybridMultilevel"/>
    <w:lvl w:ilvl="0">
      <w:lvlJc w:val="left"/>
      <w:lvlText w:val="*"/>
      <w:numFmt w:val="bullet"/>
      <w:start w:val="1"/>
    </w:lvl>
    <w:lvl w:ilvl="1">
      <w:lvlJc w:val="left"/>
      <w:lvlText w:val="%2."/>
      <w:numFmt w:val="decimal"/>
      <w:start w:val="12"/>
    </w:lvl>
  </w:abstractNum>
  <w:abstractNum w:abstractNumId="6">
    <w:nsid w:val="628C895D"/>
    <w:multiLevelType w:val="hybridMultilevel"/>
    <w:lvl w:ilvl="0">
      <w:lvlJc w:val="left"/>
      <w:lvlText w:val="**"/>
      <w:numFmt w:val="bullet"/>
      <w:start w:val="1"/>
    </w:lvl>
    <w:lvl w:ilvl="1">
      <w:lvlJc w:val="left"/>
      <w:lvlText w:val="%2"/>
      <w:numFmt w:val="decimal"/>
      <w:start w:val="1"/>
    </w:lvl>
  </w:abstractNum>
  <w:abstractNum w:abstractNumId="7">
    <w:nsid w:val="333AB105"/>
    <w:multiLevelType w:val="hybridMultilevel"/>
    <w:lvl w:ilvl="0">
      <w:lvlJc w:val="left"/>
      <w:lvlText w:val="%1."/>
      <w:numFmt w:val="decimal"/>
      <w:start w:val="9"/>
    </w:lvl>
  </w:abstractNum>
  <w:abstractNum w:abstractNumId="8">
    <w:nsid w:val="721DA317"/>
    <w:multiLevelType w:val="hybridMultilevel"/>
    <w:lvl w:ilvl="0">
      <w:lvlJc w:val="left"/>
      <w:lvlText w:val="*"/>
      <w:numFmt w:val="bullet"/>
      <w:start w:val="1"/>
    </w:lvl>
    <w:lvl w:ilvl="1">
      <w:lvlJc w:val="left"/>
      <w:lvlText w:val="%2."/>
      <w:numFmt w:val="decimal"/>
      <w:start w:val="12"/>
    </w:lvl>
  </w:abstractNum>
  <w:abstractNum w:abstractNumId="9">
    <w:nsid w:val="2443A858"/>
    <w:multiLevelType w:val="hybridMultilevel"/>
    <w:lvl w:ilvl="0">
      <w:lvlJc w:val="left"/>
      <w:lvlText w:val="**"/>
      <w:numFmt w:val="bullet"/>
      <w:start w:val="1"/>
    </w:lvl>
    <w:lvl w:ilvl="1">
      <w:lvlJc w:val="left"/>
      <w:lvlText w:val="%2"/>
      <w:numFmt w:val="decimal"/>
      <w:start w:val="1"/>
    </w:lvl>
  </w:abstractNum>
  <w:abstractNum w:abstractNumId="10">
    <w:nsid w:val="2D1D5AE9"/>
    <w:multiLevelType w:val="hybridMultilevel"/>
    <w:lvl w:ilvl="0">
      <w:lvlJc w:val="left"/>
      <w:lvlText w:val="%1."/>
      <w:numFmt w:val="decimal"/>
      <w:start w:val="9"/>
    </w:lvl>
  </w:abstractNum>
  <w:abstractNum w:abstractNumId="11">
    <w:nsid w:val="6763845E"/>
    <w:multiLevelType w:val="hybridMultilevel"/>
    <w:lvl w:ilvl="0">
      <w:lvlJc w:val="left"/>
      <w:lvlText w:val="*"/>
      <w:numFmt w:val="bullet"/>
      <w:start w:val="1"/>
    </w:lvl>
    <w:lvl w:ilvl="1">
      <w:lvlJc w:val="left"/>
      <w:lvlText w:val="%2."/>
      <w:numFmt w:val="decimal"/>
      <w:start w:val="12"/>
    </w:lvl>
  </w:abstractNum>
  <w:abstractNum w:abstractNumId="12">
    <w:nsid w:val="75A2A8D4"/>
    <w:multiLevelType w:val="hybridMultilevel"/>
    <w:lvl w:ilvl="0">
      <w:lvlJc w:val="left"/>
      <w:lvlText w:val="**"/>
      <w:numFmt w:val="bullet"/>
      <w:start w:val="1"/>
    </w:lvl>
    <w:lvl w:ilvl="1">
      <w:lvlJc w:val="left"/>
      <w:lvlText w:val="%2"/>
      <w:numFmt w:val="decimal"/>
      <w:start w:val="1"/>
    </w:lvl>
  </w:abstractNum>
  <w:abstractNum w:abstractNumId="13">
    <w:nsid w:val="8EDBDAB"/>
    <w:multiLevelType w:val="hybridMultilevel"/>
    <w:lvl w:ilvl="0">
      <w:lvlJc w:val="left"/>
      <w:lvlText w:val="%1."/>
      <w:numFmt w:val="decimal"/>
      <w:start w:val="9"/>
    </w:lvl>
  </w:abstractNum>
  <w:abstractNum w:abstractNumId="14">
    <w:nsid w:val="79838CB2"/>
    <w:multiLevelType w:val="hybridMultilevel"/>
    <w:lvl w:ilvl="0">
      <w:lvlJc w:val="left"/>
      <w:lvlText w:val="*"/>
      <w:numFmt w:val="bullet"/>
      <w:start w:val="1"/>
    </w:lvl>
    <w:lvl w:ilvl="1">
      <w:lvlJc w:val="left"/>
      <w:lvlText w:val="%2."/>
      <w:numFmt w:val="decimal"/>
      <w:start w:val="12"/>
    </w:lvl>
  </w:abstractNum>
  <w:abstractNum w:abstractNumId="15">
    <w:nsid w:val="4353D0CD"/>
    <w:multiLevelType w:val="hybridMultilevel"/>
    <w:lvl w:ilvl="0">
      <w:lvlJc w:val="left"/>
      <w:lvlText w:val="**"/>
      <w:numFmt w:val="bullet"/>
      <w:start w:val="1"/>
    </w:lvl>
    <w:lvl w:ilvl="1">
      <w:lvlJc w:val="left"/>
      <w:lvlText w:val="%2"/>
      <w:numFmt w:val="decimal"/>
      <w:start w:val="1"/>
    </w:lvl>
  </w:abstractNum>
  <w:abstractNum w:abstractNumId="16">
    <w:nsid w:val="B03E0C6"/>
    <w:multiLevelType w:val="hybridMultilevel"/>
    <w:lvl w:ilvl="0">
      <w:lvlJc w:val="left"/>
      <w:lvlText w:val="%1."/>
      <w:numFmt w:val="decimal"/>
      <w:start w:val="9"/>
    </w:lvl>
  </w:abstractNum>
  <w:abstractNum w:abstractNumId="17">
    <w:nsid w:val="189A769B"/>
    <w:multiLevelType w:val="hybridMultilevel"/>
    <w:lvl w:ilvl="0">
      <w:lvlJc w:val="left"/>
      <w:lvlText w:val="*"/>
      <w:numFmt w:val="bullet"/>
      <w:start w:val="1"/>
    </w:lvl>
    <w:lvl w:ilvl="1">
      <w:lvlJc w:val="left"/>
      <w:lvlText w:val="%2."/>
      <w:numFmt w:val="decimal"/>
      <w:start w:val="12"/>
    </w:lvl>
  </w:abstractNum>
  <w:abstractNum w:abstractNumId="18">
    <w:nsid w:val="54E49EB4"/>
    <w:multiLevelType w:val="hybridMultilevel"/>
    <w:lvl w:ilvl="0">
      <w:lvlJc w:val="left"/>
      <w:lvlText w:val="**"/>
      <w:numFmt w:val="bullet"/>
      <w:start w:val="1"/>
    </w:lvl>
    <w:lvl w:ilvl="1">
      <w:lvlJc w:val="left"/>
      <w:lvlText w:val="%2"/>
      <w:numFmt w:val="decimal"/>
      <w:start w:val="1"/>
    </w:lvl>
  </w:abstractNum>
  <w:abstractNum w:abstractNumId="19">
    <w:nsid w:val="71F32454"/>
    <w:multiLevelType w:val="hybridMultilevel"/>
    <w:lvl w:ilvl="0">
      <w:lvlJc w:val="left"/>
      <w:lvlText w:val="%1."/>
      <w:numFmt w:val="decimal"/>
      <w:start w:val="9"/>
    </w:lvl>
  </w:abstractNum>
  <w:abstractNum w:abstractNumId="20">
    <w:nsid w:val="2CA88611"/>
    <w:multiLevelType w:val="hybridMultilevel"/>
    <w:lvl w:ilvl="0">
      <w:lvlJc w:val="left"/>
      <w:lvlText w:val="*"/>
      <w:numFmt w:val="bullet"/>
      <w:start w:val="1"/>
    </w:lvl>
    <w:lvl w:ilvl="1">
      <w:lvlJc w:val="left"/>
      <w:lvlText w:val="%2."/>
      <w:numFmt w:val="decimal"/>
      <w:start w:val="12"/>
    </w:lvl>
  </w:abstractNum>
  <w:abstractNum w:abstractNumId="21">
    <w:nsid w:val="836C40E"/>
    <w:multiLevelType w:val="hybridMultilevel"/>
    <w:lvl w:ilvl="0">
      <w:lvlJc w:val="left"/>
      <w:lvlText w:val="**"/>
      <w:numFmt w:val="bullet"/>
      <w:start w:val="1"/>
    </w:lvl>
    <w:lvl w:ilvl="1">
      <w:lvlJc w:val="left"/>
      <w:lvlText w:val="%2"/>
      <w:numFmt w:val="decimal"/>
      <w:start w:val="1"/>
    </w:lvl>
  </w:abstractNum>
  <w:abstractNum w:abstractNumId="22">
    <w:nsid w:val="2901D82"/>
    <w:multiLevelType w:val="hybridMultilevel"/>
    <w:lvl w:ilvl="0">
      <w:lvlJc w:val="left"/>
      <w:lvlText w:val="%1."/>
      <w:numFmt w:val="decimal"/>
      <w:start w:val="9"/>
    </w:lvl>
  </w:abstractNum>
  <w:abstractNum w:abstractNumId="23">
    <w:nsid w:val="3A95F874"/>
    <w:multiLevelType w:val="hybridMultilevel"/>
    <w:lvl w:ilvl="0">
      <w:lvlJc w:val="left"/>
      <w:lvlText w:val="*"/>
      <w:numFmt w:val="bullet"/>
      <w:start w:val="1"/>
    </w:lvl>
    <w:lvl w:ilvl="1">
      <w:lvlJc w:val="left"/>
      <w:lvlText w:val="%2."/>
      <w:numFmt w:val="decimal"/>
      <w:start w:val="12"/>
    </w:lvl>
  </w:abstractNum>
  <w:abstractNum w:abstractNumId="24">
    <w:nsid w:val="8138641"/>
    <w:multiLevelType w:val="hybridMultilevel"/>
    <w:lvl w:ilvl="0">
      <w:lvlJc w:val="left"/>
      <w:lvlText w:val="**"/>
      <w:numFmt w:val="bullet"/>
      <w:start w:val="1"/>
    </w:lvl>
    <w:lvl w:ilvl="1">
      <w:lvlJc w:val="left"/>
      <w:lvlText w:val="%2"/>
      <w:numFmt w:val="decimal"/>
      <w:start w:val="1"/>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1)"/>
      <w:numFmt w:val="lowerLetter"/>
      <w:start w:val="2"/>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2"/>
    </w:lvl>
  </w:abstractNum>
  <w:abstractNum w:abstractNumId="29">
    <w:nsid w:val="22221A70"/>
    <w:multiLevelType w:val="hybridMultilevel"/>
    <w:lvl w:ilvl="0">
      <w:lvlJc w:val="left"/>
      <w:lvlText w:val="(%1)"/>
      <w:numFmt w:val="lowerLetter"/>
      <w:start w:val="3"/>
    </w:lvl>
  </w:abstractNum>
  <w:abstractNum w:abstractNumId="30">
    <w:nsid w:val="4516DDE9"/>
    <w:multiLevelType w:val="hybridMultilevel"/>
    <w:lvl w:ilvl="0">
      <w:lvlJc w:val="left"/>
      <w:lvlText w:val="(%1)"/>
      <w:numFmt w:val="lowerLetter"/>
      <w:start w:val="4"/>
    </w:lvl>
  </w:abstractNum>
  <w:abstractNum w:abstractNumId="31">
    <w:nsid w:val="3006C83E"/>
    <w:multiLevelType w:val="hybridMultilevel"/>
    <w:lvl w:ilvl="0">
      <w:lvlJc w:val="left"/>
      <w:lvlText w:val="(%1)"/>
      <w:numFmt w:val="lowerLetter"/>
      <w:start w:val="5"/>
    </w:lvl>
  </w:abstractNum>
  <w:abstractNum w:abstractNumId="32">
    <w:nsid w:val="614FD4A1"/>
    <w:multiLevelType w:val="hybridMultilevel"/>
    <w:lvl w:ilvl="0">
      <w:lvlJc w:val="left"/>
      <w:lvlText w:val="(%1)"/>
      <w:numFmt w:val="lowerRoman"/>
      <w:start w:val="1"/>
    </w:lvl>
  </w:abstractNum>
  <w:abstractNum w:abstractNumId="33">
    <w:nsid w:val="419AC24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34">
    <w:nsid w:val="5577F8E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2024-11-01T19:50:30Z</dcterms:created>
  <dcterms:modified xsi:type="dcterms:W3CDTF">2024-11-01T19:50:30Z</dcterms:modified>
</cp:coreProperties>
</file>