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15,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24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As previously disclosed in the Current Reports on Form 8-K filed by Innventure, Inc., a Delaware corporation (the “Company”) with the U.S. Securities and Exchange Commission (the “SEC”) on March 26, 2025 and April 14, 2025, the Company entered into a securities purchase agreement (the “Purchase Agreement”) with YA II PN, Ltd. (“Yorkville”), for the issuance and sale by the Company of convertible debentures (the “Convertible Debentures”) issuable in an aggregate principal amount of up to $30,000,000, which Convertible Debentures will be convertible into shares of the Company’s common stock, par value $0.0001 per share (the "Common Stock," as converted, the “Conversion Shares”).</w:t>
      </w:r>
    </w:p>
    <w:p>
      <w:pPr>
        <w:spacing w:after="0" w:line="21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On April 14, 2025 (the “First Closing Date”), the Company issued a Convertible Debenture to Yorkville with a principal amount of $20,000,000. Pursuant to the Purchase Agreement, Yorkville will purchase, and the Company will issue, an additional $10,000,000 in aggregate principal amount of Convertible Debentures on the first business day after both (i) the registration statement filed with the SEC registering the resale of the Conversion Shares is declared effective by the SEC, which occurred on April 23, 2025, and (ii) the Company has received stockholder approval either through (a) affirmative votes at the Company’s annual meeting or (b) irrevocable proxies to do the same, which occurred on May 13, 2025 as further described below, by a majority of the voting power of the Company (“Stockholder Approval”) of the issuance of Conversion Shares and shares issuable pursuant to the Company’s Standby Equity Purchase Agreement, dated October 24, 2023, with Yorkville in excess of the Exchange Cap (as defined in the Purchase Agreement).</w:t>
      </w:r>
    </w:p>
    <w:p>
      <w:pPr>
        <w:spacing w:after="0" w:line="2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By May 13, 2025, in connection with the Stockholder Approval, certain stockholders of the Company (each a “Voting Agreement Party”) constituting a majority of the voting power of the Company, each entered into an irrevocable Voting Agreement ("Voting Agreement") pursuant to which each Voting Agreement Party agreed to vote all shares of voting stock over which the Voting Agreement Party has voting control in favor of both Proposals 3 and 4, each as described in the Company’s Definitive Proxy Statement on Schedule 14A filed with the SEC on May 9, 2025 (the “2025 Proxy Statement”) in connection with the Company’s Annual Meeting of Stockholders to be held virtually at 9:00 a.m., ET, on June 25, 2025 (the “2025 Annual Meeting”). Each Voting Agreement Party also agreed to vote all shares of voting stock over which the Voting Agreement Party has voting control in favor of the equivalent of Proposals 3 and 4, each as described in the Company’s 2025 Proxy Statement, at any other meeting of stockholders of the Company subsequent to the 2025 Annual Meeting if such proposals are required to be resubmitted to the Company’s stockholders.</w:t>
      </w:r>
    </w:p>
    <w:p>
      <w:pPr>
        <w:spacing w:after="0" w:line="21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terms of the Voting Agreement does not purport to be complete and is qualified in its entirety by reference to the full text of such document, a form of which is filed herewith as Exhibit 10.1 and is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Second Convertible Debenture</w:t>
      </w: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May 15, 2025 (the “Second Closing Date”), the Company issued a Convertible Debenture to Yorkville with a principal amount of $10,000,000 (the “Second Convertible Debenture”). The Second Convertible Debenture will not bear interest unless an event of default occurs and remains uncured, upon which the Second Convertible Debenture will bear interest at an annual rate of 18.0%. The Second Convertible Debenture will mature on July 14, 2026 (the</w:t>
      </w:r>
    </w:p>
    <w:p>
      <w:pPr>
        <w:spacing w:after="0" w:line="1"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8"/>
          <w:szCs w:val="18"/>
          <w:color w:val="auto"/>
        </w:rPr>
        <w:t>“Maturity Date”). The Second Convertible Debenture resulted in gross proceeds to the Company of approximately $9,000,000, representing an original issue discount of 10%. With respect to the Second Convertible Debenture, the Company will be required to make monthly cash payments of principal in amounts between $545,455 and $1,545,450 (as per the schedule set forth in the Second Convertible Debenture) plus a payment premium of 5% and all accrued and unpaid interest as of the date of such installment. Such payments will commence on June 14, 2025 and will continue on a monthly basis thereafter until the Second Convertible Debenture is repaid in full.</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Second Convertible Debenture is convertible at the option of the holder into Common Stock equal to the applicable Conversion Amount (as defined below) divided by the Conversion Price (as defined below). The conversion price for the Second Convertible Debenture will initially be $10.00, and will be adjusted on the six-month anniversary of the First Closing Date (the “First Reset Date”) and the nine-month anniversary of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Second Convertible Debenture may be converted at any time and from time to time, subject to the Exchange Cap (as defined below). The Conversion Amount with respect to any requested conversion will equal the principal amount requested to be converted plus all accrued and unpaid interest on the Second Convertible Debenture as of such conversion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21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Stock Market (the “Exchange Cap”). The Exchange Cap will not apply under certain circumstances, including if the Company obtains the approval of its stockholders as required by the applicable rules of the Nasdaq Stock Market for issuances of Common Stock in excess of such amount or if the Company obtains a written opinion from outside counsel to the Company that such stockholder approval is not required.</w:t>
      </w:r>
    </w:p>
    <w:p>
      <w:pPr>
        <w:spacing w:after="0" w:line="21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Second Convertible Debenture provides the Company, subject to certain conditions, with an optional redemption right pursuant to which the Company, upon 10 trading days’ prior written notice to Yorkville (the “Redemption Notice”), may redeem in cash, in whole or in part, all amounts outstanding under the Second Convertible Debenture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May 15, 2025, the Company issued a press release, attached hereto as Exhibit 99.1 and incorporated herein by reference, announcing the Company’s financial results for the first quarter ended March 31, 2025, and certain other information.</w:t>
      </w:r>
    </w:p>
    <w:p>
      <w:pPr>
        <w:spacing w:after="0" w:line="226" w:lineRule="exact"/>
        <w:rPr>
          <w:sz w:val="20"/>
          <w:szCs w:val="20"/>
          <w:color w:val="auto"/>
        </w:rPr>
      </w:pPr>
    </w:p>
    <w:p>
      <w:pPr>
        <w:ind w:right="3800"/>
        <w:spacing w:after="0" w:line="271"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Second Convertible Debenture was, and the Conversion Shares issuable upon conversion of the Second Convertible Debenture will be, exempt from registration pursuant to Section 4(a)(2) of the Securities Act. Yorkville represented to the Company that it is an “accredited investor” as defined in Rule 501 of the Securities Act and that each of the Second Convertible Debenture and the Conversion Shares will be acquired for investment purposes and not with a view to, or for sale in connection with, any distribution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Second Convertible Debenture, issued to YA II PN, Ltd., dated May 15, 2025</w:t>
            </w:r>
          </w:p>
        </w:tc>
      </w:tr>
      <w:tr>
        <w:trPr>
          <w:trHeight w:val="26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Form of Voting Agreement</w:t>
            </w:r>
          </w:p>
        </w:tc>
        <w:tc>
          <w:tcPr>
            <w:tcW w:w="3620" w:type="dxa"/>
            <w:vAlign w:val="bottom"/>
            <w:gridSpan w:val="2"/>
          </w:tcPr>
          <w:p>
            <w:pPr>
              <w:spacing w:after="0"/>
              <w:rPr>
                <w:sz w:val="22"/>
                <w:szCs w:val="22"/>
                <w:color w:val="auto"/>
              </w:rPr>
            </w:pPr>
          </w:p>
        </w:tc>
      </w:tr>
      <w:tr>
        <w:trPr>
          <w:trHeight w:val="26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by Innventure, Inc. dated May 15, 2025</w:t>
            </w:r>
          </w:p>
        </w:tc>
      </w:tr>
      <w:tr>
        <w:trPr>
          <w:trHeight w:val="20"/>
        </w:trPr>
        <w:tc>
          <w:tcPr>
            <w:tcW w:w="2540" w:type="dxa"/>
            <w:vAlign w:val="bottom"/>
          </w:tcPr>
          <w:p>
            <w:pPr>
              <w:spacing w:after="0" w:line="20" w:lineRule="exact"/>
              <w:rPr>
                <w:sz w:val="1"/>
                <w:szCs w:val="1"/>
                <w:color w:val="auto"/>
              </w:rPr>
            </w:pPr>
          </w:p>
        </w:tc>
        <w:tc>
          <w:tcPr>
            <w:tcW w:w="388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396" w:lineRule="exact"/>
        <w:rPr>
          <w:sz w:val="20"/>
          <w:szCs w:val="20"/>
          <w:color w:val="auto"/>
        </w:rPr>
      </w:pPr>
    </w:p>
    <w:p>
      <w:pPr>
        <w:ind w:left="120" w:hanging="112"/>
        <w:spacing w:after="0"/>
        <w:tabs>
          <w:tab w:leader="none" w:pos="120" w:val="left"/>
        </w:tabs>
        <w:numPr>
          <w:ilvl w:val="0"/>
          <w:numId w:val="2"/>
        </w:numPr>
        <w:rPr>
          <w:rFonts w:ascii="Cambria" w:cs="Cambria" w:eastAsia="Cambria" w:hAnsi="Cambria"/>
          <w:sz w:val="14"/>
          <w:szCs w:val="14"/>
          <w:b w:val="1"/>
          <w:bCs w:val="1"/>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8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56" w:lineRule="exact"/>
        <w:rPr>
          <w:sz w:val="20"/>
          <w:szCs w:val="20"/>
          <w:color w:val="auto"/>
        </w:rPr>
      </w:pPr>
    </w:p>
    <w:p>
      <w:pPr>
        <w:spacing w:after="0"/>
        <w:tabs>
          <w:tab w:leader="none" w:pos="2320" w:val="left"/>
          <w:tab w:leader="none" w:pos="28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David Yablunosky</w:t>
      </w:r>
    </w:p>
    <w:p>
      <w:pPr>
        <w:spacing w:after="0" w:line="16"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Name:</w:t>
        <w:tab/>
        <w:t>David Yablunosky</w:t>
      </w:r>
    </w:p>
    <w:p>
      <w:pPr>
        <w:spacing w:after="0" w:line="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1160"/>
          </w:cols>
          <w:pgMar w:left="320" w:top="1400"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NEITHER THIS SECURITY NOR THE SECURITIES INTO WHICH THIS SECURITY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NOTWITHSTANDING THE FOREGOING, THE SECURITIES MAY BE PLEDGED IN CONNECTION WITH A BONA FIDE MARGIN ACCOUNT OR OTHER LOAN OR FINANCING ARRANGEMENT SECURED BY THE SECURITIES.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Convertible Debenture</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2800" w:val="left"/>
        </w:tabs>
        <w:rPr>
          <w:sz w:val="20"/>
          <w:szCs w:val="20"/>
          <w:color w:val="auto"/>
        </w:rPr>
      </w:pPr>
      <w:r>
        <w:rPr>
          <w:rFonts w:ascii="Times New Roman" w:cs="Times New Roman" w:eastAsia="Times New Roman" w:hAnsi="Times New Roman"/>
          <w:sz w:val="22"/>
          <w:szCs w:val="22"/>
          <w:b w:val="1"/>
          <w:bCs w:val="1"/>
          <w:color w:val="auto"/>
        </w:rPr>
        <w:t>Original Principal Amount:</w:t>
      </w:r>
      <w:r>
        <w:rPr>
          <w:sz w:val="20"/>
          <w:szCs w:val="20"/>
          <w:color w:val="auto"/>
        </w:rPr>
        <w:tab/>
      </w:r>
      <w:r>
        <w:rPr>
          <w:rFonts w:ascii="Times New Roman" w:cs="Times New Roman" w:eastAsia="Times New Roman" w:hAnsi="Times New Roman"/>
          <w:sz w:val="21"/>
          <w:szCs w:val="21"/>
          <w:b w:val="1"/>
          <w:bCs w:val="1"/>
          <w:color w:val="auto"/>
        </w:rPr>
        <w:t>$10,000,000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Issuance Date: May 15,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INV-2</w:t>
      </w:r>
    </w:p>
    <w:p>
      <w:pPr>
        <w:spacing w:after="0" w:line="21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FOR VALUE RECEIVED, INNVENTURE, INC., </w:t>
      </w:r>
      <w:r>
        <w:rPr>
          <w:rFonts w:ascii="Times New Roman" w:cs="Times New Roman" w:eastAsia="Times New Roman" w:hAnsi="Times New Roman"/>
          <w:sz w:val="22"/>
          <w:szCs w:val="22"/>
          <w:color w:val="auto"/>
        </w:rPr>
        <w:t>a company incorporated under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promises to pay to the order of YA II PN, LTD., or its registered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the amount set out above as the Original Principal Amount (or such lesser amount as reduced pursuant to the terms hereof pursuant to repayment, redemption, conversion or otherwise, the “</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and the Payment Premium or the Redemption Premium, as applicable, in each case when due, and to pay interest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on any outstanding Principal at the applicable Interest Rate (as defined below) from the date it commences to accrue pursuant to the terms hereof, until the same becomes due and payable, whether upon the Maturity Date or acceleration, conversion, redemption or otherwise (in each case in accordance with the terms hereof). The Issuance Date (set forth above) is the date of the first issuance of this Convertible Debenture (as amended, amended and restated, extended, supplemented or otherwise modified in writing from time to time, this “</w:t>
      </w:r>
      <w:r>
        <w:rPr>
          <w:rFonts w:ascii="Times New Roman" w:cs="Times New Roman" w:eastAsia="Times New Roman" w:hAnsi="Times New Roman"/>
          <w:sz w:val="22"/>
          <w:szCs w:val="22"/>
          <w:u w:val="single" w:color="auto"/>
          <w:color w:val="auto"/>
        </w:rPr>
        <w:t>Debenture</w:t>
      </w:r>
      <w:r>
        <w:rPr>
          <w:rFonts w:ascii="Times New Roman" w:cs="Times New Roman" w:eastAsia="Times New Roman" w:hAnsi="Times New Roman"/>
          <w:sz w:val="22"/>
          <w:szCs w:val="22"/>
          <w:color w:val="auto"/>
        </w:rPr>
        <w:t>”) regardless of the number of transfers and regardless of the number of instruments, which may be issued to evidence such Debenture. This Debenture was originally issued pursuant to the Securities Purchase Agreement dated as of March 25, 2025, between the Company and the Buyers listed on the Schedule of Buyers attached thereto (as it may be amended from time to time, the “</w:t>
      </w:r>
      <w:r>
        <w:rPr>
          <w:rFonts w:ascii="Times New Roman" w:cs="Times New Roman" w:eastAsia="Times New Roman" w:hAnsi="Times New Roman"/>
          <w:sz w:val="22"/>
          <w:szCs w:val="22"/>
          <w:u w:val="single" w:color="auto"/>
          <w:color w:val="auto"/>
        </w:rPr>
        <w:t>Securities Purchase Agreement</w:t>
      </w:r>
      <w:r>
        <w:rPr>
          <w:rFonts w:ascii="Times New Roman" w:cs="Times New Roman" w:eastAsia="Times New Roman" w:hAnsi="Times New Roman"/>
          <w:sz w:val="22"/>
          <w:szCs w:val="22"/>
          <w:color w:val="auto"/>
        </w:rPr>
        <w:t>”). Certain capitalized terms used herein are defined in Section (12).</w:t>
      </w:r>
    </w:p>
    <w:p>
      <w:pPr>
        <w:sectPr>
          <w:pgSz w:w="11900" w:h="16838" w:orient="portrait"/>
          <w:cols w:equalWidth="0" w:num="1">
            <w:col w:w="11240"/>
          </w:cols>
          <w:pgMar w:left="320" w:top="126" w:right="339" w:bottom="1440" w:gutter="0" w:footer="0" w:header="0"/>
        </w:sectPr>
      </w:pPr>
    </w:p>
    <w:bookmarkStart w:id="5" w:name="page6"/>
    <w:bookmarkEnd w:id="5"/>
    <w:p>
      <w:pPr>
        <w:ind w:left="1780" w:hanging="476"/>
        <w:spacing w:after="0"/>
        <w:tabs>
          <w:tab w:leader="none" w:pos="17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TERMS</w:t>
      </w:r>
    </w:p>
    <w:p>
      <w:pPr>
        <w:spacing w:after="0" w:line="21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4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On the Maturity Date, the Company shall pay to the Holder an amount in cash representing all outstanding Principal, together with the Payment Premium in respect of such Principal amount, and all interest and other amounts owing pursuant to the terms of this Debenture. The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shall be July 14, 2026, as may be extended at the option of the Holder. Other than as specifically permitted by this Debenture, the Company may not prepay or redeem any portion of the outstanding Principal and accrued and unpaid Interest.</w:t>
      </w:r>
    </w:p>
    <w:p>
      <w:pPr>
        <w:spacing w:after="0" w:line="178"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47"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 and Payment of Interest</w:t>
      </w:r>
      <w:r>
        <w:rPr>
          <w:rFonts w:ascii="Times New Roman" w:cs="Times New Roman" w:eastAsia="Times New Roman" w:hAnsi="Times New Roman"/>
          <w:sz w:val="22"/>
          <w:szCs w:val="22"/>
          <w:color w:val="auto"/>
        </w:rPr>
        <w:t>. Interest shall accrue on the outstanding Principal balance hereof at an annual rate equal to 0% (“</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w:t>
      </w:r>
    </w:p>
    <w:p>
      <w:pPr>
        <w:spacing w:after="0" w:line="176" w:lineRule="exact"/>
        <w:rPr>
          <w:rFonts w:ascii="Times New Roman" w:cs="Times New Roman" w:eastAsia="Times New Roman" w:hAnsi="Times New Roman"/>
          <w:sz w:val="22"/>
          <w:szCs w:val="22"/>
          <w:color w:val="auto"/>
        </w:rPr>
      </w:pPr>
    </w:p>
    <w:p>
      <w:pPr>
        <w:jc w:val="both"/>
        <w:ind w:firstLine="1952"/>
        <w:spacing w:after="0" w:line="247" w:lineRule="auto"/>
        <w:tabs>
          <w:tab w:leader="none" w:pos="2427"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Installment Payments</w:t>
      </w:r>
      <w:r>
        <w:rPr>
          <w:rFonts w:ascii="Times New Roman" w:cs="Times New Roman" w:eastAsia="Times New Roman" w:hAnsi="Times New Roman"/>
          <w:sz w:val="22"/>
          <w:szCs w:val="22"/>
          <w:color w:val="auto"/>
        </w:rPr>
        <w:t>. On or before each date (each, an “</w:t>
      </w:r>
      <w:r>
        <w:rPr>
          <w:rFonts w:ascii="Times New Roman" w:cs="Times New Roman" w:eastAsia="Times New Roman" w:hAnsi="Times New Roman"/>
          <w:sz w:val="22"/>
          <w:szCs w:val="22"/>
          <w:u w:val="single" w:color="auto"/>
          <w:color w:val="auto"/>
        </w:rPr>
        <w:t>Installment Date</w:t>
      </w:r>
      <w:r>
        <w:rPr>
          <w:rFonts w:ascii="Times New Roman" w:cs="Times New Roman" w:eastAsia="Times New Roman" w:hAnsi="Times New Roman"/>
          <w:sz w:val="22"/>
          <w:szCs w:val="22"/>
          <w:color w:val="auto"/>
        </w:rPr>
        <w:t xml:space="preserve">”) set forth on the repayment schedule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Repayment Schedule</w:t>
      </w:r>
      <w:r>
        <w:rPr>
          <w:rFonts w:ascii="Times New Roman" w:cs="Times New Roman" w:eastAsia="Times New Roman" w:hAnsi="Times New Roman"/>
          <w:sz w:val="22"/>
          <w:szCs w:val="22"/>
          <w:color w:val="auto"/>
        </w:rPr>
        <w:t>”), the Company shall repay a portion of the outstanding balance of this Debenture in an amount equal (i) the installment principal amount set forth on the Repayment Schedule as of such Installment Date (or the outstanding Principal if less than such amount (the “</w:t>
      </w:r>
      <w:r>
        <w:rPr>
          <w:rFonts w:ascii="Times New Roman" w:cs="Times New Roman" w:eastAsia="Times New Roman" w:hAnsi="Times New Roman"/>
          <w:sz w:val="22"/>
          <w:szCs w:val="22"/>
          <w:u w:val="single" w:color="auto"/>
          <w:color w:val="auto"/>
        </w:rPr>
        <w:t>Installment 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plus (ii) the Payment Premium in respect of such Installment Principal Amount, and (iii) accrued and unpaid interest hereunder as of each Installment Date (collectively, the “</w:t>
      </w:r>
      <w:r>
        <w:rPr>
          <w:rFonts w:ascii="Times New Roman" w:cs="Times New Roman" w:eastAsia="Times New Roman" w:hAnsi="Times New Roman"/>
          <w:sz w:val="22"/>
          <w:szCs w:val="22"/>
          <w:u w:val="single" w:color="auto"/>
          <w:color w:val="auto"/>
        </w:rPr>
        <w:t>Installment Amount</w:t>
      </w:r>
      <w:r>
        <w:rPr>
          <w:rFonts w:ascii="Times New Roman" w:cs="Times New Roman" w:eastAsia="Times New Roman" w:hAnsi="Times New Roman"/>
          <w:sz w:val="22"/>
          <w:szCs w:val="22"/>
          <w:color w:val="auto"/>
        </w:rPr>
        <w:t>”). With respect to the payment of any Installment Amount by the Company hereunder, the Company shall, at its own option, repay each Installment Amount either (i) in cash on or before the Installment Date, or (ii) by submitting an Advance Notice (an “</w:t>
      </w:r>
      <w:r>
        <w:rPr>
          <w:rFonts w:ascii="Times New Roman" w:cs="Times New Roman" w:eastAsia="Times New Roman" w:hAnsi="Times New Roman"/>
          <w:sz w:val="22"/>
          <w:szCs w:val="22"/>
          <w:u w:val="single" w:color="auto"/>
          <w:color w:val="auto"/>
        </w:rPr>
        <w:t>Advance Repayment</w:t>
      </w:r>
      <w:r>
        <w:rPr>
          <w:rFonts w:ascii="Times New Roman" w:cs="Times New Roman" w:eastAsia="Times New Roman" w:hAnsi="Times New Roman"/>
          <w:sz w:val="22"/>
          <w:szCs w:val="22"/>
          <w:color w:val="auto"/>
        </w:rPr>
        <w:t>”), or a series of Advance Notices, each with an Advance Date on or before the applicable Installment Date, or any combination of (i) or (ii) as determined by the Company. In respect of any Installment Amount, or portion thereof, to be repaid by the Company in cash, the Company shall pay such Installment Amount to the Holder by wire transfer of immediately available funds in cash on or before such Installment Date. If the Company elects (or is deemed to have elected, as set forth below) an Advance Repayment in accordance with this Section for all or a portion of an Installment Amount, then the Company shall deliver an Advance Notice to the Holder in accordance with the terms and conditions of the SEPA, that will have an Advance Date on or before the applicable Installment Date. Upon the closing of such Advance Notice in accordance with the SEPA, the Holder shall offset the amount due to be paid by the Holder to the Company under the SEPA against an equal amount of the Installment Amount to be paid by the Advance Repayment. If, on the Installment Date any portion of the Installment Amount remains unpaid, the Company shall repay such outstanding Payment Amount as a cash repayment in accordance with this Section.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so long as this Debenture is outstanding, subject to the provisions of Section 4(j)(iii) of the Securities Purchase Agreement, or unless otherwise agreed by the Holder, if the Company delivers an Advance Notice under the SEPA, the Company shall be deemed to have elected an Advance Repayment in respect of such Advance Notice up to the Installment Amount due on</w:t>
      </w:r>
    </w:p>
    <w:p>
      <w:pPr>
        <w:sectPr>
          <w:pgSz w:w="11900" w:h="16838" w:orient="portrait"/>
          <w:cols w:equalWidth="0" w:num="1">
            <w:col w:w="11240"/>
          </w:cols>
          <w:pgMar w:left="320" w:top="1422"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22"/>
          <w:szCs w:val="22"/>
          <w:color w:val="auto"/>
        </w:rPr>
        <w:t>such upcoming Installment Date, or subsequent Installment Dates, until this Debenture is fully repaid. Any conversion of this Debenture made by the Holder shall have the effect of reducing the amount due on any Installment Date (i) first, with respect to the amount due on the next Installment Date, and (ii) second, in reverse chronological order, starting with the last Installment Date in time, by the amount of such conversion.</w:t>
      </w:r>
    </w:p>
    <w:p>
      <w:pPr>
        <w:spacing w:after="0" w:line="176" w:lineRule="exact"/>
        <w:rPr>
          <w:sz w:val="20"/>
          <w:szCs w:val="20"/>
          <w:color w:val="auto"/>
        </w:rPr>
      </w:pPr>
    </w:p>
    <w:p>
      <w:pPr>
        <w:jc w:val="both"/>
        <w:ind w:firstLine="1952"/>
        <w:spacing w:after="0" w:line="242" w:lineRule="auto"/>
        <w:tabs>
          <w:tab w:leader="none" w:pos="253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The Company at its option shall have the right, but not the obligation, to redeem (“</w:t>
      </w: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xml:space="preserve">”) early all amounts outstanding under this Debenture as described in this Section;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provides the Holder with written notice (each, a “</w:t>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of its desire to exercise an Optional Redemption, which Redemption Notice (i) shall be delivered to the Holder after the close of regular trading hours on a Trading Day, and (ii) may only be given if the VWAP of the Common Shares was less than the Conversion Price on the date such Redemption Notice is delivered, unless otherwise agreed by the Holder. Each Redemption Notice shall be irrevocable and shall specify the outstanding balance of the Debenture to be redeemed and the Redemption Amount. The “</w:t>
      </w:r>
      <w:r>
        <w:rPr>
          <w:rFonts w:ascii="Times New Roman" w:cs="Times New Roman" w:eastAsia="Times New Roman" w:hAnsi="Times New Roman"/>
          <w:sz w:val="22"/>
          <w:szCs w:val="22"/>
          <w:u w:val="single" w:color="auto"/>
          <w:color w:val="auto"/>
        </w:rPr>
        <w:t>Redemption Amount</w:t>
      </w:r>
      <w:r>
        <w:rPr>
          <w:rFonts w:ascii="Times New Roman" w:cs="Times New Roman" w:eastAsia="Times New Roman" w:hAnsi="Times New Roman"/>
          <w:sz w:val="22"/>
          <w:szCs w:val="22"/>
          <w:color w:val="auto"/>
        </w:rPr>
        <w:t xml:space="preserve">” shall be an amount equal to (a) the outstanding Principal balance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Redemption Premium in respect of such Principal balance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all accrued and unpaid interest hereunder as of the date of such redemption. After receipt of a Redemption Notice, the Holder shall have ten (10) Trading Days (beginning with the Trading Day immediately following the date such Redemption Notice is delivered to the Holder in accordance with this term of this Section 1(d)) to elect to convert all or any portion of this Debenture. On the eleventh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Trading Day following the delivery of the applicable Redemption Notice, the Company shall deliver to the Holder the Redemption Amount with respect to the Principal amount redeemed to the extent not converted and otherwise after giving effect to conversions or other payments made during such ten (10) Trading Day period.</w:t>
      </w:r>
    </w:p>
    <w:p>
      <w:pPr>
        <w:spacing w:after="0" w:line="193" w:lineRule="exact"/>
        <w:rPr>
          <w:rFonts w:ascii="Times New Roman" w:cs="Times New Roman" w:eastAsia="Times New Roman" w:hAnsi="Times New Roman"/>
          <w:sz w:val="22"/>
          <w:szCs w:val="22"/>
          <w:color w:val="auto"/>
        </w:rPr>
      </w:pPr>
    </w:p>
    <w:p>
      <w:pPr>
        <w:ind w:right="20" w:firstLine="1952"/>
        <w:spacing w:after="0" w:line="284" w:lineRule="auto"/>
        <w:tabs>
          <w:tab w:leader="none" w:pos="242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specifically set forth in this Debenture, the Company shall not have the ability to make any early repayments without the consent of or at the request of the Holder.</w:t>
      </w:r>
    </w:p>
    <w:p>
      <w:pPr>
        <w:spacing w:after="0" w:line="143" w:lineRule="exact"/>
        <w:rPr>
          <w:rFonts w:ascii="Times New Roman" w:cs="Times New Roman" w:eastAsia="Times New Roman" w:hAnsi="Times New Roman"/>
          <w:sz w:val="22"/>
          <w:szCs w:val="22"/>
          <w:color w:val="auto"/>
        </w:rPr>
      </w:pPr>
    </w:p>
    <w:p>
      <w:pPr>
        <w:ind w:firstLine="1952"/>
        <w:spacing w:after="0" w:line="271" w:lineRule="auto"/>
        <w:tabs>
          <w:tab w:leader="none" w:pos="237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Whenever any payment or other obligation hereunder shall be due on a day other than a Business Day, such payment shall be made on the next succeeding Business Day.</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4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spacing w:after="0" w:line="167" w:lineRule="exact"/>
        <w:rPr>
          <w:rFonts w:ascii="Times New Roman" w:cs="Times New Roman" w:eastAsia="Times New Roman" w:hAnsi="Times New Roman"/>
          <w:sz w:val="22"/>
          <w:szCs w:val="22"/>
          <w:color w:val="auto"/>
        </w:rPr>
      </w:pPr>
    </w:p>
    <w:p>
      <w:pPr>
        <w:jc w:val="both"/>
        <w:ind w:firstLine="2600"/>
        <w:spacing w:after="0" w:line="257" w:lineRule="auto"/>
        <w:tabs>
          <w:tab w:leader="none" w:pos="3091"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pay to the Holder any amount of Principal, Redemption Amount, Payment Premium, Interest, or other amounts when and as due under this Debenture or any other Transaction Document within seven (7) Trading Days after such payment is due;</w:t>
      </w:r>
    </w:p>
    <w:p>
      <w:pPr>
        <w:sectPr>
          <w:pgSz w:w="11900" w:h="16838" w:orient="portrait"/>
          <w:cols w:equalWidth="0" w:num="1">
            <w:col w:w="11240"/>
          </w:cols>
          <w:pgMar w:left="320" w:top="1422" w:right="339" w:bottom="1440" w:gutter="0" w:footer="0" w:header="0"/>
        </w:sectPr>
      </w:pPr>
    </w:p>
    <w:bookmarkStart w:id="7" w:name="page8"/>
    <w:bookmarkEnd w:id="7"/>
    <w:p>
      <w:pPr>
        <w:jc w:val="both"/>
        <w:ind w:left="-8" w:firstLine="2600"/>
        <w:spacing w:after="0" w:line="262" w:lineRule="auto"/>
        <w:tabs>
          <w:tab w:leader="none" w:pos="3121"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Company shall commence, or there shall be commenced against the Company, any proceeding under any applicable bankruptcy or insolvency laws as now or hereafter in effect or any successor thereto, or the Company commences any other proceeding under any reorganization, arrangement, adjustment of debt, relief of debtors, dissolution, insolvency or liquidation or similar law of any jurisdiction whether now or hereafter in effect relating to the Company, in any such bankruptcy, insolvency or other proceeding which remains undismissed for a period of sixty one (61) days;</w:t>
      </w:r>
    </w:p>
    <w:p>
      <w:pPr>
        <w:spacing w:after="0" w:line="1" w:lineRule="exact"/>
        <w:rPr>
          <w:rFonts w:ascii="Times New Roman" w:cs="Times New Roman" w:eastAsia="Times New Roman" w:hAnsi="Times New Roman"/>
          <w:sz w:val="21"/>
          <w:szCs w:val="21"/>
          <w:color w:val="auto"/>
        </w:rPr>
      </w:pPr>
    </w:p>
    <w:p>
      <w:pPr>
        <w:jc w:val="both"/>
        <w:ind w:left="-8" w:firstLine="8"/>
        <w:spacing w:after="0" w:line="246" w:lineRule="auto"/>
        <w:tabs>
          <w:tab w:leader="none" w:pos="37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adjudicated insolvent or bankrupt; (C) any order of relief or other order approving any such case or proceeding is entered; (D) the Company suffers any appointment of any custodian, private or court appointed receiver or the like for it or all or substantially all of its property which continues undischarged or unstayed for a period of sixty one (61) days; (E) the Company makes a general assignment of all or substantially all of its assets for the benefit of creditors; (F) the Company shall fail to pay its debts generally as they become due; or (G) any corporate or other action is taken by the Company for the purpose of effecting any of the foregoing;</w:t>
      </w:r>
    </w:p>
    <w:p>
      <w:pPr>
        <w:spacing w:after="0" w:line="188" w:lineRule="exact"/>
        <w:rPr>
          <w:rFonts w:ascii="Times New Roman" w:cs="Times New Roman" w:eastAsia="Times New Roman" w:hAnsi="Times New Roman"/>
          <w:sz w:val="22"/>
          <w:szCs w:val="22"/>
          <w:color w:val="auto"/>
        </w:rPr>
      </w:pPr>
    </w:p>
    <w:p>
      <w:pPr>
        <w:jc w:val="both"/>
        <w:ind w:left="-8" w:firstLine="2600"/>
        <w:spacing w:after="0" w:line="248" w:lineRule="auto"/>
        <w:tabs>
          <w:tab w:leader="none" w:pos="3209"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default in any of its obligations under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in an amount exceeding $500,000 (other than obligations under this Debenture or any other Transaction Document), whether such indebtedness now exists or shall hereafter be created and such default is not cured within the time prescribed by the documents governing such indebtedness, and as a result, such indebtedness becomes or is declared due and payable; provided, however, in no event shall this provision apply to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by and between the Company and any Subsidiary of the Company with an aggregate outstanding principal amount not exceeding $1,000,000;</w:t>
      </w:r>
    </w:p>
    <w:p>
      <w:pPr>
        <w:spacing w:after="0" w:line="188" w:lineRule="exact"/>
        <w:rPr>
          <w:rFonts w:ascii="Times New Roman" w:cs="Times New Roman" w:eastAsia="Times New Roman" w:hAnsi="Times New Roman"/>
          <w:sz w:val="22"/>
          <w:szCs w:val="22"/>
          <w:color w:val="auto"/>
        </w:rPr>
      </w:pPr>
    </w:p>
    <w:p>
      <w:pPr>
        <w:jc w:val="both"/>
        <w:ind w:left="-8" w:firstLine="2600"/>
        <w:spacing w:after="0" w:line="249" w:lineRule="auto"/>
        <w:tabs>
          <w:tab w:leader="none" w:pos="317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judgment or judgments for the payment of money singularly or in the aggregate in excess of $500,000 are rendered against the Company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will receive the proceeds of such insurance or indemnity within thirty (30) days of the issuance of such judgment;</w:t>
      </w:r>
    </w:p>
    <w:p>
      <w:pPr>
        <w:sectPr>
          <w:pgSz w:w="11900" w:h="16838" w:orient="portrait"/>
          <w:cols w:equalWidth="0" w:num="1">
            <w:col w:w="11232"/>
          </w:cols>
          <w:pgMar w:left="328" w:top="1422" w:right="339" w:bottom="1440" w:gutter="0" w:footer="0" w:header="0"/>
        </w:sectPr>
      </w:pPr>
    </w:p>
    <w:bookmarkStart w:id="8" w:name="page9"/>
    <w:bookmarkEnd w:id="8"/>
    <w:p>
      <w:pPr>
        <w:ind w:left="-1120" w:firstLine="2600"/>
        <w:spacing w:after="0" w:line="271" w:lineRule="auto"/>
        <w:tabs>
          <w:tab w:leader="none" w:pos="206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shall cease to be quoted or listed for trading, as applicable, on any Principal Market for a period of ten (10) consecutive Trading Days;</w:t>
      </w:r>
    </w:p>
    <w:p>
      <w:pPr>
        <w:spacing w:after="0" w:line="157" w:lineRule="exact"/>
        <w:rPr>
          <w:rFonts w:ascii="Times New Roman" w:cs="Times New Roman" w:eastAsia="Times New Roman" w:hAnsi="Times New Roman"/>
          <w:sz w:val="22"/>
          <w:szCs w:val="22"/>
          <w:color w:val="auto"/>
        </w:rPr>
      </w:pPr>
    </w:p>
    <w:p>
      <w:pPr>
        <w:ind w:left="-1120" w:firstLine="2600"/>
        <w:spacing w:after="0" w:line="284" w:lineRule="auto"/>
        <w:tabs>
          <w:tab w:leader="none" w:pos="20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a party to any Change of Control Transaction unless in connection with such Change of Control Transaction this Debenture is redeemed or retired;</w:t>
      </w:r>
    </w:p>
    <w:p>
      <w:pPr>
        <w:spacing w:after="0" w:line="143" w:lineRule="exact"/>
        <w:rPr>
          <w:rFonts w:ascii="Times New Roman" w:cs="Times New Roman" w:eastAsia="Times New Roman" w:hAnsi="Times New Roman"/>
          <w:sz w:val="22"/>
          <w:szCs w:val="22"/>
          <w:color w:val="auto"/>
        </w:rPr>
      </w:pPr>
    </w:p>
    <w:p>
      <w:pPr>
        <w:jc w:val="both"/>
        <w:ind w:left="-1120" w:firstLine="2600"/>
        <w:spacing w:after="0" w:line="253" w:lineRule="auto"/>
        <w:tabs>
          <w:tab w:leader="none" w:pos="20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 failure to deliver the required number of Common Shares to the Holder within three (3) Trading Days after the applicable Share Delivery Date, which failure is not a result of any action or inaction of the Holder, or (B) notice, written or oral, to any holder of the Debenture, including by way of public announcement, at any time, of its intention not to comply with a request for conversion of all or a portion of this Debenture into Common Shares that is tendered in accordance with the provisions of this Debenture;</w:t>
      </w:r>
    </w:p>
    <w:p>
      <w:pPr>
        <w:spacing w:after="0" w:line="178" w:lineRule="exact"/>
        <w:rPr>
          <w:rFonts w:ascii="Times New Roman" w:cs="Times New Roman" w:eastAsia="Times New Roman" w:hAnsi="Times New Roman"/>
          <w:sz w:val="22"/>
          <w:szCs w:val="22"/>
          <w:color w:val="auto"/>
        </w:rPr>
      </w:pPr>
    </w:p>
    <w:p>
      <w:pPr>
        <w:ind w:left="-1120" w:right="20" w:firstLine="2600"/>
        <w:spacing w:after="0" w:line="271" w:lineRule="auto"/>
        <w:tabs>
          <w:tab w:leader="none" w:pos="215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fail for any reason to deliver the payment in cash pursuant to a Buy-In (as defined below) within five (5) Business Days after such payment is due;</w:t>
      </w:r>
    </w:p>
    <w:p>
      <w:pPr>
        <w:spacing w:after="0" w:line="157" w:lineRule="exact"/>
        <w:rPr>
          <w:rFonts w:ascii="Times New Roman" w:cs="Times New Roman" w:eastAsia="Times New Roman" w:hAnsi="Times New Roman"/>
          <w:sz w:val="22"/>
          <w:szCs w:val="22"/>
          <w:color w:val="auto"/>
        </w:rPr>
      </w:pPr>
    </w:p>
    <w:p>
      <w:pPr>
        <w:jc w:val="both"/>
        <w:ind w:left="-1120" w:firstLine="2600"/>
        <w:spacing w:after="0" w:line="256" w:lineRule="auto"/>
        <w:tabs>
          <w:tab w:leader="none" w:pos="199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timely file with the Commission any Periodic Report in accordance with the laws and regulations of the Commission for the filing thereof on or before the due date of such filing as established by the Commission, it being understood, for the avoidance of doubt, that due date includes any permitted filing deadline extension under Rule 12b-25 under the Exchange Act;</w:t>
      </w:r>
    </w:p>
    <w:p>
      <w:pPr>
        <w:spacing w:after="0" w:line="176" w:lineRule="exact"/>
        <w:rPr>
          <w:rFonts w:ascii="Times New Roman" w:cs="Times New Roman" w:eastAsia="Times New Roman" w:hAnsi="Times New Roman"/>
          <w:sz w:val="22"/>
          <w:szCs w:val="22"/>
          <w:color w:val="auto"/>
        </w:rPr>
      </w:pPr>
    </w:p>
    <w:p>
      <w:pPr>
        <w:jc w:val="both"/>
        <w:ind w:left="-1120" w:firstLine="2600"/>
        <w:spacing w:after="0" w:line="252" w:lineRule="auto"/>
        <w:tabs>
          <w:tab w:leader="none" w:pos="196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a materiality, such representation or warranty shall prove to have been incorrect) when made or deemed made;</w:t>
      </w:r>
    </w:p>
    <w:p>
      <w:pPr>
        <w:spacing w:after="0" w:line="192" w:lineRule="exact"/>
        <w:rPr>
          <w:rFonts w:ascii="Times New Roman" w:cs="Times New Roman" w:eastAsia="Times New Roman" w:hAnsi="Times New Roman"/>
          <w:sz w:val="22"/>
          <w:szCs w:val="22"/>
          <w:color w:val="auto"/>
        </w:rPr>
      </w:pPr>
    </w:p>
    <w:p>
      <w:pPr>
        <w:jc w:val="both"/>
        <w:ind w:left="-1120" w:firstLine="2600"/>
        <w:spacing w:after="0" w:line="250" w:lineRule="auto"/>
        <w:tabs>
          <w:tab w:leader="none" w:pos="2155"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uses the proceeds of the issuance of this Debenture,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spacing w:after="0" w:line="194" w:lineRule="exact"/>
        <w:rPr>
          <w:rFonts w:ascii="Times New Roman" w:cs="Times New Roman" w:eastAsia="Times New Roman" w:hAnsi="Times New Roman"/>
          <w:sz w:val="22"/>
          <w:szCs w:val="22"/>
          <w:color w:val="auto"/>
        </w:rPr>
      </w:pPr>
    </w:p>
    <w:p>
      <w:pPr>
        <w:ind w:left="-1120" w:right="20" w:firstLine="2600"/>
        <w:spacing w:after="0" w:line="271" w:lineRule="auto"/>
        <w:tabs>
          <w:tab w:leader="none" w:pos="209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(as defined in the Other Debentures or in any Transaction Document other than this Debenture) occurs with respect to any Other Debentures.</w:t>
      </w:r>
    </w:p>
    <w:p>
      <w:pPr>
        <w:spacing w:after="0" w:line="157" w:lineRule="exact"/>
        <w:rPr>
          <w:rFonts w:ascii="Times New Roman" w:cs="Times New Roman" w:eastAsia="Times New Roman" w:hAnsi="Times New Roman"/>
          <w:sz w:val="22"/>
          <w:szCs w:val="22"/>
          <w:color w:val="auto"/>
        </w:rPr>
      </w:pPr>
    </w:p>
    <w:p>
      <w:pPr>
        <w:jc w:val="both"/>
        <w:ind w:left="-1120" w:firstLine="1952"/>
        <w:spacing w:after="0" w:line="257" w:lineRule="auto"/>
        <w:tabs>
          <w:tab w:leader="none" w:pos="14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time that any portion of this Debenture is outstanding, if any Event of Default has occurred and is continuing (other than an event with respect to the Company described in Section (2)(a)(ii)), the full unpaid Principal amount of this Debenture,</w:t>
      </w:r>
    </w:p>
    <w:p>
      <w:pPr>
        <w:sectPr>
          <w:pgSz w:w="11900" w:h="16838" w:orient="portrait"/>
          <w:cols w:equalWidth="0" w:num="1">
            <w:col w:w="10120"/>
          </w:cols>
          <w:pgMar w:left="1440" w:top="1422" w:right="339" w:bottom="1440" w:gutter="0" w:footer="0" w:header="0"/>
        </w:sectPr>
      </w:pPr>
    </w:p>
    <w:bookmarkStart w:id="9" w:name="page10"/>
    <w:bookmarkEnd w:id="9"/>
    <w:p>
      <w:pPr>
        <w:jc w:val="both"/>
        <w:spacing w:after="0" w:line="247" w:lineRule="auto"/>
        <w:rPr>
          <w:sz w:val="20"/>
          <w:szCs w:val="20"/>
          <w:color w:val="auto"/>
        </w:rPr>
      </w:pPr>
      <w:r>
        <w:rPr>
          <w:rFonts w:ascii="Times New Roman" w:cs="Times New Roman" w:eastAsia="Times New Roman" w:hAnsi="Times New Roman"/>
          <w:sz w:val="22"/>
          <w:szCs w:val="22"/>
          <w:color w:val="auto"/>
        </w:rPr>
        <w:t>together with the Payment Premium(s) in respect of the Principal Amount that was due and payable on the date of the Event of Default, and all interest and other amounts owing in respect of this Debenture to the date of acceleration, shall become, at the Holder's election given by notice pursuant to Section (5), immediately due and payable in cash; provided that, in the case of any event with respect to the Company described in Section (2)(a)(ii), the full unpaid Principal amount of this Debenture, together with the Payment Premium(s) in respect of the Principal Amount that was due and payable on the date of the Event of Default, and all accrued and unpaid interest and other amounts owing in respect of this Debenture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Debenture in accordance with Section (3) (and subject to the limitations set out in Section (3)(c)(i) and Section (3)(c)(ii)) at any time after an Event of Default has occurred and is continuing until all amounts outstanding under this Debenture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195" w:lineRule="exact"/>
        <w:rPr>
          <w:sz w:val="20"/>
          <w:szCs w:val="20"/>
          <w:color w:val="auto"/>
        </w:rPr>
      </w:pPr>
    </w:p>
    <w:p>
      <w:pPr>
        <w:ind w:firstLine="1304"/>
        <w:spacing w:after="0" w:line="271" w:lineRule="auto"/>
        <w:tabs>
          <w:tab w:leader="none" w:pos="176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DEBENTURE</w:t>
      </w:r>
      <w:r>
        <w:rPr>
          <w:rFonts w:ascii="Times New Roman" w:cs="Times New Roman" w:eastAsia="Times New Roman" w:hAnsi="Times New Roman"/>
          <w:sz w:val="22"/>
          <w:szCs w:val="22"/>
          <w:color w:val="auto"/>
        </w:rPr>
        <w:t>. This Debenture shall be convertible into Common Shares, on the terms and conditions set forth in this Section (3).</w:t>
      </w:r>
    </w:p>
    <w:p>
      <w:pPr>
        <w:spacing w:after="0" w:line="15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8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Right</w:t>
      </w:r>
      <w:r>
        <w:rPr>
          <w:rFonts w:ascii="Times New Roman" w:cs="Times New Roman" w:eastAsia="Times New Roman" w:hAnsi="Times New Roman"/>
          <w:sz w:val="22"/>
          <w:szCs w:val="22"/>
          <w:color w:val="auto"/>
        </w:rPr>
        <w:t>.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(4) shall be rounded to the nearest $0.0001. If the issuance would result in the issuance of a fraction of a Common Share, the Company shall round such fraction of a Common Share up to the nearest whole share. The Company shall pay any and all transfer, stamp and similar taxes that may be payable with respect to the issuance and delivery of Common Shares upon conversion of any Conversion Amount.</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Conversion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00"/>
        <w:spacing w:after="0" w:line="256" w:lineRule="auto"/>
        <w:tabs>
          <w:tab w:leader="none" w:pos="3012"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To convert any Conversion Amount into Common Shares on any date (a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22"/>
          <w:szCs w:val="22"/>
          <w:u w:val="single" w:color="auto"/>
          <w:color w:val="auto"/>
        </w:rPr>
        <w:t>Exhibit II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to the Company and (B) if required by Section (3)(b)(iii), surrender this Debenture to a</w:t>
      </w:r>
    </w:p>
    <w:p>
      <w:pPr>
        <w:sectPr>
          <w:pgSz w:w="11900" w:h="16838" w:orient="portrait"/>
          <w:cols w:equalWidth="0" w:num="1">
            <w:col w:w="11240"/>
          </w:cols>
          <w:pgMar w:left="320" w:top="1422" w:right="339" w:bottom="1440" w:gutter="0" w:footer="0" w:header="0"/>
        </w:sectPr>
      </w:pPr>
    </w:p>
    <w:bookmarkStart w:id="10" w:name="page11"/>
    <w:bookmarkEnd w:id="10"/>
    <w:p>
      <w:pPr>
        <w:jc w:val="both"/>
        <w:spacing w:after="0" w:line="260" w:lineRule="auto"/>
        <w:rPr>
          <w:sz w:val="20"/>
          <w:szCs w:val="20"/>
          <w:color w:val="auto"/>
        </w:rPr>
      </w:pPr>
      <w:r>
        <w:rPr>
          <w:rFonts w:ascii="Times New Roman" w:cs="Times New Roman" w:eastAsia="Times New Roman" w:hAnsi="Times New Roman"/>
          <w:sz w:val="21"/>
          <w:szCs w:val="21"/>
          <w:color w:val="auto"/>
        </w:rPr>
        <w:t>nationally recognized overnight delivery service for delivery to the Company (or an indemnification undertaking reasonably satisfactory to the Company with respect to this Debenture in the case of its loss, theft or destruction). On or before the first (1st) Trading Day following the date of receipt of a Conversion Notice (the "</w:t>
      </w:r>
      <w:r>
        <w:rPr>
          <w:rFonts w:ascii="Times New Roman" w:cs="Times New Roman" w:eastAsia="Times New Roman" w:hAnsi="Times New Roman"/>
          <w:sz w:val="21"/>
          <w:szCs w:val="21"/>
          <w:u w:val="single" w:color="auto"/>
          <w:color w:val="auto"/>
        </w:rPr>
        <w:t>Share Delivery Date</w:t>
      </w:r>
      <w:r>
        <w:rPr>
          <w:rFonts w:ascii="Times New Roman" w:cs="Times New Roman" w:eastAsia="Times New Roman" w:hAnsi="Times New Roman"/>
          <w:sz w:val="21"/>
          <w:szCs w:val="21"/>
          <w:color w:val="auto"/>
        </w:rPr>
        <w:t>"), the Company shall (X) if legends are not required to be placed on certificates or the book-entry position of the Common Shares and provided that the Company’s transfer agent (the “</w:t>
      </w: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is participating in the Depository Trust Company's ("</w:t>
      </w:r>
      <w:r>
        <w:rPr>
          <w:rFonts w:ascii="Times New Roman" w:cs="Times New Roman" w:eastAsia="Times New Roman" w:hAnsi="Times New Roman"/>
          <w:sz w:val="21"/>
          <w:szCs w:val="21"/>
          <w:u w:val="single" w:color="auto"/>
          <w:color w:val="auto"/>
        </w:rPr>
        <w:t>DTC</w:t>
      </w:r>
      <w:r>
        <w:rPr>
          <w:rFonts w:ascii="Times New Roman" w:cs="Times New Roman" w:eastAsia="Times New Roman" w:hAnsi="Times New Roman"/>
          <w:sz w:val="21"/>
          <w:szCs w:val="21"/>
          <w:color w:val="auto"/>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w:t>
      </w:r>
    </w:p>
    <w:p>
      <w:pPr>
        <w:spacing w:after="0" w:line="2" w:lineRule="exact"/>
        <w:rPr>
          <w:sz w:val="20"/>
          <w:szCs w:val="20"/>
          <w:color w:val="auto"/>
        </w:rPr>
      </w:pPr>
    </w:p>
    <w:p>
      <w:pPr>
        <w:jc w:val="both"/>
        <w:ind w:firstLine="8"/>
        <w:spacing w:after="0" w:line="261" w:lineRule="auto"/>
        <w:tabs>
          <w:tab w:leader="none" w:pos="37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Common Shares issuable upon a conversion of this Debenture shall be treated for all purposes as the record holder or holders of such Common Shares upon the transmission of a Conversion Notice.</w:t>
      </w:r>
    </w:p>
    <w:p>
      <w:pPr>
        <w:spacing w:after="0" w:line="170" w:lineRule="exact"/>
        <w:rPr>
          <w:rFonts w:ascii="Times New Roman" w:cs="Times New Roman" w:eastAsia="Times New Roman" w:hAnsi="Times New Roman"/>
          <w:sz w:val="21"/>
          <w:szCs w:val="21"/>
          <w:color w:val="auto"/>
        </w:rPr>
      </w:pPr>
    </w:p>
    <w:p>
      <w:pPr>
        <w:jc w:val="both"/>
        <w:ind w:firstLine="2600"/>
        <w:spacing w:after="0" w:line="247" w:lineRule="auto"/>
        <w:tabs>
          <w:tab w:leader="none" w:pos="316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Failure to Timely Convert</w:t>
      </w:r>
      <w:r>
        <w:rPr>
          <w:rFonts w:ascii="Times New Roman" w:cs="Times New Roman" w:eastAsia="Times New Roman" w:hAnsi="Times New Roman"/>
          <w:sz w:val="22"/>
          <w:szCs w:val="22"/>
          <w:color w:val="auto"/>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 "</w:t>
      </w:r>
      <w:r>
        <w:rPr>
          <w:rFonts w:ascii="Times New Roman" w:cs="Times New Roman" w:eastAsia="Times New Roman" w:hAnsi="Times New Roman"/>
          <w:sz w:val="22"/>
          <w:szCs w:val="22"/>
          <w:u w:val="single" w:color="auto"/>
          <w:color w:val="auto"/>
        </w:rPr>
        <w:t>Conversion Failure</w:t>
      </w:r>
      <w:r>
        <w:rPr>
          <w:rFonts w:ascii="Times New Roman" w:cs="Times New Roman" w:eastAsia="Times New Roman" w:hAnsi="Times New Roman"/>
          <w:sz w:val="22"/>
          <w:szCs w:val="22"/>
          <w:color w:val="auto"/>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(B) the Closing Price on the Conversion Date.</w:t>
      </w:r>
    </w:p>
    <w:p>
      <w:pPr>
        <w:spacing w:after="0" w:line="192" w:lineRule="exact"/>
        <w:rPr>
          <w:rFonts w:ascii="Times New Roman" w:cs="Times New Roman" w:eastAsia="Times New Roman" w:hAnsi="Times New Roman"/>
          <w:sz w:val="22"/>
          <w:szCs w:val="22"/>
          <w:color w:val="auto"/>
        </w:rPr>
      </w:pPr>
    </w:p>
    <w:p>
      <w:pPr>
        <w:jc w:val="both"/>
        <w:ind w:firstLine="2600"/>
        <w:spacing w:after="0" w:line="256" w:lineRule="auto"/>
        <w:tabs>
          <w:tab w:leader="none" w:pos="319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Book-Entry</w:t>
      </w:r>
      <w:r>
        <w:rPr>
          <w:rFonts w:ascii="Times New Roman" w:cs="Times New Roman" w:eastAsia="Times New Roman" w:hAnsi="Times New Roman"/>
          <w:sz w:val="22"/>
          <w:szCs w:val="22"/>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w:t>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22"/>
          <w:szCs w:val="22"/>
          <w:color w:val="auto"/>
        </w:rPr>
        <w:t>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any conversion.</w:t>
      </w:r>
    </w:p>
    <w:p>
      <w:pPr>
        <w:spacing w:after="0" w:line="176" w:lineRule="exact"/>
        <w:rPr>
          <w:sz w:val="20"/>
          <w:szCs w:val="20"/>
          <w:color w:val="auto"/>
        </w:rPr>
      </w:pPr>
    </w:p>
    <w:p>
      <w:pPr>
        <w:ind w:left="2400" w:hanging="448"/>
        <w:spacing w:after="0"/>
        <w:tabs>
          <w:tab w:leader="none" w:pos="24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Conversions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00"/>
        <w:spacing w:after="0" w:line="247" w:lineRule="auto"/>
        <w:tabs>
          <w:tab w:leader="none" w:pos="3147"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The Holder shall not have the right to convert any portion of this Debenture to the extent that after giving effect to such conversion, the Holder, together with any affiliate thereof, would beneficially own (as determined in accordance with Section 13(d) of the Exchange Act and the rules promulgated thereunder) in excess of 4.99% of the number of Common Shares outstanding immediately after giving effect to such conversion.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or under the rules and regulations of the Principal Market,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Debenture. The provisions of this Section may be waived by a Holder (but only as to itself and not to any other Holder) upon not less than 65 days prior notice to the Company. Other Holders shall be unaffected by any such waiver.</w:t>
      </w:r>
    </w:p>
    <w:p>
      <w:pPr>
        <w:spacing w:after="0" w:line="187"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000" w:hanging="400"/>
        <w:spacing w:after="0"/>
        <w:tabs>
          <w:tab w:leader="none" w:pos="300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calculations under this Section (3) shall be rounded to the nearest $0.0001 or whole share.</w:t>
      </w:r>
    </w:p>
    <w:p>
      <w:pPr>
        <w:spacing w:after="0" w:line="231" w:lineRule="exact"/>
        <w:rPr>
          <w:rFonts w:ascii="Times New Roman" w:cs="Times New Roman" w:eastAsia="Times New Roman" w:hAnsi="Times New Roman"/>
          <w:sz w:val="21"/>
          <w:szCs w:val="21"/>
          <w:color w:val="auto"/>
        </w:rPr>
      </w:pPr>
    </w:p>
    <w:p>
      <w:pPr>
        <w:jc w:val="both"/>
        <w:ind w:firstLine="2600"/>
        <w:spacing w:after="0" w:line="251" w:lineRule="auto"/>
        <w:tabs>
          <w:tab w:leader="none" w:pos="3145"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this Debenture or any Other Debentures remain outstanding, the Company shall have reserved from its duly authorized share capital, and shall have instructed the Transfer Agent to irrevocably reserve, the maximum number of Common Shares issuable upon conversion of this Debenture and the Other Debentures (assuming for purposes hereof that (x) this Debenture and such Other Debentures are convertible at the Conversion Price as of the date of determination, and (y) any such conversion shall not take into account any limitations on the conversion of the Debenture or Other Debentures set forth herein</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50" w:lineRule="auto"/>
        <w:rPr>
          <w:sz w:val="20"/>
          <w:szCs w:val="20"/>
          <w:color w:val="auto"/>
        </w:rPr>
      </w:pPr>
      <w:r>
        <w:rPr>
          <w:rFonts w:ascii="Times New Roman" w:cs="Times New Roman" w:eastAsia="Times New Roman" w:hAnsi="Times New Roman"/>
          <w:sz w:val="22"/>
          <w:szCs w:val="22"/>
          <w:color w:val="auto"/>
        </w:rPr>
        <w:t>or therein (the “</w:t>
      </w:r>
      <w:r>
        <w:rPr>
          <w:rFonts w:ascii="Times New Roman" w:cs="Times New Roman" w:eastAsia="Times New Roman" w:hAnsi="Times New Roman"/>
          <w:sz w:val="22"/>
          <w:szCs w:val="22"/>
          <w:u w:val="single" w:color="auto"/>
          <w:color w:val="auto"/>
        </w:rPr>
        <w:t>Required Reserve Amount</w:t>
      </w:r>
      <w:r>
        <w:rPr>
          <w:rFonts w:ascii="Times New Roman" w:cs="Times New Roman" w:eastAsia="Times New Roman" w:hAnsi="Times New Roman"/>
          <w:sz w:val="22"/>
          <w:szCs w:val="22"/>
          <w:color w:val="auto"/>
        </w:rPr>
        <w:t>”)), provided that at no time shall the number of Common Shares reserved pursuant to this Section (3)(d)(ii) be reduced other than pursuant to the conversion of this Debenture and the Other Debentures in accordance with their terms, and/or cancellation, or reverse stock split. If at any time while this Debenture or any Other Debentures remain outstanding, the Company does not have a sufficient number of authorized and unreserved Common Shares to satisfy its obligations for the conversion of this Debenture, the Company will promptly take all corporate action necessary to propose to a meeting of its stockholders an increase of its authorized share capital necessary to meet the Company's obligations pursuant to this Debenture, and cause its board of directors to recommend to the stockholders that they approve such proposal.</w:t>
      </w:r>
    </w:p>
    <w:p>
      <w:pPr>
        <w:spacing w:after="0" w:line="180" w:lineRule="exact"/>
        <w:rPr>
          <w:sz w:val="20"/>
          <w:szCs w:val="20"/>
          <w:color w:val="auto"/>
        </w:rPr>
      </w:pPr>
    </w:p>
    <w:p>
      <w:pPr>
        <w:jc w:val="both"/>
        <w:ind w:firstLine="2600"/>
        <w:spacing w:after="0" w:line="251" w:lineRule="auto"/>
        <w:tabs>
          <w:tab w:leader="none" w:pos="319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181"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2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provided that the Holder shall provide to the Company and its counsel certificates and letters of representation, if any, that are reasonably required and customary under the circumstances to effect such legend removal. To the extent a legal opinion is not provided (either timely or at all), then the Company agrees to reimburse the Holder for all reasonable costs incurred by the Holder in connection with any legal opinions paid for by the Holder in connection with the removal of such legends in connection with a sale or transfer of the Underlying Shares. The Holder shall notify the Company of any such costs and expenses it incurs that are referred to in this section from time to time and all amounts owed hereunder shall be paid by the Company with reasonable promptness.</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of Conversion Price upon Subdivision or Combination of Common Shares</w:t>
      </w:r>
      <w:r>
        <w:rPr>
          <w:rFonts w:ascii="Times New Roman" w:cs="Times New Roman" w:eastAsia="Times New Roman" w:hAnsi="Times New Roman"/>
          <w:sz w:val="21"/>
          <w:szCs w:val="21"/>
          <w:color w:val="auto"/>
        </w:rPr>
        <w:t>. If the Company, at any time while this Debenture is outstanding, shall (i) pay a 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the Conversion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w:t>
      </w:r>
    </w:p>
    <w:p>
      <w:pPr>
        <w:sectPr>
          <w:pgSz w:w="11900" w:h="16838" w:orient="portrait"/>
          <w:cols w:equalWidth="0" w:num="1">
            <w:col w:w="11240"/>
          </w:cols>
          <w:pgMar w:left="320" w:top="1422" w:right="339" w:bottom="1440" w:gutter="0" w:footer="0" w:header="0"/>
        </w:sectPr>
      </w:pPr>
    </w:p>
    <w:bookmarkStart w:id="13" w:name="page14"/>
    <w:bookmarkEnd w:id="13"/>
    <w:p>
      <w:pPr>
        <w:spacing w:after="0" w:line="271" w:lineRule="auto"/>
        <w:rPr>
          <w:sz w:val="20"/>
          <w:szCs w:val="20"/>
          <w:color w:val="auto"/>
        </w:rPr>
      </w:pPr>
      <w:r>
        <w:rPr>
          <w:rFonts w:ascii="Times New Roman" w:cs="Times New Roman" w:eastAsia="Times New Roman" w:hAnsi="Times New Roman"/>
          <w:sz w:val="22"/>
          <w:szCs w:val="22"/>
          <w:color w:val="auto"/>
        </w:rPr>
        <w:t>receive such dividend or distribution or, in the case of a subdivision, combination or re-classification, and shall become effective immediately after the effective date of such subdivision, combination or re-classification.</w:t>
      </w:r>
    </w:p>
    <w:p>
      <w:pPr>
        <w:spacing w:after="0" w:line="158" w:lineRule="exact"/>
        <w:rPr>
          <w:sz w:val="20"/>
          <w:szCs w:val="20"/>
          <w:color w:val="auto"/>
        </w:rPr>
      </w:pPr>
    </w:p>
    <w:p>
      <w:pPr>
        <w:ind w:left="2380" w:hanging="428"/>
        <w:spacing w:after="0"/>
        <w:tabs>
          <w:tab w:leader="none" w:pos="2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33" w:lineRule="exact"/>
        <w:rPr>
          <w:rFonts w:ascii="Times New Roman" w:cs="Times New Roman" w:eastAsia="Times New Roman" w:hAnsi="Times New Roman"/>
          <w:sz w:val="22"/>
          <w:szCs w:val="22"/>
          <w:color w:val="auto"/>
        </w:rPr>
      </w:pPr>
    </w:p>
    <w:p>
      <w:pPr>
        <w:jc w:val="both"/>
        <w:ind w:firstLine="1952"/>
        <w:spacing w:after="0" w:line="260" w:lineRule="auto"/>
        <w:tabs>
          <w:tab w:leader="none" w:pos="2439"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Corporate Events</w:t>
      </w:r>
      <w:r>
        <w:rPr>
          <w:rFonts w:ascii="Times New Roman" w:cs="Times New Roman" w:eastAsia="Times New Roman" w:hAnsi="Times New Roman"/>
          <w:sz w:val="21"/>
          <w:szCs w:val="21"/>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21"/>
          <w:szCs w:val="21"/>
          <w:u w:val="single" w:color="auto"/>
          <w:color w:val="auto"/>
        </w:rPr>
        <w:t>Corporate Event</w:t>
      </w:r>
      <w:r>
        <w:rPr>
          <w:rFonts w:ascii="Times New Roman" w:cs="Times New Roman" w:eastAsia="Times New Roman" w:hAnsi="Times New Roman"/>
          <w:sz w:val="21"/>
          <w:szCs w:val="21"/>
          <w:color w:val="auto"/>
        </w:rPr>
        <w:t>"), the Company shall make appropriate provision to ensure that the Holder will thereafter have the right to receive upon a conversion of this Debenture,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Debenture)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Debenture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redemption of this Debenture.</w:t>
      </w:r>
    </w:p>
    <w:p>
      <w:pPr>
        <w:spacing w:after="0" w:line="171" w:lineRule="exact"/>
        <w:rPr>
          <w:rFonts w:ascii="Times New Roman" w:cs="Times New Roman" w:eastAsia="Times New Roman" w:hAnsi="Times New Roman"/>
          <w:sz w:val="21"/>
          <w:szCs w:val="21"/>
          <w:color w:val="auto"/>
        </w:rPr>
      </w:pPr>
    </w:p>
    <w:p>
      <w:pPr>
        <w:jc w:val="both"/>
        <w:ind w:firstLine="1952"/>
        <w:spacing w:after="0" w:line="263" w:lineRule="auto"/>
        <w:tabs>
          <w:tab w:leader="none" w:pos="241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Conversion Price is adjusted pursuant to the terms hereof, the Company shall promptly provide the Holder with a written notice setting forth the Conversion Price after such adjustment and setting forth a brief statement of the facts requiring such adjustment.</w:t>
      </w:r>
    </w:p>
    <w:p>
      <w:pPr>
        <w:spacing w:after="0" w:line="167" w:lineRule="exact"/>
        <w:rPr>
          <w:rFonts w:ascii="Times New Roman" w:cs="Times New Roman" w:eastAsia="Times New Roman" w:hAnsi="Times New Roman"/>
          <w:sz w:val="22"/>
          <w:szCs w:val="22"/>
          <w:color w:val="auto"/>
        </w:rPr>
      </w:pPr>
    </w:p>
    <w:p>
      <w:pPr>
        <w:jc w:val="both"/>
        <w:ind w:firstLine="1952"/>
        <w:spacing w:after="0" w:line="261" w:lineRule="auto"/>
        <w:tabs>
          <w:tab w:leader="none" w:pos="2387"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(1) merger or consolidation of the Company with or into another Person, or (2) sale by the Company of substantially all of the assets of the Company in one or a series of related transactions, a Holder shall have the right to convert the aggregate amount of this Debenture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Debenture could have been converted immediately prior to such merger, consolidation or sales would have been entitled.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ectPr>
          <w:pgSz w:w="11900" w:h="16838" w:orient="portrait"/>
          <w:cols w:equalWidth="0" w:num="1">
            <w:col w:w="11240"/>
          </w:cols>
          <w:pgMar w:left="320" w:top="1422" w:right="339" w:bottom="1440" w:gutter="0" w:footer="0" w:header="0"/>
        </w:sectPr>
      </w:pPr>
    </w:p>
    <w:bookmarkStart w:id="14" w:name="page15"/>
    <w:bookmarkEnd w:id="14"/>
    <w:p>
      <w:pPr>
        <w:ind w:left="660" w:hanging="476"/>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 THIS DEBENTURE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120" w:firstLine="1952"/>
        <w:spacing w:after="0" w:line="264" w:lineRule="auto"/>
        <w:tabs>
          <w:tab w:leader="none" w:pos="1415"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If this Debenture is to be transferred, the Holder shall surrender this Debenture to the Company, whereupon the Company will forthwith issue and deliver upon the order of the Holder a new Debenture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(4)(d)) to the Holder representing the outstanding Principal not being transferred. The Holder and any assignee, by acceptance of this Debenture, acknowledge and agree that, by reason of the provisions of Section (3)(b)(iii) following conversion or redemption of any portion of this Debenture, the outstanding Principal represented by this Debenture may be less than the Principal stated on the face of this Debenture.</w:t>
      </w:r>
    </w:p>
    <w:p>
      <w:pPr>
        <w:spacing w:after="0" w:line="169" w:lineRule="exact"/>
        <w:rPr>
          <w:rFonts w:ascii="Times New Roman" w:cs="Times New Roman" w:eastAsia="Times New Roman" w:hAnsi="Times New Roman"/>
          <w:sz w:val="21"/>
          <w:szCs w:val="21"/>
          <w:color w:val="auto"/>
        </w:rPr>
      </w:pPr>
    </w:p>
    <w:p>
      <w:pPr>
        <w:jc w:val="both"/>
        <w:ind w:left="-1120" w:firstLine="1952"/>
        <w:spacing w:after="0" w:line="250" w:lineRule="auto"/>
        <w:tabs>
          <w:tab w:leader="none" w:pos="152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Lost, Stolen or Mutilated Debenture</w:t>
      </w:r>
      <w:r>
        <w:rPr>
          <w:rFonts w:ascii="Times New Roman" w:cs="Times New Roman" w:eastAsia="Times New Roman" w:hAnsi="Times New Roman"/>
          <w:sz w:val="22"/>
          <w:szCs w:val="22"/>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substance and, in the case of mutilation, upon surrender and cancellation of this Debenture, the Company shall execute and deliver to the Holder a new Debenture (in accordance with Section (4)(d)) representing the outstanding Principal.</w:t>
      </w:r>
    </w:p>
    <w:p>
      <w:pPr>
        <w:spacing w:after="0" w:line="194" w:lineRule="exact"/>
        <w:rPr>
          <w:rFonts w:ascii="Times New Roman" w:cs="Times New Roman" w:eastAsia="Times New Roman" w:hAnsi="Times New Roman"/>
          <w:sz w:val="22"/>
          <w:szCs w:val="22"/>
          <w:color w:val="auto"/>
        </w:rPr>
      </w:pPr>
    </w:p>
    <w:p>
      <w:pPr>
        <w:jc w:val="both"/>
        <w:ind w:left="-1120" w:firstLine="1952"/>
        <w:spacing w:after="0" w:line="252" w:lineRule="auto"/>
        <w:tabs>
          <w:tab w:leader="none" w:pos="138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Debenture Exchangeable for Different Denominations</w:t>
      </w:r>
      <w:r>
        <w:rPr>
          <w:rFonts w:ascii="Times New Roman" w:cs="Times New Roman" w:eastAsia="Times New Roman" w:hAnsi="Times New Roman"/>
          <w:sz w:val="22"/>
          <w:szCs w:val="22"/>
          <w:color w:val="auto"/>
        </w:rPr>
        <w:t>. This Debenture is exchangeable, upon the surrender hereof by the Holder at the principal office of the Company, for a new Debenture or Debentures (in accordance with Section (4)(d)) representing in the aggregate the outstanding Principal of this Debenture, and each such new Debenture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22"/>
          <w:szCs w:val="22"/>
          <w:color w:val="auto"/>
        </w:rPr>
      </w:pPr>
    </w:p>
    <w:p>
      <w:pPr>
        <w:jc w:val="both"/>
        <w:ind w:left="-1120" w:firstLine="1952"/>
        <w:spacing w:after="0" w:line="250" w:lineRule="auto"/>
        <w:tabs>
          <w:tab w:leader="none" w:pos="131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New Debentures</w:t>
      </w:r>
      <w:r>
        <w:rPr>
          <w:rFonts w:ascii="Times New Roman" w:cs="Times New Roman" w:eastAsia="Times New Roman" w:hAnsi="Times New Roman"/>
          <w:sz w:val="22"/>
          <w:szCs w:val="22"/>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(4)(a) or Section (4)(c),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spacing w:after="0" w:line="186"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73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w:t>
      </w:r>
    </w:p>
    <w:p>
      <w:pPr>
        <w:sectPr>
          <w:pgSz w:w="11900" w:h="16838" w:orient="portrait"/>
          <w:cols w:equalWidth="0" w:num="1">
            <w:col w:w="10120"/>
          </w:cols>
          <w:pgMar w:left="1440" w:top="1422" w:right="339" w:bottom="1440" w:gutter="0" w:footer="0" w:header="0"/>
        </w:sectPr>
      </w:pPr>
    </w:p>
    <w:bookmarkStart w:id="15" w:name="page16"/>
    <w:bookmarkEnd w:id="15"/>
    <w:p>
      <w:pPr>
        <w:jc w:val="both"/>
        <w:spacing w:after="0" w:line="271" w:lineRule="auto"/>
        <w:rPr>
          <w:sz w:val="20"/>
          <w:szCs w:val="20"/>
          <w:color w:val="auto"/>
        </w:rPr>
      </w:pPr>
      <w:r>
        <w:rPr>
          <w:rFonts w:ascii="Times New Roman" w:cs="Times New Roman" w:eastAsia="Times New Roman" w:hAnsi="Times New Roman"/>
          <w:sz w:val="22"/>
          <w:szCs w:val="22"/>
          <w:color w:val="auto"/>
        </w:rPr>
        <w:t>foregoing clauses (i), (ii) and (iii), properly addressed to the party to receive the same. The addresses and email­ addresses for such communications shall be:</w:t>
      </w:r>
    </w:p>
    <w:p>
      <w:pPr>
        <w:spacing w:after="0" w:line="200" w:lineRule="exact"/>
        <w:rPr>
          <w:sz w:val="20"/>
          <w:szCs w:val="20"/>
          <w:color w:val="auto"/>
        </w:r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 to:</w:t>
            </w: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INNVENTURE, INC.</w:t>
            </w:r>
          </w:p>
        </w:tc>
      </w:tr>
      <w:tr>
        <w:trPr>
          <w:trHeight w:val="297"/>
        </w:trPr>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120" w:type="dxa"/>
            <w:vAlign w:val="bottom"/>
            <w:gridSpan w:val="2"/>
          </w:tcPr>
          <w:p>
            <w:pPr>
              <w:ind w:left="1820"/>
              <w:spacing w:after="0"/>
              <w:rPr>
                <w:sz w:val="20"/>
                <w:szCs w:val="20"/>
                <w:color w:val="auto"/>
              </w:rPr>
            </w:pPr>
            <w:r>
              <w:rPr>
                <w:rFonts w:ascii="Times New Roman" w:cs="Times New Roman" w:eastAsia="Times New Roman" w:hAnsi="Times New Roman"/>
                <w:sz w:val="22"/>
                <w:szCs w:val="22"/>
                <w:color w:val="auto"/>
                <w:w w:val="97"/>
              </w:rPr>
              <w:t>6900 Tavistock Lakes Blvd, Suite 400</w:t>
            </w:r>
          </w:p>
        </w:tc>
      </w:tr>
      <w:tr>
        <w:trPr>
          <w:trHeight w:val="486"/>
        </w:trPr>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120" w:type="dxa"/>
            <w:vAlign w:val="bottom"/>
            <w:gridSpan w:val="2"/>
          </w:tcPr>
          <w:p>
            <w:pPr>
              <w:ind w:left="1820"/>
              <w:spacing w:after="0"/>
              <w:rPr>
                <w:sz w:val="20"/>
                <w:szCs w:val="20"/>
                <w:color w:val="auto"/>
              </w:rPr>
            </w:pPr>
            <w:r>
              <w:rPr>
                <w:rFonts w:ascii="Times New Roman" w:cs="Times New Roman" w:eastAsia="Times New Roman" w:hAnsi="Times New Roman"/>
                <w:sz w:val="22"/>
                <w:szCs w:val="22"/>
                <w:color w:val="auto"/>
              </w:rPr>
              <w:t>Orlando, FL 32827</w:t>
            </w:r>
          </w:p>
        </w:tc>
      </w:tr>
      <w:tr>
        <w:trPr>
          <w:trHeight w:val="447"/>
        </w:trPr>
        <w:tc>
          <w:tcPr>
            <w:tcW w:w="3680" w:type="dxa"/>
            <w:vAlign w:val="bottom"/>
          </w:tcPr>
          <w:p>
            <w:pPr>
              <w:spacing w:after="0"/>
              <w:rPr>
                <w:sz w:val="24"/>
                <w:szCs w:val="24"/>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Telephone: (610) 996-1767</w:t>
            </w:r>
          </w:p>
        </w:tc>
      </w:tr>
      <w:tr>
        <w:trPr>
          <w:trHeight w:val="256"/>
        </w:trPr>
        <w:tc>
          <w:tcPr>
            <w:tcW w:w="3680" w:type="dxa"/>
            <w:vAlign w:val="bottom"/>
          </w:tcPr>
          <w:p>
            <w:pPr>
              <w:spacing w:after="0"/>
              <w:rPr>
                <w:sz w:val="22"/>
                <w:szCs w:val="22"/>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Attention: Suzanne Niemeyer, General Counsel</w:t>
            </w:r>
          </w:p>
        </w:tc>
      </w:tr>
      <w:tr>
        <w:trPr>
          <w:trHeight w:val="230"/>
        </w:trPr>
        <w:tc>
          <w:tcPr>
            <w:tcW w:w="3680" w:type="dxa"/>
            <w:vAlign w:val="bottom"/>
          </w:tcPr>
          <w:p>
            <w:pPr>
              <w:spacing w:after="0"/>
              <w:rPr>
                <w:sz w:val="19"/>
                <w:szCs w:val="19"/>
                <w:color w:val="auto"/>
              </w:rPr>
            </w:pPr>
          </w:p>
        </w:tc>
        <w:tc>
          <w:tcPr>
            <w:tcW w:w="6200" w:type="dxa"/>
            <w:vAlign w:val="bottom"/>
            <w:gridSpan w:val="3"/>
          </w:tcPr>
          <w:p>
            <w:pPr>
              <w:ind w:left="360"/>
              <w:spacing w:after="0" w:line="230" w:lineRule="exact"/>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color w:val="00006F"/>
              </w:rPr>
              <w:t>legalnotices@innventure.com</w:t>
            </w:r>
          </w:p>
        </w:tc>
      </w:tr>
      <w:tr>
        <w:trPr>
          <w:trHeight w:val="20"/>
        </w:trPr>
        <w:tc>
          <w:tcPr>
            <w:tcW w:w="3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80" w:type="dxa"/>
            <w:vAlign w:val="bottom"/>
            <w:shd w:val="clear" w:color="auto" w:fill="00006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601"/>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 constitute</w:t>
            </w: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Jones Day</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notice) to:</w:t>
            </w: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1221 Peachtree Street, N.E., Suite 400</w:t>
            </w:r>
          </w:p>
        </w:tc>
      </w:tr>
      <w:tr>
        <w:trPr>
          <w:trHeight w:val="256"/>
        </w:trPr>
        <w:tc>
          <w:tcPr>
            <w:tcW w:w="3680" w:type="dxa"/>
            <w:vAlign w:val="bottom"/>
          </w:tcPr>
          <w:p>
            <w:pPr>
              <w:spacing w:after="0"/>
              <w:rPr>
                <w:sz w:val="22"/>
                <w:szCs w:val="22"/>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Atlanta, GA 30361</w:t>
            </w:r>
          </w:p>
        </w:tc>
      </w:tr>
      <w:tr>
        <w:trPr>
          <w:trHeight w:val="257"/>
        </w:trPr>
        <w:tc>
          <w:tcPr>
            <w:tcW w:w="3680" w:type="dxa"/>
            <w:vAlign w:val="bottom"/>
          </w:tcPr>
          <w:p>
            <w:pPr>
              <w:spacing w:after="0"/>
              <w:rPr>
                <w:sz w:val="22"/>
                <w:szCs w:val="22"/>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Telephone: (404) 581-8967</w:t>
            </w:r>
          </w:p>
        </w:tc>
      </w:tr>
      <w:tr>
        <w:trPr>
          <w:trHeight w:val="257"/>
        </w:trPr>
        <w:tc>
          <w:tcPr>
            <w:tcW w:w="3680" w:type="dxa"/>
            <w:vAlign w:val="bottom"/>
          </w:tcPr>
          <w:p>
            <w:pPr>
              <w:spacing w:after="0"/>
              <w:rPr>
                <w:sz w:val="22"/>
                <w:szCs w:val="22"/>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Attention: Joel T. May, Esq.</w:t>
            </w:r>
          </w:p>
        </w:tc>
      </w:tr>
      <w:tr>
        <w:trPr>
          <w:trHeight w:val="282"/>
        </w:trPr>
        <w:tc>
          <w:tcPr>
            <w:tcW w:w="3680" w:type="dxa"/>
            <w:vAlign w:val="bottom"/>
          </w:tcPr>
          <w:p>
            <w:pPr>
              <w:spacing w:after="0"/>
              <w:rPr>
                <w:sz w:val="24"/>
                <w:szCs w:val="24"/>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E-Mail: jtmay@jonesday.com</w:t>
            </w:r>
          </w:p>
        </w:tc>
      </w:tr>
      <w:tr>
        <w:trPr>
          <w:trHeight w:val="770"/>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If to the Holder:</w:t>
            </w: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YA II PN, Ltd</w:t>
            </w:r>
          </w:p>
        </w:tc>
      </w:tr>
      <w:tr>
        <w:trPr>
          <w:trHeight w:val="285"/>
        </w:trPr>
        <w:tc>
          <w:tcPr>
            <w:tcW w:w="3680" w:type="dxa"/>
            <w:vAlign w:val="bottom"/>
          </w:tcPr>
          <w:p>
            <w:pPr>
              <w:spacing w:after="0"/>
              <w:rPr>
                <w:sz w:val="24"/>
                <w:szCs w:val="24"/>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c/o Yorkville Advisors Global, LLC</w:t>
            </w:r>
          </w:p>
        </w:tc>
      </w:tr>
      <w:tr>
        <w:trPr>
          <w:trHeight w:val="270"/>
        </w:trPr>
        <w:tc>
          <w:tcPr>
            <w:tcW w:w="3680" w:type="dxa"/>
            <w:vAlign w:val="bottom"/>
          </w:tcPr>
          <w:p>
            <w:pPr>
              <w:spacing w:after="0"/>
              <w:rPr>
                <w:sz w:val="23"/>
                <w:szCs w:val="23"/>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1012 Springfield Avenue</w:t>
            </w:r>
          </w:p>
        </w:tc>
      </w:tr>
      <w:tr>
        <w:trPr>
          <w:trHeight w:val="270"/>
        </w:trPr>
        <w:tc>
          <w:tcPr>
            <w:tcW w:w="3680" w:type="dxa"/>
            <w:vAlign w:val="bottom"/>
          </w:tcPr>
          <w:p>
            <w:pPr>
              <w:spacing w:after="0"/>
              <w:rPr>
                <w:sz w:val="23"/>
                <w:szCs w:val="23"/>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Mountainside, NJ 07092</w:t>
            </w:r>
          </w:p>
        </w:tc>
      </w:tr>
      <w:tr>
        <w:trPr>
          <w:trHeight w:val="270"/>
        </w:trPr>
        <w:tc>
          <w:tcPr>
            <w:tcW w:w="3680" w:type="dxa"/>
            <w:vAlign w:val="bottom"/>
          </w:tcPr>
          <w:p>
            <w:pPr>
              <w:spacing w:after="0"/>
              <w:rPr>
                <w:sz w:val="23"/>
                <w:szCs w:val="23"/>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Attention: Mark Angelo</w:t>
            </w:r>
          </w:p>
        </w:tc>
      </w:tr>
      <w:tr>
        <w:trPr>
          <w:trHeight w:val="270"/>
        </w:trPr>
        <w:tc>
          <w:tcPr>
            <w:tcW w:w="3680" w:type="dxa"/>
            <w:vAlign w:val="bottom"/>
          </w:tcPr>
          <w:p>
            <w:pPr>
              <w:spacing w:after="0"/>
              <w:rPr>
                <w:sz w:val="23"/>
                <w:szCs w:val="23"/>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Telephone: 201-985-8300</w:t>
            </w:r>
          </w:p>
        </w:tc>
      </w:tr>
      <w:tr>
        <w:trPr>
          <w:trHeight w:val="282"/>
        </w:trPr>
        <w:tc>
          <w:tcPr>
            <w:tcW w:w="3680" w:type="dxa"/>
            <w:vAlign w:val="bottom"/>
          </w:tcPr>
          <w:p>
            <w:pPr>
              <w:spacing w:after="0"/>
              <w:rPr>
                <w:sz w:val="24"/>
                <w:szCs w:val="24"/>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Email: Legal@yorkvilleadvisors.com</w:t>
            </w:r>
          </w:p>
        </w:tc>
      </w:tr>
    </w:tbl>
    <w:p>
      <w:pPr>
        <w:spacing w:after="0" w:line="200" w:lineRule="exact"/>
        <w:rPr>
          <w:sz w:val="20"/>
          <w:szCs w:val="20"/>
          <w:color w:val="auto"/>
        </w:rPr>
      </w:pPr>
    </w:p>
    <w:p>
      <w:pPr>
        <w:spacing w:after="0" w:line="3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spacing w:after="0" w:line="180" w:lineRule="exact"/>
        <w:rPr>
          <w:sz w:val="20"/>
          <w:szCs w:val="20"/>
          <w:color w:val="auto"/>
        </w:rPr>
      </w:pPr>
    </w:p>
    <w:p>
      <w:pPr>
        <w:jc w:val="both"/>
        <w:ind w:firstLine="1304"/>
        <w:spacing w:after="0" w:line="263" w:lineRule="auto"/>
        <w:tabs>
          <w:tab w:leader="none" w:pos="182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no provision of this Debenture shall alter or impair the obligations of the Company, which are absolute and unconditional, to pay the Principal of, Interest and other charges (if any) on, this Debenture at the time, place, and rate,</w:t>
      </w:r>
    </w:p>
    <w:p>
      <w:pPr>
        <w:sectPr>
          <w:pgSz w:w="11900" w:h="16838" w:orient="portrait"/>
          <w:cols w:equalWidth="0" w:num="1">
            <w:col w:w="11240"/>
          </w:cols>
          <w:pgMar w:left="320" w:top="1422"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22"/>
          <w:szCs w:val="22"/>
          <w:color w:val="auto"/>
        </w:rPr>
        <w:t>and in the currency, herein prescribed. This Debenture is a direct obligation of the Company. As long as this Debenture is outstanding, the Company shall not and shall cause each of its subsidiaries not to, without the consent of the Holder, enter into any agreement, arrangement or transaction in or of which the terms thereof would restrict, materially delay, conflict with or impair the ability of the Company to perform its obligations under the this Debenture, including, without limitation, the obligation of the Company to make cash payments hereunder.</w:t>
      </w:r>
    </w:p>
    <w:p>
      <w:pPr>
        <w:spacing w:after="0" w:line="179" w:lineRule="exact"/>
        <w:rPr>
          <w:sz w:val="20"/>
          <w:szCs w:val="20"/>
          <w:color w:val="auto"/>
        </w:rPr>
      </w:pPr>
    </w:p>
    <w:p>
      <w:pPr>
        <w:jc w:val="both"/>
        <w:ind w:firstLine="1304"/>
        <w:spacing w:after="0" w:line="256" w:lineRule="auto"/>
        <w:tabs>
          <w:tab w:leader="none" w:pos="18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VENUE; WAIVER OF JURY TRIAL</w:t>
      </w:r>
    </w:p>
    <w:p>
      <w:pPr>
        <w:spacing w:after="0" w:line="21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5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Debenture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22"/>
          <w:szCs w:val="22"/>
          <w:u w:val="single" w:color="auto"/>
          <w:color w:val="auto"/>
        </w:rPr>
        <w:t>Governing Jurisdiction</w:t>
      </w:r>
      <w:r>
        <w:rPr>
          <w:rFonts w:ascii="Times New Roman" w:cs="Times New Roman" w:eastAsia="Times New Roman" w:hAnsi="Times New Roman"/>
          <w:sz w:val="22"/>
          <w:szCs w:val="22"/>
          <w:color w:val="auto"/>
        </w:rPr>
        <w:t>”) (including Section 5-1401 and Section 5-1402 of the General Obligations Law of the State of New York), including all matters of construction, validity and performance.</w:t>
      </w:r>
    </w:p>
    <w:p>
      <w:pPr>
        <w:spacing w:after="0" w:line="19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Venue; Service.</w:t>
      </w:r>
    </w:p>
    <w:p>
      <w:pPr>
        <w:spacing w:after="0" w:line="219" w:lineRule="exact"/>
        <w:rPr>
          <w:rFonts w:ascii="Times New Roman" w:cs="Times New Roman" w:eastAsia="Times New Roman" w:hAnsi="Times New Roman"/>
          <w:sz w:val="22"/>
          <w:szCs w:val="22"/>
          <w:color w:val="auto"/>
        </w:rPr>
      </w:pPr>
    </w:p>
    <w:p>
      <w:pPr>
        <w:jc w:val="both"/>
        <w:ind w:firstLine="2600"/>
        <w:spacing w:after="0" w:line="257" w:lineRule="auto"/>
        <w:tabs>
          <w:tab w:leader="none" w:pos="3094"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72" w:lineRule="exact"/>
        <w:rPr>
          <w:rFonts w:ascii="Times New Roman" w:cs="Times New Roman" w:eastAsia="Times New Roman" w:hAnsi="Times New Roman"/>
          <w:sz w:val="22"/>
          <w:szCs w:val="22"/>
          <w:color w:val="auto"/>
        </w:rPr>
      </w:pPr>
    </w:p>
    <w:p>
      <w:pPr>
        <w:jc w:val="both"/>
        <w:ind w:firstLine="2600"/>
        <w:spacing w:after="0" w:line="253" w:lineRule="auto"/>
        <w:tabs>
          <w:tab w:leader="none" w:pos="3085"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78"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4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suit, claim, action, litigation or proceeding of any kind or description, whether in law or equity, whether in contract or tort or otherwise, brought by the Company against the Holder arising out of or based upon this Debenture or any matter relating to this Debenture,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w:t>
      </w:r>
    </w:p>
    <w:p>
      <w:pPr>
        <w:sectPr>
          <w:pgSz w:w="11900" w:h="16838" w:orient="portrait"/>
          <w:cols w:equalWidth="0" w:num="1">
            <w:col w:w="11240"/>
          </w:cols>
          <w:pgMar w:left="320" w:top="1422" w:right="339" w:bottom="1440" w:gutter="0" w:footer="0" w:header="0"/>
        </w:sectPr>
      </w:pPr>
    </w:p>
    <w:bookmarkStart w:id="17" w:name="page18"/>
    <w:bookmarkEnd w:id="17"/>
    <w:p>
      <w:pPr>
        <w:jc w:val="both"/>
        <w:spacing w:after="0" w:line="248" w:lineRule="auto"/>
        <w:rPr>
          <w:sz w:val="20"/>
          <w:szCs w:val="20"/>
          <w:color w:val="auto"/>
        </w:rPr>
      </w:pPr>
      <w:r>
        <w:rPr>
          <w:rFonts w:ascii="Times New Roman" w:cs="Times New Roman" w:eastAsia="Times New Roman" w:hAnsi="Times New Roman"/>
          <w:sz w:val="22"/>
          <w:szCs w:val="22"/>
          <w:color w:val="auto"/>
        </w:rPr>
        <w:t>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Debenture or any matter relating to this Debenture,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84" w:lineRule="exact"/>
        <w:rPr>
          <w:sz w:val="20"/>
          <w:szCs w:val="20"/>
          <w:color w:val="auto"/>
        </w:rPr>
      </w:pPr>
    </w:p>
    <w:p>
      <w:pPr>
        <w:jc w:val="both"/>
        <w:ind w:firstLine="2600"/>
        <w:spacing w:after="0" w:line="256" w:lineRule="auto"/>
        <w:tabs>
          <w:tab w:leader="none" w:pos="3148"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thirty (30) days after the date of such e-mail or mailing, as applicable.</w:t>
      </w:r>
    </w:p>
    <w:p>
      <w:pPr>
        <w:spacing w:after="0" w:line="176" w:lineRule="exact"/>
        <w:rPr>
          <w:rFonts w:ascii="Times New Roman" w:cs="Times New Roman" w:eastAsia="Times New Roman" w:hAnsi="Times New Roman"/>
          <w:sz w:val="22"/>
          <w:szCs w:val="22"/>
          <w:color w:val="auto"/>
        </w:rPr>
      </w:pPr>
    </w:p>
    <w:p>
      <w:pPr>
        <w:jc w:val="both"/>
        <w:ind w:firstLine="2600"/>
        <w:spacing w:after="0" w:line="257" w:lineRule="auto"/>
        <w:tabs>
          <w:tab w:leader="none" w:pos="3196"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82"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WAIVE ALL RIGHT TO TRIAL BY JURY OF ALL CLAIMS OF ANY KIND ARISING OUT OF OR BASED UPON THIS DEBENTURE OR ANY MATTER RELATING TO THIS DEBENTURE,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180"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0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fails to strictly comply with the terms of this Debenture, then the Company shall reimburse the Holder promptly for all fees, costs and expenses, including, without limitation, attorneys’ fees and expenses incurred by the Holder in any action in connection with this Debenture, including, without limitation, those incurred: (i) during any workout, attempted workout, and/or in connection with the rendering of legal advice as to the Holder’s rights, remedies and obligations,</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collecting any sums which become due to the</w:t>
      </w:r>
    </w:p>
    <w:p>
      <w:pPr>
        <w:sectPr>
          <w:pgSz w:w="11900" w:h="16838" w:orient="portrait"/>
          <w:cols w:equalWidth="0" w:num="1">
            <w:col w:w="11240"/>
          </w:cols>
          <w:pgMar w:left="320" w:top="1422" w:right="339" w:bottom="1440" w:gutter="0" w:footer="0" w:header="0"/>
        </w:sectPr>
      </w:pPr>
    </w:p>
    <w:bookmarkStart w:id="18" w:name="page19"/>
    <w:bookmarkEnd w:id="18"/>
    <w:p>
      <w:pPr>
        <w:spacing w:after="0" w:line="271" w:lineRule="auto"/>
        <w:rPr>
          <w:sz w:val="20"/>
          <w:szCs w:val="20"/>
          <w:color w:val="auto"/>
        </w:rPr>
      </w:pPr>
      <w:r>
        <w:rPr>
          <w:rFonts w:ascii="Times New Roman" w:cs="Times New Roman" w:eastAsia="Times New Roman" w:hAnsi="Times New Roman"/>
          <w:sz w:val="22"/>
          <w:szCs w:val="22"/>
          <w:color w:val="auto"/>
        </w:rPr>
        <w:t>Holder, (iii) defending or prosecuting any proceeding or any counterclaim to any proceeding or appeal; or (iv) the protection, preservation or enforcement of any rights or remedies of the Holder.</w:t>
      </w:r>
    </w:p>
    <w:p>
      <w:pPr>
        <w:spacing w:after="0" w:line="158" w:lineRule="exact"/>
        <w:rPr>
          <w:sz w:val="20"/>
          <w:szCs w:val="20"/>
          <w:color w:val="auto"/>
        </w:rPr>
      </w:pPr>
    </w:p>
    <w:p>
      <w:pPr>
        <w:jc w:val="both"/>
        <w:ind w:firstLine="1304"/>
        <w:spacing w:after="0" w:line="253" w:lineRule="auto"/>
        <w:tabs>
          <w:tab w:leader="none" w:pos="201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2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xml:space="preserve"> For purposes of this Debenture, the following terms shall have the following</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20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Date</w:t>
      </w:r>
      <w:r>
        <w:rPr>
          <w:rFonts w:ascii="Times New Roman" w:cs="Times New Roman" w:eastAsia="Times New Roman" w:hAnsi="Times New Roman"/>
          <w:sz w:val="22"/>
          <w:szCs w:val="22"/>
          <w:color w:val="auto"/>
        </w:rPr>
        <w:t>” shall have the meaning set forth in the SEPA.</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Notice</w:t>
      </w:r>
      <w:r>
        <w:rPr>
          <w:rFonts w:ascii="Times New Roman" w:cs="Times New Roman" w:eastAsia="Times New Roman" w:hAnsi="Times New Roman"/>
          <w:sz w:val="22"/>
          <w:szCs w:val="22"/>
          <w:color w:val="auto"/>
        </w:rPr>
        <w:t>” shall have the meaning set forth in the SEPA.</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Repayment</w:t>
      </w:r>
      <w:r>
        <w:rPr>
          <w:rFonts w:ascii="Times New Roman" w:cs="Times New Roman" w:eastAsia="Times New Roman" w:hAnsi="Times New Roman"/>
          <w:sz w:val="22"/>
          <w:szCs w:val="22"/>
          <w:color w:val="auto"/>
        </w:rPr>
        <w:t>” shall have the meaning set forth in Section (1)(c).</w:t>
      </w:r>
    </w:p>
    <w:p>
      <w:pPr>
        <w:spacing w:after="0" w:line="220" w:lineRule="exact"/>
        <w:rPr>
          <w:sz w:val="20"/>
          <w:szCs w:val="20"/>
          <w:color w:val="auto"/>
        </w:rPr>
      </w:pPr>
    </w:p>
    <w:p>
      <w:pPr>
        <w:jc w:val="both"/>
        <w:ind w:firstLine="1952"/>
        <w:spacing w:after="0" w:line="263" w:lineRule="auto"/>
        <w:tabs>
          <w:tab w:leader="none" w:pos="249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Stock Plan</w:t>
      </w:r>
      <w:r>
        <w:rPr>
          <w:rFonts w:ascii="Times New Roman" w:cs="Times New Roman" w:eastAsia="Times New Roman" w:hAnsi="Times New Roman"/>
          <w:sz w:val="22"/>
          <w:szCs w:val="22"/>
          <w:color w:val="auto"/>
        </w:rPr>
        <w:t>” means any employee benefit plan or share incentive plan which has been approved by the Board of Directors of the Company, pursuant to which the Company’s securities may be issued to any employee, officer or director for services provided to the Company.</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4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means Bloomberg Financial Markets (or if not available, a similar service provider of national recognized standing).</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Saturday, Sunday and any day which shall be a federal legal holiday in the United States or a day on which banking institutions in the State of New York are authorized or required by law or other government action to close.</w:t>
      </w:r>
    </w:p>
    <w:p>
      <w:pPr>
        <w:spacing w:after="0" w:line="16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shall have the meaning set forth in Section (3)(b)(ii).</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shall have the meaning set forth in Section (3)(b)(ii).</w:t>
      </w:r>
    </w:p>
    <w:p>
      <w:pPr>
        <w:sectPr>
          <w:pgSz w:w="11900" w:h="16838" w:orient="portrait"/>
          <w:cols w:equalWidth="0" w:num="1">
            <w:col w:w="11240"/>
          </w:cols>
          <w:pgMar w:left="320" w:top="1422" w:right="339" w:bottom="1440" w:gutter="0" w:footer="0" w:header="0"/>
        </w:sectPr>
      </w:pPr>
    </w:p>
    <w:bookmarkStart w:id="19" w:name="page20"/>
    <w:bookmarkEnd w:id="19"/>
    <w:p>
      <w:pPr>
        <w:jc w:val="both"/>
        <w:ind w:left="-1120" w:firstLine="1952"/>
        <w:spacing w:after="0" w:line="248"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Transaction</w:t>
      </w:r>
      <w:r>
        <w:rPr>
          <w:rFonts w:ascii="Times New Roman" w:cs="Times New Roman" w:eastAsia="Times New Roman" w:hAnsi="Times New Roman"/>
          <w:sz w:val="22"/>
          <w:szCs w:val="22"/>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the closing of any privatization (i.e., a take-private transaction), (c)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(d) the closing of any sale, lease, license, transfer or other disposition or sale of all or substantially all of the assets of the Company in one or a series of related transactions, or (e) the execution by the Company of an agreement to which the Company is a party or by which it is bound, providing for any of the events set forth above in (a) or (b). No transfer to a wholly-owned Subsidiary shall be deemed a Change of Control Transaction under this provision.</w:t>
      </w:r>
    </w:p>
    <w:p>
      <w:pPr>
        <w:spacing w:after="0" w:line="184" w:lineRule="exact"/>
        <w:rPr>
          <w:rFonts w:ascii="Times New Roman" w:cs="Times New Roman" w:eastAsia="Times New Roman" w:hAnsi="Times New Roman"/>
          <w:sz w:val="22"/>
          <w:szCs w:val="22"/>
          <w:color w:val="auto"/>
        </w:rPr>
      </w:pPr>
    </w:p>
    <w:p>
      <w:pPr>
        <w:ind w:left="-1120" w:firstLine="1952"/>
        <w:spacing w:after="0" w:line="271" w:lineRule="auto"/>
        <w:tabs>
          <w:tab w:leader="none" w:pos="1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Price</w:t>
      </w:r>
      <w:r>
        <w:rPr>
          <w:rFonts w:ascii="Times New Roman" w:cs="Times New Roman" w:eastAsia="Times New Roman" w:hAnsi="Times New Roman"/>
          <w:sz w:val="22"/>
          <w:szCs w:val="22"/>
          <w:color w:val="auto"/>
        </w:rPr>
        <w:t>” means the price per share in the last reported trade of the Common Shares on a Principal Market or on the exchange which the Common Shares is then listed as quoted by Bloomberg.</w:t>
      </w:r>
    </w:p>
    <w:p>
      <w:pPr>
        <w:spacing w:after="0" w:line="171"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Securities and Exchange Commission.</w:t>
      </w:r>
    </w:p>
    <w:p>
      <w:pPr>
        <w:spacing w:after="0" w:line="219" w:lineRule="exact"/>
        <w:rPr>
          <w:rFonts w:ascii="Times New Roman" w:cs="Times New Roman" w:eastAsia="Times New Roman" w:hAnsi="Times New Roman"/>
          <w:sz w:val="22"/>
          <w:szCs w:val="22"/>
          <w:color w:val="auto"/>
        </w:rPr>
      </w:pPr>
    </w:p>
    <w:p>
      <w:pPr>
        <w:ind w:left="-1120" w:right="20" w:firstLine="1952"/>
        <w:spacing w:after="0" w:line="271" w:lineRule="auto"/>
        <w:tabs>
          <w:tab w:leader="none" w:pos="127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means the shares of common stock, par value $0.0001, of the Company and stock of any other class into which such shares may hereafter be changed or reclassified.</w:t>
      </w:r>
    </w:p>
    <w:p>
      <w:pPr>
        <w:spacing w:after="0" w:line="157" w:lineRule="exact"/>
        <w:rPr>
          <w:rFonts w:ascii="Times New Roman" w:cs="Times New Roman" w:eastAsia="Times New Roman" w:hAnsi="Times New Roman"/>
          <w:sz w:val="22"/>
          <w:szCs w:val="22"/>
          <w:color w:val="auto"/>
        </w:rPr>
      </w:pPr>
    </w:p>
    <w:p>
      <w:pPr>
        <w:ind w:left="-1120" w:firstLine="1952"/>
        <w:spacing w:after="0" w:line="271" w:lineRule="auto"/>
        <w:tabs>
          <w:tab w:leader="none" w:pos="137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Amount</w:t>
      </w:r>
      <w:r>
        <w:rPr>
          <w:rFonts w:ascii="Times New Roman" w:cs="Times New Roman" w:eastAsia="Times New Roman" w:hAnsi="Times New Roman"/>
          <w:sz w:val="22"/>
          <w:szCs w:val="22"/>
          <w:color w:val="auto"/>
        </w:rPr>
        <w:t>” means the portion of the Principal, Interest, or other amounts outstanding under this Note to be converted, redeemed or otherwise with respect to which this determination is being made.</w:t>
      </w:r>
    </w:p>
    <w:p>
      <w:pPr>
        <w:spacing w:after="0" w:line="171"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shall have the meaning set forth in Section (3)(b)(i).</w:t>
      </w:r>
    </w:p>
    <w:p>
      <w:pPr>
        <w:spacing w:after="0" w:line="219" w:lineRule="exact"/>
        <w:rPr>
          <w:rFonts w:ascii="Times New Roman" w:cs="Times New Roman" w:eastAsia="Times New Roman" w:hAnsi="Times New Roman"/>
          <w:sz w:val="22"/>
          <w:szCs w:val="22"/>
          <w:color w:val="auto"/>
        </w:rPr>
      </w:pPr>
    </w:p>
    <w:p>
      <w:pPr>
        <w:ind w:left="1260" w:hanging="428"/>
        <w:spacing w:after="0"/>
        <w:tabs>
          <w:tab w:leader="none" w:pos="12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Failure</w:t>
      </w:r>
      <w:r>
        <w:rPr>
          <w:rFonts w:ascii="Times New Roman" w:cs="Times New Roman" w:eastAsia="Times New Roman" w:hAnsi="Times New Roman"/>
          <w:sz w:val="22"/>
          <w:szCs w:val="22"/>
          <w:color w:val="auto"/>
        </w:rPr>
        <w:t>" shall have the meaning set forth in Section (3)(b)(ii).</w:t>
      </w:r>
    </w:p>
    <w:p>
      <w:pPr>
        <w:spacing w:after="0" w:line="219" w:lineRule="exact"/>
        <w:rPr>
          <w:rFonts w:ascii="Times New Roman" w:cs="Times New Roman" w:eastAsia="Times New Roman" w:hAnsi="Times New Roman"/>
          <w:sz w:val="22"/>
          <w:szCs w:val="22"/>
          <w:color w:val="auto"/>
        </w:rPr>
      </w:pPr>
    </w:p>
    <w:p>
      <w:pPr>
        <w:ind w:left="1360" w:hanging="528"/>
        <w:spacing w:after="0"/>
        <w:tabs>
          <w:tab w:leader="none" w:pos="13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shall have the meaning set forth in Section (3)(b)(i).</w:t>
      </w:r>
    </w:p>
    <w:p>
      <w:pPr>
        <w:spacing w:after="0" w:line="219" w:lineRule="exact"/>
        <w:rPr>
          <w:rFonts w:ascii="Times New Roman" w:cs="Times New Roman" w:eastAsia="Times New Roman" w:hAnsi="Times New Roman"/>
          <w:sz w:val="22"/>
          <w:szCs w:val="22"/>
          <w:color w:val="auto"/>
        </w:rPr>
      </w:pPr>
    </w:p>
    <w:p>
      <w:pPr>
        <w:jc w:val="both"/>
        <w:ind w:left="-1120" w:firstLine="1952"/>
        <w:spacing w:after="0" w:line="256" w:lineRule="auto"/>
        <w:tabs>
          <w:tab w:leader="none" w:pos="138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xml:space="preserve">" means, as of any Conversion Date or other date of determination, $10.00 per Common Share, </w:t>
      </w:r>
      <w:r>
        <w:rPr>
          <w:rFonts w:ascii="Times New Roman" w:cs="Times New Roman" w:eastAsia="Times New Roman" w:hAnsi="Times New Roman"/>
          <w:sz w:val="22"/>
          <w:szCs w:val="22"/>
          <w:i w:val="1"/>
          <w:iCs w:val="1"/>
          <w:u w:val="single" w:color="auto"/>
          <w:color w:val="auto"/>
        </w:rPr>
        <w:t>provided that</w:t>
      </w:r>
      <w:r>
        <w:rPr>
          <w:rFonts w:ascii="Times New Roman" w:cs="Times New Roman" w:eastAsia="Times New Roman" w:hAnsi="Times New Roman"/>
          <w:sz w:val="22"/>
          <w:szCs w:val="22"/>
          <w:color w:val="auto"/>
        </w:rPr>
        <w:t>, on each of October 14, 2025 (the “</w:t>
      </w:r>
      <w:r>
        <w:rPr>
          <w:rFonts w:ascii="Times New Roman" w:cs="Times New Roman" w:eastAsia="Times New Roman" w:hAnsi="Times New Roman"/>
          <w:sz w:val="22"/>
          <w:szCs w:val="22"/>
          <w:u w:val="single" w:color="auto"/>
          <w:color w:val="auto"/>
        </w:rPr>
        <w:t>First Reset Date</w:t>
      </w:r>
      <w:r>
        <w:rPr>
          <w:rFonts w:ascii="Times New Roman" w:cs="Times New Roman" w:eastAsia="Times New Roman" w:hAnsi="Times New Roman"/>
          <w:sz w:val="22"/>
          <w:szCs w:val="22"/>
          <w:color w:val="auto"/>
        </w:rPr>
        <w:t>”) and January 14, 2026 (the “</w:t>
      </w:r>
      <w:r>
        <w:rPr>
          <w:rFonts w:ascii="Times New Roman" w:cs="Times New Roman" w:eastAsia="Times New Roman" w:hAnsi="Times New Roman"/>
          <w:sz w:val="22"/>
          <w:szCs w:val="22"/>
          <w:u w:val="single" w:color="auto"/>
          <w:color w:val="auto"/>
        </w:rPr>
        <w:t>Second Reset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collectively, a “</w:t>
      </w:r>
      <w:r>
        <w:rPr>
          <w:rFonts w:ascii="Times New Roman" w:cs="Times New Roman" w:eastAsia="Times New Roman" w:hAnsi="Times New Roman"/>
          <w:sz w:val="22"/>
          <w:szCs w:val="22"/>
          <w:u w:val="single" w:color="auto"/>
          <w:color w:val="auto"/>
        </w:rPr>
        <w:t>Reset Date</w:t>
      </w:r>
      <w:r>
        <w:rPr>
          <w:rFonts w:ascii="Times New Roman" w:cs="Times New Roman" w:eastAsia="Times New Roman" w:hAnsi="Times New Roman"/>
          <w:sz w:val="22"/>
          <w:szCs w:val="22"/>
          <w:color w:val="auto"/>
        </w:rPr>
        <w:t>”) the Conversion Price shall be adjusted (downwards only) to equal the lower of the Conversion Price then in effect or the average VWAP for the ten (10) Trading Days immediately</w:t>
      </w:r>
    </w:p>
    <w:p>
      <w:pPr>
        <w:sectPr>
          <w:pgSz w:w="11900" w:h="16838" w:orient="portrait"/>
          <w:cols w:equalWidth="0" w:num="1">
            <w:col w:w="10120"/>
          </w:cols>
          <w:pgMar w:left="1440" w:top="1422" w:right="339" w:bottom="1440" w:gutter="0" w:footer="0" w:header="0"/>
        </w:sectPr>
      </w:pPr>
    </w:p>
    <w:bookmarkStart w:id="20" w:name="page21"/>
    <w:bookmarkEnd w:id="20"/>
    <w:p>
      <w:pPr>
        <w:spacing w:after="0" w:line="271" w:lineRule="auto"/>
        <w:rPr>
          <w:sz w:val="20"/>
          <w:szCs w:val="20"/>
          <w:color w:val="auto"/>
        </w:rPr>
      </w:pPr>
      <w:r>
        <w:rPr>
          <w:rFonts w:ascii="Times New Roman" w:cs="Times New Roman" w:eastAsia="Times New Roman" w:hAnsi="Times New Roman"/>
          <w:sz w:val="22"/>
          <w:szCs w:val="22"/>
          <w:color w:val="auto"/>
        </w:rPr>
        <w:t>prior to the applicable Reset Date. The Conversion Price shall be adjusted from time to time pursuant to the other terms and conditions of this Note.</w:t>
      </w:r>
    </w:p>
    <w:p>
      <w:pPr>
        <w:spacing w:after="0" w:line="158" w:lineRule="exact"/>
        <w:rPr>
          <w:sz w:val="20"/>
          <w:szCs w:val="20"/>
          <w:color w:val="auto"/>
        </w:rPr>
      </w:pPr>
    </w:p>
    <w:p>
      <w:pPr>
        <w:ind w:left="2420" w:hanging="468"/>
        <w:spacing w:after="0"/>
        <w:tabs>
          <w:tab w:leader="none" w:pos="2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33"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3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all of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8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Installment Amount</w:t>
      </w:r>
      <w:r>
        <w:rPr>
          <w:rFonts w:ascii="Times New Roman" w:cs="Times New Roman" w:eastAsia="Times New Roman" w:hAnsi="Times New Roman"/>
          <w:sz w:val="22"/>
          <w:szCs w:val="22"/>
          <w:color w:val="auto"/>
        </w:rPr>
        <w:t>” shall have the meaning set forth in Section (1)(c).</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Installment Date</w:t>
      </w:r>
      <w:r>
        <w:rPr>
          <w:rFonts w:ascii="Times New Roman" w:cs="Times New Roman" w:eastAsia="Times New Roman" w:hAnsi="Times New Roman"/>
          <w:sz w:val="22"/>
          <w:szCs w:val="22"/>
          <w:color w:val="auto"/>
        </w:rPr>
        <w:t>” shall have the meaning set forth in Section (1)(c).</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Installment Principal Amount</w:t>
      </w:r>
      <w:r>
        <w:rPr>
          <w:rFonts w:ascii="Times New Roman" w:cs="Times New Roman" w:eastAsia="Times New Roman" w:hAnsi="Times New Roman"/>
          <w:sz w:val="22"/>
          <w:szCs w:val="22"/>
          <w:color w:val="auto"/>
        </w:rPr>
        <w:t>” shall have the meaning set forth in Section (1)(c).</w:t>
      </w:r>
    </w:p>
    <w:p>
      <w:pPr>
        <w:spacing w:after="0" w:line="233"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has the meaning given such term in the Securities Purchase Agreement.</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shall have the meaning set forth in (1)(d).</w:t>
      </w:r>
    </w:p>
    <w:p>
      <w:pPr>
        <w:spacing w:after="0" w:line="219" w:lineRule="exact"/>
        <w:rPr>
          <w:rFonts w:ascii="Times New Roman" w:cs="Times New Roman" w:eastAsia="Times New Roman" w:hAnsi="Times New Roman"/>
          <w:sz w:val="22"/>
          <w:szCs w:val="22"/>
          <w:color w:val="auto"/>
        </w:rPr>
      </w:pPr>
    </w:p>
    <w:p>
      <w:pPr>
        <w:jc w:val="both"/>
        <w:ind w:right="20" w:firstLine="1952"/>
        <w:spacing w:after="0" w:line="257" w:lineRule="auto"/>
        <w:tabs>
          <w:tab w:leader="none" w:pos="266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Debentures</w:t>
      </w:r>
      <w:r>
        <w:rPr>
          <w:rFonts w:ascii="Times New Roman" w:cs="Times New Roman" w:eastAsia="Times New Roman" w:hAnsi="Times New Roman"/>
          <w:sz w:val="22"/>
          <w:szCs w:val="22"/>
          <w:color w:val="auto"/>
        </w:rPr>
        <w:t>” means any other debentures issued pursuant to the Securities Purchase Agreement and any other debentures, notes, or other instruments issued in exchange, replacement, or modification of the foregoing.</w:t>
      </w:r>
    </w:p>
    <w:p>
      <w:pPr>
        <w:spacing w:after="0" w:line="186"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Premium</w:t>
      </w:r>
      <w:r>
        <w:rPr>
          <w:rFonts w:ascii="Times New Roman" w:cs="Times New Roman" w:eastAsia="Times New Roman" w:hAnsi="Times New Roman"/>
          <w:sz w:val="22"/>
          <w:szCs w:val="22"/>
          <w:color w:val="auto"/>
        </w:rPr>
        <w:t>” means 5% of the Principal Amount being paid.</w:t>
      </w:r>
    </w:p>
    <w:p>
      <w:pPr>
        <w:spacing w:after="0" w:line="219" w:lineRule="exact"/>
        <w:rPr>
          <w:rFonts w:ascii="Times New Roman" w:cs="Times New Roman" w:eastAsia="Times New Roman" w:hAnsi="Times New Roman"/>
          <w:sz w:val="22"/>
          <w:szCs w:val="22"/>
          <w:color w:val="auto"/>
        </w:rPr>
      </w:pPr>
    </w:p>
    <w:p>
      <w:pPr>
        <w:jc w:val="both"/>
        <w:ind w:firstLine="1952"/>
        <w:spacing w:after="0" w:line="275" w:lineRule="auto"/>
        <w:tabs>
          <w:tab w:leader="none" w:pos="249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Periodic Report</w:t>
      </w:r>
      <w:r>
        <w:rPr>
          <w:rFonts w:ascii="Times New Roman" w:cs="Times New Roman" w:eastAsia="Times New Roman" w:hAnsi="Times New Roman"/>
          <w:sz w:val="21"/>
          <w:szCs w:val="21"/>
          <w:color w:val="auto"/>
        </w:rPr>
        <w:t>” shall mean each of the Company’s reports required to be filed by the Company with the Commission under applicable laws and regulations (including, without limitation, Regulation S-K), including annual reports (on Form 10-K) and quarterly reports (on Form 10-Q), for so long as any amounts are outstanding under this Debenture.</w:t>
      </w:r>
    </w:p>
    <w:p>
      <w:pPr>
        <w:spacing w:after="0" w:line="155" w:lineRule="exact"/>
        <w:rPr>
          <w:rFonts w:ascii="Times New Roman" w:cs="Times New Roman" w:eastAsia="Times New Roman" w:hAnsi="Times New Roman"/>
          <w:sz w:val="21"/>
          <w:szCs w:val="21"/>
          <w:color w:val="auto"/>
        </w:rPr>
      </w:pPr>
    </w:p>
    <w:p>
      <w:pPr>
        <w:ind w:firstLine="1952"/>
        <w:spacing w:after="0" w:line="284" w:lineRule="auto"/>
        <w:tabs>
          <w:tab w:leader="none" w:pos="242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an association, a partnership, organization, a business, an individual, a government or political subdivision thereof or a governmental agency.</w:t>
      </w:r>
    </w:p>
    <w:p>
      <w:pPr>
        <w:sectPr>
          <w:pgSz w:w="11900" w:h="16838" w:orient="portrait"/>
          <w:cols w:equalWidth="0" w:num="1">
            <w:col w:w="11240"/>
          </w:cols>
          <w:pgMar w:left="320" w:top="1422" w:right="339" w:bottom="1440" w:gutter="0" w:footer="0" w:header="0"/>
        </w:sectPr>
      </w:pPr>
    </w:p>
    <w:bookmarkStart w:id="21" w:name="page22"/>
    <w:bookmarkEnd w:id="21"/>
    <w:p>
      <w:pPr>
        <w:jc w:val="both"/>
        <w:ind w:firstLine="1952"/>
        <w:spacing w:after="0" w:line="257" w:lineRule="auto"/>
        <w:tabs>
          <w:tab w:leader="none" w:pos="258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Market</w:t>
      </w:r>
      <w:r>
        <w:rPr>
          <w:rFonts w:ascii="Times New Roman" w:cs="Times New Roman" w:eastAsia="Times New Roman" w:hAnsi="Times New Roman"/>
          <w:sz w:val="22"/>
          <w:szCs w:val="22"/>
          <w:color w:val="auto"/>
        </w:rPr>
        <w:t>” means the Nasdaq Stock Market; provided however, that in the event the Company’s Common Shares are ever listed or traded on any of the New York Stock Exchange, the NYSE American, or any such successor thereto, the “Principal Market” shall mean that market on which the Common Shares are then listed or traded.</w:t>
      </w:r>
    </w:p>
    <w:p>
      <w:pPr>
        <w:spacing w:after="0" w:line="186" w:lineRule="exact"/>
        <w:rPr>
          <w:sz w:val="20"/>
          <w:szCs w:val="20"/>
          <w:color w:val="auto"/>
        </w:rPr>
      </w:pPr>
    </w:p>
    <w:p>
      <w:pPr>
        <w:ind w:left="2500" w:hanging="548"/>
        <w:spacing w:after="0"/>
        <w:tabs>
          <w:tab w:leader="none" w:pos="2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Amount</w:t>
      </w:r>
      <w:r>
        <w:rPr>
          <w:rFonts w:ascii="Times New Roman" w:cs="Times New Roman" w:eastAsia="Times New Roman" w:hAnsi="Times New Roman"/>
          <w:sz w:val="22"/>
          <w:szCs w:val="22"/>
          <w:color w:val="auto"/>
        </w:rPr>
        <w:t>” shall have the meaning set forth in Section (1)(d).</w:t>
      </w:r>
    </w:p>
    <w:p>
      <w:pPr>
        <w:spacing w:after="0" w:line="219"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shall have the meaning set forth in Section (1)(d).</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7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Premium</w:t>
      </w:r>
      <w:r>
        <w:rPr>
          <w:rFonts w:ascii="Times New Roman" w:cs="Times New Roman" w:eastAsia="Times New Roman" w:hAnsi="Times New Roman"/>
          <w:sz w:val="22"/>
          <w:szCs w:val="22"/>
          <w:color w:val="auto"/>
        </w:rPr>
        <w:t>” mean, in respect of an Optional Redemption completed on or before the twelve-month anniversary of the Issuance Date, 5% of the Principal Amount being paid, and in respect of an Optional Redemption completed after the twelve-month anniversary of the Issuance Dat, 10% of the Principal Amount being paid.</w:t>
      </w:r>
    </w:p>
    <w:p>
      <w:pPr>
        <w:spacing w:after="0" w:line="186" w:lineRule="exact"/>
        <w:rPr>
          <w:rFonts w:ascii="Times New Roman" w:cs="Times New Roman" w:eastAsia="Times New Roman" w:hAnsi="Times New Roman"/>
          <w:sz w:val="22"/>
          <w:szCs w:val="22"/>
          <w:color w:val="auto"/>
        </w:rPr>
      </w:pPr>
    </w:p>
    <w:p>
      <w:pPr>
        <w:ind w:left="2680" w:hanging="728"/>
        <w:spacing w:after="0"/>
        <w:tabs>
          <w:tab w:leader="none" w:pos="26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has the meaning given such term in the Securities Purchase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7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172"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Date</w:t>
      </w:r>
      <w:r>
        <w:rPr>
          <w:rFonts w:ascii="Times New Roman" w:cs="Times New Roman" w:eastAsia="Times New Roman" w:hAnsi="Times New Roman"/>
          <w:sz w:val="22"/>
          <w:szCs w:val="22"/>
          <w:color w:val="auto"/>
        </w:rPr>
        <w:t>” shall have the meaning set forth in Section (1)(c).</w:t>
      </w:r>
    </w:p>
    <w:p>
      <w:pPr>
        <w:spacing w:after="0" w:line="233" w:lineRule="exact"/>
        <w:rPr>
          <w:rFonts w:ascii="Times New Roman" w:cs="Times New Roman" w:eastAsia="Times New Roman" w:hAnsi="Times New Roman"/>
          <w:sz w:val="22"/>
          <w:szCs w:val="22"/>
          <w:color w:val="auto"/>
        </w:rPr>
      </w:pPr>
    </w:p>
    <w:p>
      <w:pPr>
        <w:ind w:left="2680" w:hanging="728"/>
        <w:spacing w:after="0"/>
        <w:tabs>
          <w:tab w:leader="none" w:pos="26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promulgated thereunder.</w:t>
      </w:r>
    </w:p>
    <w:p>
      <w:pPr>
        <w:spacing w:after="0" w:line="195" w:lineRule="exact"/>
        <w:rPr>
          <w:rFonts w:ascii="Times New Roman" w:cs="Times New Roman" w:eastAsia="Times New Roman" w:hAnsi="Times New Roman"/>
          <w:sz w:val="22"/>
          <w:szCs w:val="22"/>
          <w:color w:val="auto"/>
        </w:rPr>
      </w:pPr>
    </w:p>
    <w:p>
      <w:pPr>
        <w:ind w:firstLine="1952"/>
        <w:spacing w:after="0" w:line="271" w:lineRule="auto"/>
        <w:tabs>
          <w:tab w:leader="none" w:pos="254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w:t>
      </w:r>
      <w:r>
        <w:rPr>
          <w:rFonts w:ascii="Times New Roman" w:cs="Times New Roman" w:eastAsia="Times New Roman" w:hAnsi="Times New Roman"/>
          <w:sz w:val="22"/>
          <w:szCs w:val="22"/>
          <w:color w:val="auto"/>
        </w:rPr>
        <w:t>” means the Standby Equity Distribution Agreement entered into between the Company and the Holder on October 24, 2023.</w:t>
      </w:r>
    </w:p>
    <w:p>
      <w:pPr>
        <w:spacing w:after="0" w:line="15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shall have the meaning set forth in Section (3)(b)(i).</w:t>
      </w:r>
    </w:p>
    <w:p>
      <w:pPr>
        <w:spacing w:after="0" w:line="23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6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Common Shares are quoted or traded on a Principal Market on which the Common Shares are then quoted or listed; provided, that in the event that the Common Shares are not listed or quoted, then Trading Day shall mean a Business Day.</w:t>
      </w:r>
    </w:p>
    <w:p>
      <w:pPr>
        <w:sectPr>
          <w:pgSz w:w="11900" w:h="16838" w:orient="portrait"/>
          <w:cols w:equalWidth="0" w:num="1">
            <w:col w:w="11240"/>
          </w:cols>
          <w:pgMar w:left="320" w:top="1422" w:right="339" w:bottom="1440" w:gutter="0" w:footer="0" w:header="0"/>
        </w:sectPr>
      </w:pPr>
    </w:p>
    <w:bookmarkStart w:id="22" w:name="page23"/>
    <w:bookmarkEnd w:id="22"/>
    <w:p>
      <w:pPr>
        <w:ind w:left="2440" w:hanging="488"/>
        <w:spacing w:after="0"/>
        <w:tabs>
          <w:tab w:leader="none" w:pos="24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w:t>
      </w:r>
      <w:r>
        <w:rPr>
          <w:rFonts w:ascii="Times New Roman" w:cs="Times New Roman" w:eastAsia="Times New Roman" w:hAnsi="Times New Roman"/>
          <w:sz w:val="22"/>
          <w:szCs w:val="22"/>
          <w:color w:val="auto"/>
        </w:rPr>
        <w:t>” has the meaning given such term in the Securities Purchase Agreement.</w:t>
      </w:r>
    </w:p>
    <w:p>
      <w:pPr>
        <w:spacing w:after="0" w:line="219" w:lineRule="exact"/>
        <w:rPr>
          <w:rFonts w:ascii="Times New Roman" w:cs="Times New Roman" w:eastAsia="Times New Roman" w:hAnsi="Times New Roman"/>
          <w:sz w:val="22"/>
          <w:szCs w:val="22"/>
          <w:color w:val="auto"/>
        </w:rPr>
      </w:pPr>
    </w:p>
    <w:p>
      <w:pPr>
        <w:ind w:right="20" w:firstLine="1952"/>
        <w:spacing w:after="0" w:line="271" w:lineRule="auto"/>
        <w:tabs>
          <w:tab w:leader="none" w:pos="272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Shares</w:t>
      </w:r>
      <w:r>
        <w:rPr>
          <w:rFonts w:ascii="Times New Roman" w:cs="Times New Roman" w:eastAsia="Times New Roman" w:hAnsi="Times New Roman"/>
          <w:sz w:val="22"/>
          <w:szCs w:val="22"/>
          <w:color w:val="auto"/>
        </w:rPr>
        <w:t>” means the Common Shares issuable upon conversion of this Debenture in accordance with the terms hereof.</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61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Trading Day, the daily volume weighted average price of the Common Shares for such Trading Day on the Principal Market during regular trading hours as reported by Bloomberg L.P.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6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Convertible Debenture to be duly executed by a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 as of the date set forth above.</w:t>
      </w: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-13970</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1" w:lineRule="exact"/>
        <w:rPr>
          <w:sz w:val="20"/>
          <w:szCs w:val="20"/>
          <w:color w:val="auto"/>
        </w:rPr>
      </w:pPr>
    </w:p>
    <w:p>
      <w:pPr>
        <w:ind w:left="5660"/>
        <w:spacing w:after="0"/>
        <w:tabs>
          <w:tab w:leader="none" w:pos="6500" w:val="left"/>
        </w:tabs>
        <w:rPr>
          <w:sz w:val="20"/>
          <w:szCs w:val="20"/>
          <w:color w:val="auto"/>
        </w:rPr>
      </w:pPr>
      <w:r>
        <w:rPr>
          <w:rFonts w:ascii="Times New Roman" w:cs="Times New Roman" w:eastAsia="Times New Roman" w:hAnsi="Times New Roman"/>
          <w:sz w:val="22"/>
          <w:szCs w:val="22"/>
          <w:color w:val="auto"/>
        </w:rPr>
        <w:t>Name:</w:t>
        <w:tab/>
        <w:t>David Yablunosky</w:t>
      </w:r>
    </w:p>
    <w:p>
      <w:pPr>
        <w:spacing w:after="0" w:line="29" w:lineRule="exact"/>
        <w:rPr>
          <w:sz w:val="20"/>
          <w:szCs w:val="20"/>
          <w:color w:val="auto"/>
        </w:rPr>
      </w:pPr>
    </w:p>
    <w:p>
      <w:pPr>
        <w:ind w:left="5660"/>
        <w:spacing w:after="0"/>
        <w:tabs>
          <w:tab w:leader="none" w:pos="638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Repayment Schedule</w:t>
      </w:r>
    </w:p>
    <w:p>
      <w:pPr>
        <w:sectPr>
          <w:pgSz w:w="11900" w:h="16838" w:orient="portrait"/>
          <w:cols w:equalWidth="0" w:num="1">
            <w:col w:w="11240"/>
          </w:cols>
          <w:pgMar w:left="320" w:top="1422" w:right="339" w:bottom="1440" w:gutter="0" w:footer="0" w:header="0"/>
        </w:sectPr>
      </w:pPr>
    </w:p>
    <w:bookmarkStart w:id="23" w:name="page24"/>
    <w:bookmarkEnd w:id="23"/>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CONVERSION NOTICE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executed by the Holder in order to Convert the Debenture)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TO: </w:t>
      </w:r>
      <w:r>
        <w:rPr>
          <w:rFonts w:ascii="Times New Roman" w:cs="Times New Roman" w:eastAsia="Times New Roman" w:hAnsi="Times New Roman"/>
          <w:sz w:val="21"/>
          <w:szCs w:val="21"/>
          <w:b w:val="1"/>
          <w:bCs w:val="1"/>
          <w:color w:val="auto"/>
        </w:rPr>
        <w:t>INNVENTURE,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Via Email:</w:t>
      </w:r>
    </w:p>
    <w:p>
      <w:pPr>
        <w:spacing w:after="0" w:line="2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undersigned hereby irrevocably elects to convert a portion of the outstanding and unpaid Conversion Amount of Debenture No. </w:t>
      </w:r>
      <w:r>
        <w:rPr>
          <w:rFonts w:ascii="Times New Roman" w:cs="Times New Roman" w:eastAsia="Times New Roman" w:hAnsi="Times New Roman"/>
          <w:sz w:val="22"/>
          <w:szCs w:val="22"/>
          <w:u w:val="single" w:color="auto"/>
          <w:color w:val="auto"/>
        </w:rPr>
        <w:t>INV-2</w:t>
      </w:r>
      <w:r>
        <w:rPr>
          <w:rFonts w:ascii="Times New Roman" w:cs="Times New Roman" w:eastAsia="Times New Roman" w:hAnsi="Times New Roman"/>
          <w:sz w:val="22"/>
          <w:szCs w:val="22"/>
          <w:color w:val="auto"/>
        </w:rPr>
        <w:t xml:space="preserve"> into Common Shares of </w:t>
      </w:r>
      <w:r>
        <w:rPr>
          <w:rFonts w:ascii="Times New Roman" w:cs="Times New Roman" w:eastAsia="Times New Roman" w:hAnsi="Times New Roman"/>
          <w:sz w:val="22"/>
          <w:szCs w:val="22"/>
          <w:b w:val="1"/>
          <w:bCs w:val="1"/>
          <w:color w:val="auto"/>
        </w:rPr>
        <w:t>INNVENTURE, INC.</w:t>
      </w:r>
      <w:r>
        <w:rPr>
          <w:rFonts w:ascii="Times New Roman" w:cs="Times New Roman" w:eastAsia="Times New Roman" w:hAnsi="Times New Roman"/>
          <w:sz w:val="22"/>
          <w:szCs w:val="22"/>
          <w:color w:val="auto"/>
        </w:rPr>
        <w:t>, according to the conditions stated therein, as of the Conversion Date written below.</w:t>
      </w: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Conversion Date:</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Principal Amount to be Converted: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Accrued Interest to be Converted: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Total Conversion Amount to be converted: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Conversion Price: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Number of Common Shares to be issued:</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Please issue the Common Shares in the following name and deliver them to the following account:</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Issue to:</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Broker DTC Participant Code: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Account Number:</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Authorized Signature:</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Title:</w:t>
      </w:r>
    </w:p>
    <w:p>
      <w:pPr>
        <w:sectPr>
          <w:pgSz w:w="11900" w:h="16838" w:orient="portrait"/>
          <w:cols w:equalWidth="0" w:num="1">
            <w:col w:w="11240"/>
          </w:cols>
          <w:pgMar w:left="320" w:top="144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VOTING AGREEMENT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undersigned stockholder will cause all shares of Innventure, Inc.’s (the “Company’s”), (i) common stock, par value $0.0001 per share (“Common Stock”); (ii) Series B preferred stock, par value $0.0001 per share (“Series B Preferred Stock”); and (iii) Series C preferred stock, par value $0.0001 per share (“Series C Preferred Stock” and, together with the Common Stock and Series B Preferred Stock, the “Voting Stock”) that such undersigned stockholder has the right to vote (or to direct the vote) as of the applicable record date, to be present in person or by proxy for quorum purposes and to be voted at the Company’s Annual Meeting of Stockholders to be held virtually at 9:00 a.m., ET, on June 25, 2025 (including any adjournment or postponement thereof, the “2025 Annual Meeting”) in favor of both Proposals 3 and 4, each as described in the Definitive Proxy Statement on Schedule 14A filed by the Company with the U.S. Securities and Exchange Commission on May 9, 2025 (the “2025 Proxy Statement”) in connection with the 2025 Annual Meeting.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undersigned stockholder will also cause, if applicable, all shares of Voting Stock that such undersigned stockholder has the right to vote (or to direct the vote) in favor of the equivalent of both Proposals 3 and 4, each as described in the Company’s 2025 Proxy Statement, at any other meeting of stockholders of the Company subsequent to the 2025 Annual Meeting if such proposals are required to be resubmitted to the Company’s shareholders.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voting agreement is entered into in connection with Section 4(j)(i) of the Securities Purchase Agreement (the “SPA”) dated as of March 25, 2025 between the Company and YA II PN, Ltd. To the extent permitted by law, this voting agreement is irrevocable and shall continue in full force and effect until the obligations under 4(j)(i)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tabs>
          <w:tab w:leader="none" w:pos="6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w:t>
      </w:r>
    </w:p>
    <w:p>
      <w:pPr>
        <w:spacing w:after="0" w:line="260" w:lineRule="exact"/>
        <w:rPr>
          <w:sz w:val="20"/>
          <w:szCs w:val="20"/>
          <w:color w:val="auto"/>
        </w:rPr>
      </w:pPr>
    </w:p>
    <w:p>
      <w:pPr>
        <w:ind w:left="5580"/>
        <w:spacing w:after="0"/>
        <w:tabs>
          <w:tab w:leader="none" w:pos="6400" w:val="left"/>
        </w:tabs>
        <w:rPr>
          <w:sz w:val="20"/>
          <w:szCs w:val="20"/>
          <w:color w:val="auto"/>
        </w:rPr>
      </w:pPr>
      <w:r>
        <w:rPr>
          <w:rFonts w:ascii="Times New Roman" w:cs="Times New Roman" w:eastAsia="Times New Roman" w:hAnsi="Times New Roman"/>
          <w:sz w:val="22"/>
          <w:szCs w:val="22"/>
          <w:color w:val="auto"/>
        </w:rPr>
        <w:t>Name:</w:t>
        <w:tab/>
        <w:t>____________________________</w:t>
      </w:r>
    </w:p>
    <w:p>
      <w:pPr>
        <w:spacing w:after="0" w:line="247" w:lineRule="exact"/>
        <w:rPr>
          <w:sz w:val="20"/>
          <w:szCs w:val="20"/>
          <w:color w:val="auto"/>
        </w:rPr>
      </w:pPr>
    </w:p>
    <w:p>
      <w:pPr>
        <w:ind w:left="5580"/>
        <w:spacing w:after="0"/>
        <w:tabs>
          <w:tab w:leader="none" w:pos="6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____________________________</w:t>
      </w:r>
    </w:p>
    <w:p>
      <w:pPr>
        <w:sectPr>
          <w:pgSz w:w="11900" w:h="16838" w:orient="portrait"/>
          <w:cols w:equalWidth="0" w:num="1">
            <w:col w:w="11240"/>
          </w:cols>
          <w:pgMar w:left="320" w:top="126"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Innventure Reports First Quarter 2025 Results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Accelsius continues to build momentum within the large and growing liquid cooling market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Innventure reiterates confidence in achieving revenue growth inflection during the second half of 2025</w:t>
      </w:r>
    </w:p>
    <w:p>
      <w:pPr>
        <w:spacing w:after="0" w:line="283" w:lineRule="exact"/>
        <w:rPr>
          <w:sz w:val="20"/>
          <w:szCs w:val="20"/>
          <w:color w:val="auto"/>
        </w:rPr>
      </w:pPr>
    </w:p>
    <w:p>
      <w:pPr>
        <w:ind w:right="440"/>
        <w:spacing w:after="0" w:line="286" w:lineRule="auto"/>
        <w:rPr>
          <w:sz w:val="20"/>
          <w:szCs w:val="20"/>
          <w:color w:val="auto"/>
        </w:rPr>
      </w:pPr>
      <w:r>
        <w:rPr>
          <w:rFonts w:ascii="Arial" w:cs="Arial" w:eastAsia="Arial" w:hAnsi="Arial"/>
          <w:sz w:val="20"/>
          <w:szCs w:val="20"/>
          <w:color w:val="auto"/>
        </w:rPr>
        <w:t>ORLANDO, Fla. (May 15, 2025) – Innventure, Inc. (NASDAQ: INV) (“Innventure”), a technology commercialization platform, today announced financial results for the quarter ended March 31, 2025.</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20"/>
          <w:szCs w:val="20"/>
          <w:color w:val="auto"/>
        </w:rPr>
        <w:t>“Innventure’s operating companies continued their momentum to start 2025, with both Accelsius and AeroFlexx further positioning themselves for revenue growth inflection in the second half of this year.” said Bill Haskell, Innventure’s Chief Executive Officer. “We founded Innventure to bring disruptive technologies to market by building companies we believe represent at least $1 billion enterprise value opportunities. Our companies are led by incredibly talented operators who are armed with differentiated technologies designed to meet significant unmet market needs. When it comes to high-growth ventures, timing the inflection point is inherently challenging, but from where we sit today, the confidence we have in our current family of companies has never been higher. ”</w:t>
      </w:r>
    </w:p>
    <w:p>
      <w:pPr>
        <w:spacing w:after="0" w:line="222"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auto"/>
        </w:rPr>
        <w:t>Mr. Haskell continued, “We are most excited about Accelsius’s position in the two-phase, direct-to-chip liquid cooling market. Accelsius has a market leading technology and is engaged in deep discussions with many of the major players including hyperscalers, OEMs, colocation operators and AI-as-a-Service operators. Josh and his team are at the forefront of a seismic liquid cooling adoption cycle that we and data center operators across the ecosystem believe will occur in the near future. Once this shift takes hold, Accelsius is well equipped to catch the wave and drive significant value for our shareholders.”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272" w:lineRule="exact"/>
        <w:rPr>
          <w:sz w:val="20"/>
          <w:szCs w:val="20"/>
          <w:color w:val="auto"/>
        </w:rPr>
      </w:pPr>
    </w:p>
    <w:p>
      <w:pPr>
        <w:ind w:right="180"/>
        <w:spacing w:after="0" w:line="300" w:lineRule="auto"/>
        <w:rPr>
          <w:sz w:val="20"/>
          <w:szCs w:val="20"/>
          <w:color w:val="auto"/>
        </w:rPr>
      </w:pPr>
      <w:r>
        <w:rPr>
          <w:rFonts w:ascii="Arial" w:cs="Arial" w:eastAsia="Arial" w:hAnsi="Arial"/>
          <w:sz w:val="20"/>
          <w:szCs w:val="20"/>
          <w:color w:val="auto"/>
        </w:rPr>
        <w:t xml:space="preserve">A conference call to discuss these results has been scheduled for 5:00 p.m. ET on May 15, 2025. The event will be webcasted live via Innventure’s investor relations website </w:t>
      </w:r>
      <w:r>
        <w:rPr>
          <w:rFonts w:ascii="Arial" w:cs="Arial" w:eastAsia="Arial" w:hAnsi="Arial"/>
          <w:sz w:val="20"/>
          <w:szCs w:val="20"/>
          <w:u w:val="single" w:color="auto"/>
          <w:color w:val="0000FF"/>
        </w:rPr>
        <w:t>https://ir.innventure.com/</w:t>
      </w:r>
      <w:r>
        <w:rPr>
          <w:rFonts w:ascii="Arial" w:cs="Arial" w:eastAsia="Arial" w:hAnsi="Arial"/>
          <w:sz w:val="20"/>
          <w:szCs w:val="20"/>
          <w:color w:val="auto"/>
        </w:rPr>
        <w:t xml:space="preserve"> or via this </w:t>
      </w:r>
      <w:r>
        <w:rPr>
          <w:rFonts w:ascii="Arial" w:cs="Arial" w:eastAsia="Arial" w:hAnsi="Arial"/>
          <w:sz w:val="20"/>
          <w:szCs w:val="20"/>
          <w:u w:val="single" w:color="auto"/>
          <w:color w:val="0000FF"/>
        </w:rPr>
        <w:t>link</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Parties interested in joining via teleconference can register using this </w:t>
      </w:r>
      <w:r>
        <w:rPr>
          <w:rFonts w:ascii="Arial" w:cs="Arial" w:eastAsia="Arial" w:hAnsi="Arial"/>
          <w:sz w:val="20"/>
          <w:szCs w:val="20"/>
          <w:u w:val="single" w:color="auto"/>
          <w:color w:val="0000FF"/>
        </w:rPr>
        <w:t>link</w:t>
      </w:r>
      <w:r>
        <w:rPr>
          <w:rFonts w:ascii="Arial" w:cs="Arial" w:eastAsia="Arial" w:hAnsi="Arial"/>
          <w:sz w:val="20"/>
          <w:szCs w:val="20"/>
          <w:color w:val="auto"/>
        </w:rPr>
        <w:t>.</w:t>
      </w:r>
    </w:p>
    <w:p>
      <w:pPr>
        <w:spacing w:after="0" w:line="270" w:lineRule="exact"/>
        <w:rPr>
          <w:sz w:val="20"/>
          <w:szCs w:val="20"/>
          <w:color w:val="auto"/>
        </w:rPr>
      </w:pPr>
    </w:p>
    <w:p>
      <w:pPr>
        <w:ind w:right="400"/>
        <w:spacing w:after="0" w:line="300" w:lineRule="auto"/>
        <w:rPr>
          <w:sz w:val="20"/>
          <w:szCs w:val="20"/>
          <w:color w:val="auto"/>
        </w:rPr>
      </w:pPr>
      <w:r>
        <w:rPr>
          <w:rFonts w:ascii="Arial" w:cs="Arial" w:eastAsia="Arial" w:hAnsi="Arial"/>
          <w:sz w:val="20"/>
          <w:szCs w:val="20"/>
          <w:color w:val="auto"/>
        </w:rPr>
        <w:t>After registering, you will be provided dial in details and a unique dial-in PIN. Registration is open through the live call, but to ensure you are connected for the full call, we suggest registering in advance.</w:t>
      </w:r>
    </w:p>
    <w:p>
      <w:pPr>
        <w:spacing w:after="0" w:line="181" w:lineRule="exact"/>
        <w:rPr>
          <w:sz w:val="20"/>
          <w:szCs w:val="20"/>
          <w:color w:val="auto"/>
        </w:rPr>
      </w:pPr>
    </w:p>
    <w:p>
      <w:pPr>
        <w:ind w:right="1360"/>
        <w:spacing w:after="0" w:line="300" w:lineRule="auto"/>
        <w:rPr>
          <w:sz w:val="20"/>
          <w:szCs w:val="20"/>
          <w:color w:val="auto"/>
        </w:rPr>
      </w:pPr>
      <w:r>
        <w:rPr>
          <w:rFonts w:ascii="Arial" w:cs="Arial" w:eastAsia="Arial" w:hAnsi="Arial"/>
          <w:sz w:val="20"/>
          <w:szCs w:val="20"/>
          <w:color w:val="auto"/>
        </w:rPr>
        <w:t xml:space="preserve">Innventure will also post a slide presentation to accompany the prepared remarks to its investor relations website </w:t>
      </w:r>
      <w:r>
        <w:rPr>
          <w:rFonts w:ascii="Arial" w:cs="Arial" w:eastAsia="Arial" w:hAnsi="Arial"/>
          <w:sz w:val="20"/>
          <w:szCs w:val="20"/>
          <w:u w:val="single" w:color="auto"/>
          <w:color w:val="0000FF"/>
        </w:rPr>
        <w:t>https://ir.innventure.com/</w:t>
      </w:r>
      <w:r>
        <w:rPr>
          <w:rFonts w:ascii="Arial" w:cs="Arial" w:eastAsia="Arial" w:hAnsi="Arial"/>
          <w:sz w:val="20"/>
          <w:szCs w:val="20"/>
          <w:color w:val="0000FF"/>
        </w:rPr>
        <w:t xml:space="preserve"> </w:t>
      </w:r>
      <w:r>
        <w:rPr>
          <w:rFonts w:ascii="Arial" w:cs="Arial" w:eastAsia="Arial" w:hAnsi="Arial"/>
          <w:sz w:val="20"/>
          <w:szCs w:val="20"/>
          <w:color w:val="000000"/>
        </w:rPr>
        <w:t>shortly before the of the start of the event.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Innventure</w:t>
      </w:r>
    </w:p>
    <w:p>
      <w:pPr>
        <w:spacing w:after="0" w:line="272" w:lineRule="exact"/>
        <w:rPr>
          <w:sz w:val="20"/>
          <w:szCs w:val="20"/>
          <w:color w:val="auto"/>
        </w:rPr>
      </w:pPr>
    </w:p>
    <w:p>
      <w:pPr>
        <w:ind w:right="100"/>
        <w:spacing w:after="0" w:line="300" w:lineRule="auto"/>
        <w:rPr>
          <w:sz w:val="20"/>
          <w:szCs w:val="20"/>
          <w:color w:val="auto"/>
        </w:rPr>
      </w:pPr>
      <w:r>
        <w:rPr>
          <w:rFonts w:ascii="Arial" w:cs="Arial" w:eastAsia="Arial" w:hAnsi="Arial"/>
          <w:sz w:val="20"/>
          <w:szCs w:val="20"/>
          <w:color w:val="auto"/>
        </w:rPr>
        <w:t>Innventure founds, funds, and operates companies with a focus on transformative, sustainable technology solutions acquired or licensed from multinational corporations. As owner-operators, Innventure takes</w:t>
      </w:r>
    </w:p>
    <w:p>
      <w:pPr>
        <w:sectPr>
          <w:pgSz w:w="11900" w:h="16838" w:orient="portrait"/>
          <w:cols w:equalWidth="0" w:num="1">
            <w:col w:w="11240"/>
          </w:cols>
          <w:pgMar w:left="320" w:top="98" w:right="339" w:bottom="1440" w:gutter="0" w:footer="0" w:header="0"/>
        </w:sectPr>
      </w:pPr>
    </w:p>
    <w:bookmarkStart w:id="26" w:name="page27"/>
    <w:bookmarkEnd w:id="26"/>
    <w:p>
      <w:pPr>
        <w:ind w:right="60"/>
        <w:spacing w:after="0" w:line="278" w:lineRule="auto"/>
        <w:rPr>
          <w:sz w:val="20"/>
          <w:szCs w:val="20"/>
          <w:color w:val="auto"/>
        </w:rPr>
      </w:pPr>
      <w:r>
        <w:rPr>
          <w:rFonts w:ascii="Arial" w:cs="Arial" w:eastAsia="Arial" w:hAnsi="Arial"/>
          <w:sz w:val="20"/>
          <w:szCs w:val="20"/>
          <w:color w:val="auto"/>
        </w:rPr>
        <w:t>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72" w:lineRule="exact"/>
        <w:rPr>
          <w:sz w:val="20"/>
          <w:szCs w:val="20"/>
          <w:color w:val="auto"/>
        </w:rPr>
      </w:pPr>
    </w:p>
    <w:p>
      <w:pPr>
        <w:spacing w:after="0" w:line="279" w:lineRule="auto"/>
        <w:rPr>
          <w:sz w:val="20"/>
          <w:szCs w:val="20"/>
          <w:color w:val="auto"/>
        </w:rPr>
      </w:pPr>
      <w:r>
        <w:rPr>
          <w:rFonts w:ascii="Arial" w:cs="Arial" w:eastAsia="Arial" w:hAnsi="Arial"/>
          <w:sz w:val="20"/>
          <w:szCs w:val="20"/>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202"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214" w:lineRule="exact"/>
        <w:rPr>
          <w:sz w:val="20"/>
          <w:szCs w:val="20"/>
          <w:color w:val="auto"/>
        </w:rPr>
      </w:pPr>
    </w:p>
    <w:p>
      <w:pPr>
        <w:ind w:right="200"/>
        <w:spacing w:after="0" w:line="276" w:lineRule="auto"/>
        <w:rPr>
          <w:sz w:val="20"/>
          <w:szCs w:val="20"/>
          <w:color w:val="auto"/>
        </w:rPr>
      </w:pPr>
      <w:r>
        <w:rPr>
          <w:rFonts w:ascii="Arial" w:cs="Arial" w:eastAsia="Arial" w:hAnsi="Arial"/>
          <w:sz w:val="20"/>
          <w:szCs w:val="20"/>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209"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Investors should use caution when comparing our non-GAAP measure to similar metrics used by other companies, as definitions can vary. Adjusted EBITDA should not be considered in isolation or as a substitute for GAAP financial measures.</w:t>
      </w:r>
    </w:p>
    <w:p>
      <w:pPr>
        <w:spacing w:after="0" w:line="159" w:lineRule="exact"/>
        <w:rPr>
          <w:sz w:val="20"/>
          <w:szCs w:val="20"/>
          <w:color w:val="auto"/>
        </w:rPr>
      </w:pPr>
    </w:p>
    <w:p>
      <w:pPr>
        <w:ind w:right="60"/>
        <w:spacing w:after="0" w:line="283" w:lineRule="auto"/>
        <w:rPr>
          <w:sz w:val="20"/>
          <w:szCs w:val="20"/>
          <w:color w:val="auto"/>
        </w:rPr>
      </w:pPr>
      <w:r>
        <w:rPr>
          <w:rFonts w:ascii="Arial" w:cs="Arial" w:eastAsia="Arial" w:hAnsi="Arial"/>
          <w:sz w:val="20"/>
          <w:szCs w:val="20"/>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ectPr>
          <w:pgSz w:w="11900" w:h="16838" w:orient="portrait"/>
          <w:cols w:equalWidth="0" w:num="1">
            <w:col w:w="11240"/>
          </w:cols>
          <w:pgMar w:left="320" w:top="1427"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72" w:lineRule="exact"/>
        <w:rPr>
          <w:sz w:val="20"/>
          <w:szCs w:val="20"/>
          <w:color w:val="auto"/>
        </w:rPr>
      </w:pPr>
    </w:p>
    <w:p>
      <w:pPr>
        <w:ind w:right="60"/>
        <w:spacing w:after="0" w:line="273" w:lineRule="auto"/>
        <w:rPr>
          <w:sz w:val="20"/>
          <w:szCs w:val="20"/>
          <w:color w:val="auto"/>
        </w:rPr>
      </w:pPr>
      <w:r>
        <w:rPr>
          <w:rFonts w:ascii="Arial" w:cs="Arial" w:eastAsia="Arial" w:hAnsi="Arial"/>
          <w:sz w:val="20"/>
          <w:szCs w:val="20"/>
          <w:color w:val="auto"/>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generally relate to future events or Innventure’s (the “Company’s”) future financial or operating performance, expectations regarding new contractual arrangements, anticipated product line expansions and product testing and market acceptance, and these statements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Securities and Exchange Commission and the following: (a)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the Company’s and its subsidiaries’ ability to invest in growth initiatives; (b) the implementation, market acceptance and success of the Company’s and its subsidiaries’ business models and growth strategies; (c) the Company’s and its subsidiaries’ future capital requirements and sources and uses of cash; (d) the Company’s access to funds under the Standby Equity Purchase Agreement with YA II PN, Ltd. (“YA”) or the Securities Purchase Agreement and related convertible debentures with YA due to certain conditions, restrictions and limitations set forth therein; (e) certain restrictions and limitations set forth in the Company’s debt instruments, which may impair the Company’s financial and operating flexibility; (f) the Company and its subsidiaries ability to generate liquidity and maintain sufficient capital to operate as anticipated; (g) the Company’s and its subsidiaries’ ability to obtain funding for their operations and future growth and to continue as going concerns; (h) the risk that the technology solutions that the Company and its subsidiaries license or acquire from third parties or develop internally may not function as anticipated or provide the benefits anticipated; (i) developments and projections relating to the Company’s and its subsidiaries’ competitors and industry; (j) the ability of the Company and its subsidiaries to scale the operations of their businesses; (k) the ability of the Company and its subsidiaries to establish substantial commercial sales of their products; (l) the ability of the Company and its subsidiaries to compete against companies with greater capital and other resources or superior technology or products; (m) the Company and its subsidiaries’ ability to meet, and to continue to meet, applicable regulatory requirements for the use of their respective products and the numerous regulatory requirements generally applicable to their businesses; (m) the outcome of any legal proceedings against</w:t>
      </w:r>
    </w:p>
    <w:p>
      <w:pPr>
        <w:sectPr>
          <w:pgSz w:w="11900" w:h="16838" w:orient="portrait"/>
          <w:cols w:equalWidth="0" w:num="1">
            <w:col w:w="11220"/>
          </w:cols>
          <w:pgMar w:left="320" w:top="1425" w:right="359" w:bottom="1440" w:gutter="0" w:footer="0" w:header="0"/>
        </w:sectPr>
      </w:pPr>
    </w:p>
    <w:bookmarkStart w:id="28" w:name="page29"/>
    <w:bookmarkEnd w:id="28"/>
    <w:p>
      <w:pPr>
        <w:spacing w:after="0" w:line="271" w:lineRule="auto"/>
        <w:rPr>
          <w:sz w:val="20"/>
          <w:szCs w:val="20"/>
          <w:color w:val="auto"/>
        </w:rPr>
      </w:pPr>
      <w:r>
        <w:rPr>
          <w:rFonts w:ascii="Arial" w:cs="Arial" w:eastAsia="Arial" w:hAnsi="Arial"/>
          <w:sz w:val="20"/>
          <w:szCs w:val="20"/>
          <w:color w:val="auto"/>
        </w:rPr>
        <w:t>the Company or its subsidiaries; (o)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(p) the risk that the launch of new companies distracts the Company’s management from its other subsidiaries and their operations; (q) the risk that the Company may be deemed an investment company under the Investment Company Act, which would impose burdensome compliance requirements and restrictions on its activities; (r) the ability of the Company and its subsidiaries to sufficiently protect their intellectual property rights and to avoid or resolve in a timely and cost-effective manner any disputes that may arise relating to its use of the intellectual property of third parties; (s) the risk of a cyber-attack or a failure of the Company’s or its subsidiaries’ information technology and data security infrastructure; (t) geopolitical risk and changes in applicable laws or regulations; (u) potential adverse effects of other economic, business, and/or competitive factors; (v) operational risks related to the Company and its subsidiaries that have limited or no operating history; and (w) limited liquidity and trading of the Company’s securities.</w:t>
      </w:r>
    </w:p>
    <w:p>
      <w:pPr>
        <w:spacing w:after="0" w:line="218" w:lineRule="exact"/>
        <w:rPr>
          <w:sz w:val="20"/>
          <w:szCs w:val="20"/>
          <w:color w:val="auto"/>
        </w:rPr>
      </w:pPr>
    </w:p>
    <w:p>
      <w:pPr>
        <w:ind w:right="340"/>
        <w:spacing w:after="0" w:line="300" w:lineRule="auto"/>
        <w:rPr>
          <w:sz w:val="20"/>
          <w:szCs w:val="20"/>
          <w:color w:val="auto"/>
        </w:rPr>
      </w:pPr>
      <w:r>
        <w:rPr>
          <w:rFonts w:ascii="Arial" w:cs="Arial" w:eastAsia="Arial" w:hAnsi="Arial"/>
          <w:sz w:val="20"/>
          <w:szCs w:val="20"/>
          <w:color w:val="auto"/>
        </w:rPr>
        <w:t>Except to the extent required by applicable law or regulation, the Company undertakes no obligation to update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22" w:lineRule="exact"/>
        <w:rPr>
          <w:sz w:val="20"/>
          <w:szCs w:val="20"/>
          <w:color w:val="auto"/>
        </w:rPr>
      </w:pPr>
    </w:p>
    <w:p>
      <w:pPr>
        <w:ind w:right="5040"/>
        <w:spacing w:after="0" w:line="302" w:lineRule="auto"/>
        <w:rPr>
          <w:sz w:val="20"/>
          <w:szCs w:val="20"/>
          <w:color w:val="auto"/>
        </w:rPr>
      </w:pPr>
      <w:r>
        <w:rPr>
          <w:rFonts w:ascii="Arial" w:cs="Arial" w:eastAsia="Arial" w:hAnsi="Arial"/>
          <w:sz w:val="20"/>
          <w:szCs w:val="20"/>
          <w:b w:val="1"/>
          <w:bCs w:val="1"/>
          <w:color w:val="auto"/>
        </w:rPr>
        <w:t xml:space="preserve">Media Contact: </w:t>
      </w:r>
      <w:r>
        <w:rPr>
          <w:rFonts w:ascii="Arial" w:cs="Arial" w:eastAsia="Arial" w:hAnsi="Arial"/>
          <w:sz w:val="20"/>
          <w:szCs w:val="20"/>
          <w:color w:val="auto"/>
        </w:rPr>
        <w:t>Laurie Steinberg, Solebury Strategic Communications</w:t>
      </w:r>
      <w:r>
        <w:rPr>
          <w:rFonts w:ascii="Arial" w:cs="Arial" w:eastAsia="Arial" w:hAnsi="Arial"/>
          <w:sz w:val="20"/>
          <w:szCs w:val="20"/>
          <w:b w:val="1"/>
          <w:bCs w:val="1"/>
          <w:color w:val="auto"/>
        </w:rPr>
        <w:t xml:space="preserve"> </w:t>
      </w:r>
      <w:r>
        <w:rPr>
          <w:rFonts w:ascii="Arial" w:cs="Arial" w:eastAsia="Arial" w:hAnsi="Arial"/>
          <w:sz w:val="20"/>
          <w:szCs w:val="20"/>
          <w:color w:val="0563C1"/>
        </w:rPr>
        <w:t>press@innventure.com</w:t>
      </w:r>
    </w:p>
    <w:p>
      <w:pPr>
        <w:spacing w:after="0" w:line="177" w:lineRule="exact"/>
        <w:rPr>
          <w:sz w:val="20"/>
          <w:szCs w:val="20"/>
          <w:color w:val="auto"/>
        </w:rPr>
      </w:pPr>
    </w:p>
    <w:p>
      <w:pPr>
        <w:ind w:right="4160"/>
        <w:spacing w:after="0" w:line="302" w:lineRule="auto"/>
        <w:rPr>
          <w:sz w:val="20"/>
          <w:szCs w:val="20"/>
          <w:color w:val="auto"/>
        </w:rPr>
      </w:pPr>
      <w:r>
        <w:rPr>
          <w:rFonts w:ascii="Arial" w:cs="Arial" w:eastAsia="Arial" w:hAnsi="Arial"/>
          <w:sz w:val="20"/>
          <w:szCs w:val="20"/>
          <w:b w:val="1"/>
          <w:bCs w:val="1"/>
          <w:color w:val="auto"/>
        </w:rPr>
        <w:t xml:space="preserve">Investor Relations Contact: </w:t>
      </w:r>
      <w:r>
        <w:rPr>
          <w:rFonts w:ascii="Arial" w:cs="Arial" w:eastAsia="Arial" w:hAnsi="Arial"/>
          <w:sz w:val="20"/>
          <w:szCs w:val="20"/>
          <w:color w:val="auto"/>
        </w:rPr>
        <w:t>Sloan Bohlen, Solebury Strategic Communications</w:t>
      </w:r>
      <w:r>
        <w:rPr>
          <w:rFonts w:ascii="Arial" w:cs="Arial" w:eastAsia="Arial" w:hAnsi="Arial"/>
          <w:sz w:val="20"/>
          <w:szCs w:val="20"/>
          <w:b w:val="1"/>
          <w:bCs w:val="1"/>
          <w:color w:val="auto"/>
        </w:rPr>
        <w:t xml:space="preserve"> </w:t>
      </w:r>
      <w:r>
        <w:rPr>
          <w:rFonts w:ascii="Arial" w:cs="Arial" w:eastAsia="Arial" w:hAnsi="Arial"/>
          <w:sz w:val="20"/>
          <w:szCs w:val="20"/>
          <w:color w:val="0563C1"/>
        </w:rPr>
        <w:t>investorrelations@innventure.com</w:t>
      </w:r>
    </w:p>
    <w:p>
      <w:pPr>
        <w:sectPr>
          <w:pgSz w:w="11900" w:h="16838" w:orient="portrait"/>
          <w:cols w:equalWidth="0" w:num="1">
            <w:col w:w="11220"/>
          </w:cols>
          <w:pgMar w:left="320" w:top="1427" w:right="3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20" w:type="dxa"/>
            <w:vAlign w:val="bottom"/>
          </w:tcPr>
          <w:p>
            <w:pPr>
              <w:spacing w:after="0"/>
              <w:rPr>
                <w:sz w:val="15"/>
                <w:szCs w:val="15"/>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March 31, 2025 (Unaudited)</w:t>
            </w:r>
          </w:p>
        </w:tc>
        <w:tc>
          <w:tcPr>
            <w:tcW w:w="120" w:type="dxa"/>
            <w:vAlign w:val="bottom"/>
          </w:tcPr>
          <w:p>
            <w:pPr>
              <w:spacing w:after="0"/>
              <w:rPr>
                <w:sz w:val="15"/>
                <w:szCs w:val="15"/>
                <w:color w:val="auto"/>
              </w:rPr>
            </w:pPr>
          </w:p>
        </w:tc>
        <w:tc>
          <w:tcPr>
            <w:tcW w:w="1620" w:type="dxa"/>
            <w:vAlign w:val="bottom"/>
            <w:tcBorders>
              <w:top w:val="single" w:sz="8" w:color="auto"/>
              <w:bottom w:val="single" w:sz="8" w:color="auto"/>
            </w:tcBorders>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4"/>
        </w:trPr>
        <w:tc>
          <w:tcPr>
            <w:tcW w:w="79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Assets</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1,375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11,119</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237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4,536</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5,220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5,178</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3,329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3,170</w:t>
            </w:r>
          </w:p>
        </w:tc>
        <w:tc>
          <w:tcPr>
            <w:tcW w:w="0" w:type="dxa"/>
            <w:vAlign w:val="bottom"/>
          </w:tcPr>
          <w:p>
            <w:pPr>
              <w:spacing w:after="0"/>
              <w:rPr>
                <w:sz w:val="1"/>
                <w:szCs w:val="1"/>
                <w:color w:val="auto"/>
              </w:rPr>
            </w:pPr>
          </w:p>
        </w:tc>
      </w:tr>
      <w:tr>
        <w:trPr>
          <w:trHeight w:val="167"/>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10,285</w:t>
            </w: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24,286</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33,684</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28,734</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2,186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1,414</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89"/>
              </w:rPr>
              <w:t>176,750</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89"/>
              </w:rPr>
              <w:t>182,153</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89"/>
              </w:rPr>
              <w:t>436,807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89"/>
              </w:rPr>
              <w:t>667,936</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766</w:t>
            </w:r>
          </w:p>
        </w:tc>
        <w:tc>
          <w:tcPr>
            <w:tcW w:w="0" w:type="dxa"/>
            <w:vAlign w:val="bottom"/>
          </w:tcPr>
          <w:p>
            <w:pPr>
              <w:spacing w:after="0"/>
              <w:rPr>
                <w:sz w:val="1"/>
                <w:szCs w:val="1"/>
                <w:color w:val="auto"/>
              </w:rPr>
            </w:pPr>
          </w:p>
        </w:tc>
      </w:tr>
      <w:tr>
        <w:trPr>
          <w:trHeight w:val="167"/>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89"/>
              </w:rPr>
              <w:t>660,419</w:t>
            </w:r>
          </w:p>
        </w:tc>
        <w:tc>
          <w:tcPr>
            <w:tcW w:w="120" w:type="dxa"/>
            <w:vAlign w:val="bottom"/>
          </w:tcPr>
          <w:p>
            <w:pPr>
              <w:spacing w:after="0"/>
              <w:rPr>
                <w:sz w:val="14"/>
                <w:szCs w:val="14"/>
                <w:color w:val="auto"/>
              </w:rPr>
            </w:pPr>
          </w:p>
        </w:tc>
        <w:tc>
          <w:tcPr>
            <w:tcW w:w="108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89"/>
              </w:rPr>
              <w:t>905,289</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Deficit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5,061</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3,248</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11,216</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9,273</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3,102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2,478</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Related party notes payable - current</w:t>
            </w:r>
          </w:p>
        </w:tc>
        <w:tc>
          <w:tcPr>
            <w:tcW w:w="1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14,000</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 current</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2,141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625</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 current</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700</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1,225</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4,158</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liability</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24,003</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34,023</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166"/>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47,324</w:t>
            </w: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69,347</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net of current portion</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12,346</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13,654</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Earnout liability</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7,470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14,752</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718</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1,160</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 installment payable, net of current</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12,375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12,375</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25,454</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27,353</w:t>
            </w: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355</w:t>
            </w:r>
          </w:p>
        </w:tc>
        <w:tc>
          <w:tcPr>
            <w:tcW w:w="0" w:type="dxa"/>
            <w:vAlign w:val="bottom"/>
          </w:tcPr>
          <w:p>
            <w:pPr>
              <w:spacing w:after="0"/>
              <w:rPr>
                <w:sz w:val="1"/>
                <w:szCs w:val="1"/>
                <w:color w:val="auto"/>
              </w:rPr>
            </w:pPr>
          </w:p>
        </w:tc>
      </w:tr>
      <w:tr>
        <w:trPr>
          <w:trHeight w:val="43"/>
        </w:trPr>
        <w:tc>
          <w:tcPr>
            <w:tcW w:w="79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89"/>
              </w:rPr>
              <w:t>105,947</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89"/>
              </w:rPr>
              <w:t>138,996</w:t>
            </w:r>
          </w:p>
        </w:tc>
        <w:tc>
          <w:tcPr>
            <w:tcW w:w="0" w:type="dxa"/>
            <w:vAlign w:val="bottom"/>
          </w:tcPr>
          <w:p>
            <w:pPr>
              <w:spacing w:after="0"/>
              <w:rPr>
                <w:sz w:val="1"/>
                <w:szCs w:val="1"/>
                <w:color w:val="auto"/>
              </w:rPr>
            </w:pPr>
          </w:p>
        </w:tc>
      </w:tr>
      <w:tr>
        <w:trPr>
          <w:trHeight w:val="171"/>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16)</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2,885,848 and — shares issued and outstanding as of March 31, 2025 and</w:t>
            </w:r>
          </w:p>
        </w:tc>
        <w:tc>
          <w:tcPr>
            <w:tcW w:w="1000" w:type="dxa"/>
            <w:vAlign w:val="bottom"/>
          </w:tcPr>
          <w:p>
            <w:pPr>
              <w:spacing w:after="0"/>
              <w:rPr>
                <w:sz w:val="14"/>
                <w:szCs w:val="14"/>
                <w:color w:val="auto"/>
              </w:rPr>
            </w:pPr>
          </w:p>
        </w:tc>
        <w:tc>
          <w:tcPr>
            <w:tcW w:w="5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28,727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0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1,118,808 and 1,102,000 shares issued and outstanding as of March 31, 2025 and</w:t>
            </w:r>
          </w:p>
        </w:tc>
        <w:tc>
          <w:tcPr>
            <w:tcW w:w="10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5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0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7"/>
              </w:rPr>
              <w:t>Common Stock, $0.0001 par value, 250,000,000 shares authorized, 47,103,800 and 44,597,154 shares issued and outstanding as of March 31, 2025 and</w:t>
            </w:r>
          </w:p>
        </w:tc>
        <w:tc>
          <w:tcPr>
            <w:tcW w:w="10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3"/>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0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00" w:type="dxa"/>
            <w:vAlign w:val="bottom"/>
          </w:tcPr>
          <w:p>
            <w:pPr>
              <w:spacing w:after="0"/>
              <w:rPr>
                <w:sz w:val="17"/>
                <w:szCs w:val="17"/>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89"/>
              </w:rPr>
              <w:t>484,256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89"/>
              </w:rPr>
              <w:t>502,865</w:t>
            </w: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 gain</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909</w:t>
            </w:r>
          </w:p>
        </w:tc>
        <w:tc>
          <w:tcPr>
            <w:tcW w:w="0" w:type="dxa"/>
            <w:vAlign w:val="bottom"/>
          </w:tcPr>
          <w:p>
            <w:pPr>
              <w:spacing w:after="0"/>
              <w:rPr>
                <w:sz w:val="1"/>
                <w:szCs w:val="1"/>
                <w:color w:val="auto"/>
              </w:rPr>
            </w:pPr>
          </w:p>
        </w:tc>
      </w:tr>
      <w:tr>
        <w:trPr>
          <w:trHeight w:val="43"/>
        </w:trPr>
        <w:tc>
          <w:tcPr>
            <w:tcW w:w="79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27" w:right="359" w:bottom="1440" w:gutter="0" w:footer="0" w:header="0"/>
        </w:sectPr>
      </w:pPr>
    </w:p>
    <w:bookmarkStart w:id="30" w:name="page31"/>
    <w:bookmarkEnd w:id="30"/>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20" w:type="dxa"/>
            <w:vAlign w:val="bottom"/>
          </w:tcPr>
          <w:p>
            <w:pPr>
              <w:spacing w:after="0"/>
              <w:rPr>
                <w:sz w:val="15"/>
                <w:szCs w:val="15"/>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March 31, 2025 (Unaudited)</w:t>
            </w:r>
          </w:p>
        </w:tc>
        <w:tc>
          <w:tcPr>
            <w:tcW w:w="12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46"/>
        </w:trPr>
        <w:tc>
          <w:tcPr>
            <w:tcW w:w="79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Assets</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(221,285)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4"/>
              </w:rPr>
              <w:t>(78,262)</w:t>
            </w:r>
          </w:p>
        </w:tc>
      </w:tr>
      <w:tr>
        <w:trPr>
          <w:trHeight w:val="43"/>
        </w:trPr>
        <w:tc>
          <w:tcPr>
            <w:tcW w:w="79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9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Innventure, Inc., Stockholders’ Equity</w:t>
            </w: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261,498</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425,516</w:t>
            </w: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264,247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340,777</w:t>
            </w:r>
          </w:p>
        </w:tc>
      </w:tr>
      <w:tr>
        <w:trPr>
          <w:trHeight w:val="43"/>
        </w:trPr>
        <w:tc>
          <w:tcPr>
            <w:tcW w:w="79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1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525,745</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766,293</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Mezzanine and Stockholders' Equity</w:t>
            </w:r>
          </w:p>
        </w:tc>
        <w:tc>
          <w:tcPr>
            <w:tcW w:w="15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660,419</w:t>
            </w:r>
          </w:p>
        </w:tc>
        <w:tc>
          <w:tcPr>
            <w:tcW w:w="120" w:type="dxa"/>
            <w:vAlign w:val="bottom"/>
          </w:tcPr>
          <w:p>
            <w:pPr>
              <w:spacing w:after="0"/>
              <w:rPr>
                <w:sz w:val="15"/>
                <w:szCs w:val="15"/>
                <w:color w:val="auto"/>
              </w:rPr>
            </w:pPr>
          </w:p>
        </w:tc>
        <w:tc>
          <w:tcPr>
            <w:tcW w:w="10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29"/>
        </w:trPr>
        <w:tc>
          <w:tcPr>
            <w:tcW w:w="79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20"/>
          </w:cols>
          <w:pgMar w:left="320" w:top="1440" w:right="359" w:bottom="1440" w:gutter="0" w:footer="0" w:header="0"/>
        </w:sectPr>
      </w:pPr>
    </w:p>
    <w:bookmarkStart w:id="31" w:name="page32"/>
    <w:bookmarkEnd w:id="31"/>
    <w:p>
      <w:pPr>
        <w:ind w:left="426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5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26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00" w:type="dxa"/>
            <w:vAlign w:val="bottom"/>
            <w:tcBorders>
              <w:bottom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240" w:type="dxa"/>
            <w:vAlign w:val="bottom"/>
          </w:tcPr>
          <w:p>
            <w:pPr>
              <w:spacing w:after="0"/>
              <w:rPr>
                <w:sz w:val="11"/>
                <w:szCs w:val="11"/>
                <w:color w:val="auto"/>
              </w:rPr>
            </w:pPr>
          </w:p>
        </w:tc>
        <w:tc>
          <w:tcPr>
            <w:tcW w:w="17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5"/>
        </w:trPr>
        <w:tc>
          <w:tcPr>
            <w:tcW w:w="72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22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224</w:t>
            </w:r>
          </w:p>
        </w:tc>
        <w:tc>
          <w:tcPr>
            <w:tcW w:w="16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224</w:t>
            </w:r>
          </w:p>
        </w:tc>
      </w:tr>
      <w:tr>
        <w:trPr>
          <w:trHeight w:val="270"/>
        </w:trPr>
        <w:tc>
          <w:tcPr>
            <w:tcW w:w="7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0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9"/>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1260" w:type="dxa"/>
            <w:vAlign w:val="bottom"/>
          </w:tcPr>
          <w:p>
            <w:pPr>
              <w:spacing w:after="0"/>
              <w:rPr>
                <w:sz w:val="19"/>
                <w:szCs w:val="19"/>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184</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40" w:type="dxa"/>
            <w:vAlign w:val="bottom"/>
          </w:tcPr>
          <w:p>
            <w:pPr>
              <w:spacing w:after="0"/>
              <w:rPr>
                <w:sz w:val="3"/>
                <w:szCs w:val="3"/>
                <w:color w:val="auto"/>
              </w:rPr>
            </w:pPr>
          </w:p>
        </w:tc>
        <w:tc>
          <w:tcPr>
            <w:tcW w:w="1760" w:type="dxa"/>
            <w:vAlign w:val="bottom"/>
            <w:gridSpan w:val="2"/>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6"/>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19,676</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7,904</w:t>
            </w:r>
          </w:p>
        </w:tc>
      </w:tr>
      <w:tr>
        <w:trPr>
          <w:trHeight w:val="220"/>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1260" w:type="dxa"/>
            <w:vAlign w:val="bottom"/>
          </w:tcPr>
          <w:p>
            <w:pPr>
              <w:spacing w:after="0"/>
              <w:rPr>
                <w:sz w:val="19"/>
                <w:szCs w:val="19"/>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2,096</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1,183</w:t>
            </w:r>
          </w:p>
        </w:tc>
      </w:tr>
      <w:tr>
        <w:trPr>
          <w:trHeight w:val="37"/>
        </w:trPr>
        <w:tc>
          <w:tcPr>
            <w:tcW w:w="7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7"/>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6,253</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1,669</w:t>
            </w:r>
          </w:p>
        </w:tc>
      </w:tr>
      <w:tr>
        <w:trPr>
          <w:trHeight w:val="219"/>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17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233,213</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16"/>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261,422</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10,756</w:t>
            </w:r>
          </w:p>
        </w:tc>
      </w:tr>
      <w:tr>
        <w:trPr>
          <w:trHeight w:val="270"/>
        </w:trPr>
        <w:tc>
          <w:tcPr>
            <w:tcW w:w="7240" w:type="dxa"/>
            <w:vAlign w:val="bottom"/>
          </w:tcPr>
          <w:p>
            <w:pPr>
              <w:spacing w:after="0"/>
              <w:rPr>
                <w:sz w:val="23"/>
                <w:szCs w:val="23"/>
                <w:color w:val="auto"/>
              </w:rPr>
            </w:pPr>
          </w:p>
        </w:tc>
        <w:tc>
          <w:tcPr>
            <w:tcW w:w="1760" w:type="dxa"/>
            <w:vAlign w:val="bottom"/>
            <w:gridSpan w:val="2"/>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(261,198)</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(10,532)</w:t>
            </w:r>
          </w:p>
        </w:tc>
      </w:tr>
      <w:tr>
        <w:trPr>
          <w:trHeight w:val="270"/>
        </w:trPr>
        <w:tc>
          <w:tcPr>
            <w:tcW w:w="7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0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(Expense) and Income</w:t>
            </w: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0"/>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37"/>
        </w:trPr>
        <w:tc>
          <w:tcPr>
            <w:tcW w:w="7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6"/>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on investments</w:t>
            </w:r>
          </w:p>
        </w:tc>
        <w:tc>
          <w:tcPr>
            <w:tcW w:w="1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5,189</w:t>
            </w:r>
          </w:p>
        </w:tc>
      </w:tr>
      <w:tr>
        <w:trPr>
          <w:trHeight w:val="220"/>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on investments - due to related parties</w:t>
            </w:r>
          </w:p>
        </w:tc>
        <w:tc>
          <w:tcPr>
            <w:tcW w:w="1260" w:type="dxa"/>
            <w:vAlign w:val="bottom"/>
          </w:tcPr>
          <w:p>
            <w:pPr>
              <w:spacing w:after="0"/>
              <w:rPr>
                <w:sz w:val="19"/>
                <w:szCs w:val="19"/>
                <w:color w:val="auto"/>
              </w:rPr>
            </w:pPr>
          </w:p>
        </w:tc>
        <w:tc>
          <w:tcPr>
            <w:tcW w:w="6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37"/>
        </w:trPr>
        <w:tc>
          <w:tcPr>
            <w:tcW w:w="7240" w:type="dxa"/>
            <w:vAlign w:val="bottom"/>
          </w:tcPr>
          <w:p>
            <w:pPr>
              <w:spacing w:after="0"/>
              <w:rPr>
                <w:sz w:val="3"/>
                <w:szCs w:val="3"/>
                <w:color w:val="auto"/>
              </w:rPr>
            </w:pPr>
          </w:p>
        </w:tc>
        <w:tc>
          <w:tcPr>
            <w:tcW w:w="1760" w:type="dxa"/>
            <w:vAlign w:val="bottom"/>
            <w:gridSpan w:val="2"/>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6"/>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16,429</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220"/>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 investment (loss) gain</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7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7"/>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conversion of available for sale investment</w:t>
            </w:r>
          </w:p>
        </w:tc>
        <w:tc>
          <w:tcPr>
            <w:tcW w:w="1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1,507</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related party debt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7"/>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1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220"/>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Miscellaneous other income</w:t>
            </w:r>
          </w:p>
        </w:tc>
        <w:tc>
          <w:tcPr>
            <w:tcW w:w="1260" w:type="dxa"/>
            <w:vAlign w:val="bottom"/>
          </w:tcPr>
          <w:p>
            <w:pPr>
              <w:spacing w:after="0"/>
              <w:rPr>
                <w:sz w:val="19"/>
                <w:szCs w:val="19"/>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1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Income</w:t>
            </w:r>
          </w:p>
        </w:tc>
        <w:tc>
          <w:tcPr>
            <w:tcW w:w="1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6,125</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3,006</w:t>
            </w:r>
          </w:p>
        </w:tc>
      </w:tr>
      <w:tr>
        <w:trPr>
          <w:trHeight w:val="297"/>
        </w:trPr>
        <w:tc>
          <w:tcPr>
            <w:tcW w:w="7240" w:type="dxa"/>
            <w:vAlign w:val="bottom"/>
          </w:tcPr>
          <w:p>
            <w:pPr>
              <w:spacing w:after="0"/>
              <w:rPr>
                <w:sz w:val="24"/>
                <w:szCs w:val="24"/>
                <w:color w:val="auto"/>
              </w:rPr>
            </w:pPr>
          </w:p>
        </w:tc>
        <w:tc>
          <w:tcPr>
            <w:tcW w:w="1760" w:type="dxa"/>
            <w:vAlign w:val="bottom"/>
            <w:gridSpan w:val="2"/>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(255,073)</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(7,526)</w:t>
            </w:r>
          </w:p>
        </w:tc>
      </w:tr>
      <w:tr>
        <w:trPr>
          <w:trHeight w:val="297"/>
        </w:trPr>
        <w:tc>
          <w:tcPr>
            <w:tcW w:w="7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1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(253,674)</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23"/>
        </w:trPr>
        <w:tc>
          <w:tcPr>
            <w:tcW w:w="7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7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1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20"/>
        </w:trPr>
        <w:tc>
          <w:tcPr>
            <w:tcW w:w="7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37"/>
        </w:trPr>
        <w:tc>
          <w:tcPr>
            <w:tcW w:w="724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Innventure, Inc. Stockholders / Innventure LLC Unitholders</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(142,997)</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(5,219)</w:t>
            </w:r>
          </w:p>
        </w:tc>
      </w:tr>
      <w:tr>
        <w:trPr>
          <w:trHeight w:val="250"/>
        </w:trPr>
        <w:tc>
          <w:tcPr>
            <w:tcW w:w="724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r>
      <w:tr>
        <w:trPr>
          <w:trHeight w:val="237"/>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19"/>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weighted average common shares</w:t>
            </w:r>
          </w:p>
        </w:tc>
        <w:tc>
          <w:tcPr>
            <w:tcW w:w="17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46,252,922</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7"/>
        </w:trPr>
        <w:tc>
          <w:tcPr>
            <w:tcW w:w="7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97"/>
        </w:trPr>
        <w:tc>
          <w:tcPr>
            <w:tcW w:w="7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bl>
    <w:p>
      <w:pPr>
        <w:sectPr>
          <w:pgSz w:w="11900" w:h="16838" w:orient="portrait"/>
          <w:cols w:equalWidth="0" w:num="1">
            <w:col w:w="11040"/>
          </w:cols>
          <w:pgMar w:left="400" w:top="1427" w:right="459" w:bottom="1440" w:gutter="0" w:footer="0" w:header="0"/>
        </w:sectPr>
      </w:pPr>
    </w:p>
    <w:bookmarkStart w:id="32" w:name="page33"/>
    <w:bookmarkEnd w:id="3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 net of taxes:</w:t>
            </w:r>
          </w:p>
        </w:tc>
        <w:tc>
          <w:tcPr>
            <w:tcW w:w="1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6"/>
        </w:trPr>
        <w:tc>
          <w:tcPr>
            <w:tcW w:w="7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loss on available for sale debt securities - related party</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7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Reclassification of realized gain on conversion of available for sale investments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4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1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loss, net of taxes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(2,387)</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724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16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r>
      <w:tr>
        <w:trPr>
          <w:trHeight w:val="21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net of taxes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(256,061)</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219"/>
        </w:trPr>
        <w:tc>
          <w:tcPr>
            <w:tcW w:w="7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comprehensive loss attributable to</w:t>
            </w:r>
          </w:p>
        </w:tc>
        <w:tc>
          <w:tcPr>
            <w:tcW w:w="17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7"/>
        </w:trPr>
        <w:tc>
          <w:tcPr>
            <w:tcW w:w="7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7"/>
        </w:trPr>
        <w:tc>
          <w:tcPr>
            <w:tcW w:w="7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Comprehensive Loss Attributable to Innventure, Inc. Stockholders / Innventure LLC Unitholders</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(145,384)</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(5,219)</w:t>
            </w:r>
          </w:p>
        </w:tc>
      </w:tr>
    </w:tbl>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040"/>
          </w:cols>
          <w:pgMar w:left="400" w:top="1440" w:right="45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 (Predecessor)</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Class B-1</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vMerge w:val="restart"/>
          </w:tcPr>
          <w:p>
            <w:pPr>
              <w:spacing w:after="0"/>
              <w:rPr>
                <w:sz w:val="15"/>
                <w:szCs w:val="15"/>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100" w:type="dxa"/>
            <w:vAlign w:val="bottom"/>
            <w:vMerge w:val="restart"/>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OCI</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0"/>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38,122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1,950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1,559</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0" w:type="dxa"/>
            <w:vAlign w:val="bottom"/>
          </w:tcPr>
          <w:p>
            <w:pPr>
              <w:spacing w:after="0"/>
              <w:rPr>
                <w:sz w:val="1"/>
                <w:szCs w:val="1"/>
                <w:color w:val="auto"/>
              </w:rPr>
            </w:pPr>
          </w:p>
        </w:tc>
      </w:tr>
      <w:tr>
        <w:trPr>
          <w:trHeight w:val="270"/>
        </w:trPr>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non-</w:t>
            </w:r>
          </w:p>
        </w:tc>
        <w:tc>
          <w:tcPr>
            <w:tcW w:w="11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controlling interest</w:t>
            </w:r>
          </w:p>
        </w:tc>
        <w:tc>
          <w:tcPr>
            <w:tcW w:w="1100" w:type="dxa"/>
            <w:vAlign w:val="bottom"/>
            <w:tcBorders>
              <w:bottom w:val="single" w:sz="8" w:color="CCEEFF"/>
            </w:tcBorders>
            <w:gridSpan w:val="2"/>
            <w:vMerge w:val="continue"/>
            <w:shd w:val="clear" w:color="auto" w:fill="CCEEFF"/>
          </w:tcPr>
          <w:p>
            <w:pPr>
              <w:spacing w:after="0"/>
              <w:rPr>
                <w:sz w:val="21"/>
                <w:szCs w:val="21"/>
                <w:color w:val="auto"/>
              </w:rPr>
            </w:pPr>
          </w:p>
        </w:tc>
        <w:tc>
          <w:tcPr>
            <w:tcW w:w="1040" w:type="dxa"/>
            <w:vAlign w:val="bottom"/>
            <w:tcBorders>
              <w:bottom w:val="single" w:sz="8" w:color="CCEEFF"/>
            </w:tcBorders>
            <w:gridSpan w:val="2"/>
            <w:vMerge w:val="continue"/>
            <w:shd w:val="clear" w:color="auto" w:fill="CCEEFF"/>
          </w:tcPr>
          <w:p>
            <w:pPr>
              <w:spacing w:after="0"/>
              <w:rPr>
                <w:sz w:val="21"/>
                <w:szCs w:val="21"/>
                <w:color w:val="auto"/>
              </w:rPr>
            </w:pPr>
          </w:p>
        </w:tc>
        <w:tc>
          <w:tcPr>
            <w:tcW w:w="1060" w:type="dxa"/>
            <w:vAlign w:val="bottom"/>
            <w:tcBorders>
              <w:bottom w:val="single" w:sz="8" w:color="CCEEFF"/>
            </w:tcBorders>
            <w:gridSpan w:val="2"/>
            <w:vMerge w:val="continue"/>
            <w:shd w:val="clear" w:color="auto" w:fill="CCEEFF"/>
          </w:tcPr>
          <w:p>
            <w:pPr>
              <w:spacing w:after="0"/>
              <w:rPr>
                <w:sz w:val="21"/>
                <w:szCs w:val="21"/>
                <w:color w:val="auto"/>
              </w:rPr>
            </w:pPr>
          </w:p>
        </w:tc>
        <w:tc>
          <w:tcPr>
            <w:tcW w:w="1020" w:type="dxa"/>
            <w:vAlign w:val="bottom"/>
            <w:tcBorders>
              <w:bottom w:val="single" w:sz="8" w:color="CCEEFF"/>
            </w:tcBorders>
            <w:gridSpan w:val="2"/>
            <w:vMerge w:val="continue"/>
            <w:shd w:val="clear" w:color="auto" w:fill="CCEEFF"/>
          </w:tcPr>
          <w:p>
            <w:pPr>
              <w:spacing w:after="0"/>
              <w:rPr>
                <w:sz w:val="21"/>
                <w:szCs w:val="21"/>
                <w:color w:val="auto"/>
              </w:rPr>
            </w:pPr>
          </w:p>
        </w:tc>
        <w:tc>
          <w:tcPr>
            <w:tcW w:w="1220" w:type="dxa"/>
            <w:vAlign w:val="bottom"/>
            <w:tcBorders>
              <w:bottom w:val="single" w:sz="8" w:color="CCEEFF"/>
            </w:tcBorders>
            <w:gridSpan w:val="2"/>
            <w:vMerge w:val="continue"/>
            <w:shd w:val="clear" w:color="auto" w:fill="CCEEFF"/>
          </w:tcPr>
          <w:p>
            <w:pPr>
              <w:spacing w:after="0"/>
              <w:rPr>
                <w:sz w:val="21"/>
                <w:szCs w:val="21"/>
                <w:color w:val="auto"/>
              </w:rPr>
            </w:pPr>
          </w:p>
        </w:tc>
        <w:tc>
          <w:tcPr>
            <w:tcW w:w="1220" w:type="dxa"/>
            <w:vAlign w:val="bottom"/>
            <w:tcBorders>
              <w:bottom w:val="single" w:sz="8" w:color="CCEEFF"/>
            </w:tcBorders>
            <w:gridSpan w:val="2"/>
            <w:vMerge w:val="continue"/>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preferred units,</w:t>
            </w: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34"/>
        </w:trPr>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issuance costs</w:t>
            </w: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1"/>
        </w:trPr>
        <w:tc>
          <w:tcPr>
            <w:tcW w:w="2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units to non-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controlling interest in</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exchange of convertible</w:t>
            </w: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8,443</w:t>
            </w:r>
          </w:p>
        </w:tc>
        <w:tc>
          <w:tcPr>
            <w:tcW w:w="120" w:type="dxa"/>
            <w:vAlign w:val="bottom"/>
          </w:tcPr>
          <w:p>
            <w:pPr>
              <w:spacing w:after="0"/>
              <w:rPr>
                <w:sz w:val="15"/>
                <w:szCs w:val="15"/>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234"/>
        </w:trPr>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promissory notes</w:t>
            </w:r>
          </w:p>
        </w:tc>
        <w:tc>
          <w:tcPr>
            <w:tcW w:w="110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w:t>
            </w:r>
          </w:p>
        </w:tc>
        <w:tc>
          <w:tcPr>
            <w:tcW w:w="11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70"/>
        </w:trPr>
        <w:tc>
          <w:tcPr>
            <w:tcW w:w="2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to redemption value</w:t>
            </w:r>
          </w:p>
        </w:tc>
        <w:tc>
          <w:tcPr>
            <w:tcW w:w="1100" w:type="dxa"/>
            <w:vAlign w:val="bottom"/>
            <w:tcBorders>
              <w:bottom w:val="single" w:sz="8" w:color="CCEEFF"/>
            </w:tcBorders>
            <w:gridSpan w:val="2"/>
            <w:vMerge w:val="continue"/>
            <w:shd w:val="clear" w:color="auto" w:fill="CCEEFF"/>
          </w:tcPr>
          <w:p>
            <w:pPr>
              <w:spacing w:after="0"/>
              <w:rPr>
                <w:sz w:val="23"/>
                <w:szCs w:val="23"/>
                <w:color w:val="auto"/>
              </w:rPr>
            </w:pPr>
          </w:p>
        </w:tc>
        <w:tc>
          <w:tcPr>
            <w:tcW w:w="1040" w:type="dxa"/>
            <w:vAlign w:val="bottom"/>
            <w:tcBorders>
              <w:bottom w:val="single" w:sz="8" w:color="CCEEFF"/>
            </w:tcBorders>
            <w:gridSpan w:val="2"/>
            <w:vMerge w:val="continue"/>
            <w:shd w:val="clear" w:color="auto" w:fill="CCEEFF"/>
          </w:tcPr>
          <w:p>
            <w:pPr>
              <w:spacing w:after="0"/>
              <w:rPr>
                <w:sz w:val="23"/>
                <w:szCs w:val="23"/>
                <w:color w:val="auto"/>
              </w:rPr>
            </w:pPr>
          </w:p>
        </w:tc>
        <w:tc>
          <w:tcPr>
            <w:tcW w:w="1060" w:type="dxa"/>
            <w:vAlign w:val="bottom"/>
            <w:tcBorders>
              <w:bottom w:val="single" w:sz="8" w:color="CCEEFF"/>
            </w:tcBorders>
            <w:gridSpan w:val="2"/>
            <w:vMerge w:val="continue"/>
            <w:shd w:val="clear" w:color="auto" w:fill="CCEEFF"/>
          </w:tcPr>
          <w:p>
            <w:pPr>
              <w:spacing w:after="0"/>
              <w:rPr>
                <w:sz w:val="23"/>
                <w:szCs w:val="23"/>
                <w:color w:val="auto"/>
              </w:rPr>
            </w:pPr>
          </w:p>
        </w:tc>
        <w:tc>
          <w:tcPr>
            <w:tcW w:w="1020" w:type="dxa"/>
            <w:vAlign w:val="bottom"/>
            <w:tcBorders>
              <w:bottom w:val="single" w:sz="8" w:color="CCEEFF"/>
            </w:tcBorders>
            <w:gridSpan w:val="2"/>
            <w:vMerge w:val="continue"/>
            <w:shd w:val="clear" w:color="auto" w:fill="CCEEFF"/>
          </w:tcPr>
          <w:p>
            <w:pPr>
              <w:spacing w:after="0"/>
              <w:rPr>
                <w:sz w:val="23"/>
                <w:szCs w:val="23"/>
                <w:color w:val="auto"/>
              </w:rPr>
            </w:pPr>
          </w:p>
        </w:tc>
        <w:tc>
          <w:tcPr>
            <w:tcW w:w="1100" w:type="dxa"/>
            <w:vAlign w:val="bottom"/>
            <w:tcBorders>
              <w:bottom w:val="single" w:sz="8" w:color="CCEEFF"/>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vMerge w:val="continue"/>
            <w:shd w:val="clear" w:color="auto" w:fill="CCEEFF"/>
          </w:tcPr>
          <w:p>
            <w:pPr>
              <w:spacing w:after="0"/>
              <w:rPr>
                <w:sz w:val="23"/>
                <w:szCs w:val="23"/>
                <w:color w:val="auto"/>
              </w:rPr>
            </w:pPr>
          </w:p>
        </w:tc>
        <w:tc>
          <w:tcPr>
            <w:tcW w:w="1080" w:type="dxa"/>
            <w:vAlign w:val="bottom"/>
            <w:tcBorders>
              <w:bottom w:val="single" w:sz="8" w:color="CCEEFF"/>
            </w:tcBorders>
            <w:gridSpan w:val="2"/>
            <w:vMerge w:val="continue"/>
            <w:shd w:val="clear" w:color="auto" w:fill="CCEEFF"/>
          </w:tcPr>
          <w:p>
            <w:pPr>
              <w:spacing w:after="0"/>
              <w:rPr>
                <w:sz w:val="23"/>
                <w:szCs w:val="23"/>
                <w:color w:val="auto"/>
              </w:rPr>
            </w:pPr>
          </w:p>
        </w:tc>
        <w:tc>
          <w:tcPr>
            <w:tcW w:w="94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9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45,688</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3,323</w:t>
            </w:r>
          </w:p>
        </w:tc>
        <w:tc>
          <w:tcPr>
            <w:tcW w:w="100" w:type="dxa"/>
            <w:vAlign w:val="bottom"/>
          </w:tcPr>
          <w:p>
            <w:pPr>
              <w:spacing w:after="0"/>
              <w:rPr>
                <w:sz w:val="21"/>
                <w:szCs w:val="21"/>
                <w:color w:val="auto"/>
              </w:rPr>
            </w:pP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1,950</w:t>
            </w:r>
          </w:p>
        </w:tc>
        <w:tc>
          <w:tcPr>
            <w:tcW w:w="120" w:type="dxa"/>
            <w:vAlign w:val="bottom"/>
          </w:tcPr>
          <w:p>
            <w:pPr>
              <w:spacing w:after="0"/>
              <w:rPr>
                <w:sz w:val="21"/>
                <w:szCs w:val="21"/>
                <w:color w:val="auto"/>
              </w:rPr>
            </w:pPr>
          </w:p>
        </w:tc>
        <w:tc>
          <w:tcPr>
            <w:tcW w:w="9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895</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(73,918)</w:t>
            </w:r>
          </w:p>
        </w:tc>
        <w:tc>
          <w:tcPr>
            <w:tcW w:w="120" w:type="dxa"/>
            <w:vAlign w:val="bottom"/>
          </w:tcPr>
          <w:p>
            <w:pPr>
              <w:spacing w:after="0"/>
              <w:rPr>
                <w:sz w:val="21"/>
                <w:szCs w:val="21"/>
                <w:color w:val="auto"/>
              </w:rPr>
            </w:pPr>
          </w:p>
        </w:tc>
        <w:tc>
          <w:tcPr>
            <w:tcW w:w="11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1"/>
                <w:szCs w:val="21"/>
                <w:color w:val="auto"/>
              </w:rPr>
            </w:pPr>
          </w:p>
        </w:tc>
        <w:tc>
          <w:tcPr>
            <w:tcW w:w="9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11,543</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(10,519)</w:t>
            </w: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0820"/>
          </w:cols>
          <w:pgMar w:left="540" w:top="1427" w:right="539" w:bottom="1440" w:gutter="0" w:footer="0" w:header="0"/>
        </w:sectPr>
      </w:pPr>
    </w:p>
    <w:bookmarkStart w:id="34" w:name="page35"/>
    <w:bookmarkEnd w:id="34"/>
    <w:p>
      <w:pPr>
        <w:ind w:left="420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and Stockholders' Equity (Deficit) (Successor)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620" w:type="dxa"/>
            <w:vAlign w:val="bottom"/>
            <w:gridSpan w:val="5"/>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720" w:type="dxa"/>
            <w:vAlign w:val="bottom"/>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right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980" w:type="dxa"/>
            <w:vAlign w:val="bottom"/>
            <w:tcBorders>
              <w:right w:val="single" w:sz="8" w:color="auto"/>
            </w:tcBorders>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6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8"/>
        </w:trPr>
        <w:tc>
          <w:tcPr>
            <w:tcW w:w="10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OCI</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0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1,102,000</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44,597,154</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502,865</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(78,262)</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909</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340,777</w:t>
            </w:r>
          </w:p>
        </w:tc>
        <w:tc>
          <w:tcPr>
            <w:tcW w:w="80" w:type="dxa"/>
            <w:vAlign w:val="bottom"/>
          </w:tcPr>
          <w:p>
            <w:pPr>
              <w:spacing w:after="0"/>
              <w:rPr>
                <w:sz w:val="11"/>
                <w:szCs w:val="11"/>
                <w:color w:val="auto"/>
              </w:rPr>
            </w:pP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766,293</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7"/>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460" w:type="dxa"/>
            <w:vAlign w:val="bottom"/>
            <w:tcBorders>
              <w:bottom w:val="single" w:sz="8" w:color="CCEEFF"/>
            </w:tcBorders>
            <w:gridSpan w:val="2"/>
            <w:vMerge w:val="continue"/>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vMerge w:val="continue"/>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vMerge w:val="continue"/>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vMerge w:val="continue"/>
            <w:shd w:val="clear" w:color="auto" w:fill="CCEEFF"/>
          </w:tcPr>
          <w:p>
            <w:pPr>
              <w:spacing w:after="0"/>
              <w:rPr>
                <w:sz w:val="18"/>
                <w:szCs w:val="18"/>
                <w:color w:val="auto"/>
              </w:rPr>
            </w:pPr>
          </w:p>
        </w:tc>
        <w:tc>
          <w:tcPr>
            <w:tcW w:w="4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(253,674)</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Series B</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Preferred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buyback</w:t>
            </w: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vMerge w:val="continue"/>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Series B</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for paid-in-</w:t>
            </w: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21,808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kind dividends</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0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net of</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161,964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1,927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costs</w:t>
            </w:r>
          </w:p>
        </w:tc>
        <w:tc>
          <w:tcPr>
            <w:tcW w:w="100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vMerge w:val="continue"/>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vMerge w:val="continue"/>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Vesting of</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2,344,682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earnout shares</w:t>
            </w: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comprehensive</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net of</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100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vMerge w:val="continue"/>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related party</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2,310,848</w:t>
            </w:r>
          </w:p>
        </w:tc>
        <w:tc>
          <w:tcPr>
            <w:tcW w:w="8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23,108</w:t>
            </w:r>
          </w:p>
        </w:tc>
        <w:tc>
          <w:tcPr>
            <w:tcW w:w="0" w:type="dxa"/>
            <w:vAlign w:val="bottom"/>
          </w:tcPr>
          <w:p>
            <w:pPr>
              <w:spacing w:after="0"/>
              <w:rPr>
                <w:sz w:val="1"/>
                <w:szCs w:val="1"/>
                <w:color w:val="auto"/>
              </w:rPr>
            </w:pPr>
          </w:p>
        </w:tc>
      </w:tr>
      <w:tr>
        <w:trPr>
          <w:trHeight w:val="188"/>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w:t>
            </w: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Series C</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575,000</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5,663</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net</w:t>
            </w:r>
          </w:p>
        </w:tc>
        <w:tc>
          <w:tcPr>
            <w:tcW w:w="100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interest issued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and related</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33,249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6,946</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transfers</w:t>
            </w: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0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to</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Stockholders</w:t>
            </w:r>
          </w:p>
        </w:tc>
        <w:tc>
          <w:tcPr>
            <w:tcW w:w="100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vMerge w:val="continue"/>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4,943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5,841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preferred</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25"/>
        </w:trPr>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vMerge w:val="continue"/>
            <w:shd w:val="clear" w:color="auto" w:fill="CCEEFF"/>
          </w:tcPr>
          <w:p>
            <w:pPr>
              <w:spacing w:after="0"/>
              <w:rPr>
                <w:sz w:val="19"/>
                <w:szCs w:val="19"/>
                <w:color w:val="auto"/>
              </w:rPr>
            </w:pPr>
          </w:p>
        </w:tc>
        <w:tc>
          <w:tcPr>
            <w:tcW w:w="1040" w:type="dxa"/>
            <w:vAlign w:val="bottom"/>
            <w:tcBorders>
              <w:bottom w:val="single" w:sz="8" w:color="CCEEFF"/>
            </w:tcBorders>
            <w:gridSpan w:val="2"/>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1,118,808</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47,103,800</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484,256</w:t>
            </w:r>
          </w:p>
        </w:tc>
        <w:tc>
          <w:tcPr>
            <w:tcW w:w="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(221,285)</w:t>
            </w:r>
          </w:p>
        </w:tc>
        <w:tc>
          <w:tcPr>
            <w:tcW w:w="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(1,478)</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264,247</w:t>
            </w:r>
          </w:p>
        </w:tc>
        <w:tc>
          <w:tcPr>
            <w:tcW w:w="2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525,745</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2,885,848</w:t>
            </w: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28,727</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0960"/>
          </w:cols>
          <w:pgMar w:left="460" w:top="1427" w:right="479" w:bottom="1440" w:gutter="0" w:footer="0" w:header="0"/>
        </w:sectPr>
      </w:pPr>
    </w:p>
    <w:bookmarkStart w:id="35" w:name="page36"/>
    <w:bookmarkEnd w:id="35"/>
    <w:p>
      <w:pPr>
        <w:ind w:left="390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280" w:type="dxa"/>
            <w:vAlign w:val="bottom"/>
            <w:tcBorders>
              <w:bottom w:val="single" w:sz="8" w:color="auto"/>
            </w:tcBorders>
          </w:tcPr>
          <w:p>
            <w:pPr>
              <w:jc w:val="center"/>
              <w:ind w:left="426"/>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480" w:type="dxa"/>
            <w:vAlign w:val="bottom"/>
            <w:tcBorders>
              <w:bottom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160" w:type="dxa"/>
            <w:vAlign w:val="bottom"/>
          </w:tcPr>
          <w:p>
            <w:pPr>
              <w:spacing w:after="0"/>
              <w:rPr>
                <w:sz w:val="8"/>
                <w:szCs w:val="8"/>
                <w:color w:val="auto"/>
              </w:rPr>
            </w:pPr>
          </w:p>
        </w:tc>
        <w:tc>
          <w:tcPr>
            <w:tcW w:w="1900" w:type="dxa"/>
            <w:vAlign w:val="bottom"/>
            <w:tcBorders>
              <w:right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2025</w:t>
            </w:r>
          </w:p>
        </w:tc>
        <w:tc>
          <w:tcPr>
            <w:tcW w:w="120" w:type="dxa"/>
            <w:vAlign w:val="bottom"/>
          </w:tcPr>
          <w:p>
            <w:pPr>
              <w:spacing w:after="0"/>
              <w:rPr>
                <w:sz w:val="8"/>
                <w:szCs w:val="8"/>
                <w:color w:val="auto"/>
              </w:rPr>
            </w:pPr>
          </w:p>
        </w:tc>
        <w:tc>
          <w:tcPr>
            <w:tcW w:w="156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7"/>
              </w:rPr>
              <w:t>Three months ended March 31,</w:t>
            </w: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1900" w:type="dxa"/>
            <w:vAlign w:val="bottom"/>
            <w:tcBorders>
              <w:right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386"/>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Operating Activities</w:t>
            </w:r>
          </w:p>
        </w:tc>
        <w:tc>
          <w:tcPr>
            <w:tcW w:w="12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1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(253,674)</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(7,526)</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and cash equivalents used in operating activities:</w:t>
            </w:r>
          </w:p>
        </w:tc>
        <w:tc>
          <w:tcPr>
            <w:tcW w:w="1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5,841</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396</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Interest income on debt securities - related party</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(16,429)</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478</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payables due to related parties</w:t>
            </w:r>
          </w:p>
        </w:tc>
        <w:tc>
          <w:tcPr>
            <w:tcW w:w="128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interest expense on notes payable</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510</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230</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(gain) loss on investments</w:t>
            </w:r>
          </w:p>
        </w:tc>
        <w:tc>
          <w:tcPr>
            <w:tcW w:w="128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(5,189)</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Equity method investment gain (loss)</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6,756</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Realized gain on conversion of available for sale investments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extinguishment of related party debt</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3,538</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12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1,119</w:t>
            </w:r>
          </w:p>
        </w:tc>
        <w:tc>
          <w:tcPr>
            <w:tcW w:w="0" w:type="dxa"/>
            <w:vAlign w:val="bottom"/>
          </w:tcPr>
          <w:p>
            <w:pPr>
              <w:spacing w:after="0"/>
              <w:rPr>
                <w:sz w:val="1"/>
                <w:szCs w:val="1"/>
                <w:color w:val="auto"/>
              </w:rPr>
            </w:pPr>
          </w:p>
        </w:tc>
      </w:tr>
      <w:tr>
        <w:trPr>
          <w:trHeight w:val="180"/>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Deferred income taxes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5,548</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Goodwill impairment</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89"/>
              </w:rPr>
              <w:t>233,213</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Payment of patent installment</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rent costs</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61</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net</w:t>
            </w:r>
          </w:p>
        </w:tc>
        <w:tc>
          <w:tcPr>
            <w:tcW w:w="128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w:t>
            </w:r>
          </w:p>
        </w:tc>
        <w:tc>
          <w:tcPr>
            <w:tcW w:w="0" w:type="dxa"/>
            <w:vAlign w:val="bottom"/>
          </w:tcPr>
          <w:p>
            <w:pPr>
              <w:spacing w:after="0"/>
              <w:rPr>
                <w:sz w:val="1"/>
                <w:szCs w:val="1"/>
                <w:color w:val="auto"/>
              </w:rPr>
            </w:pPr>
          </w:p>
        </w:tc>
      </w:tr>
      <w:tr>
        <w:trPr>
          <w:trHeight w:val="62"/>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Accounts receivable</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46</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Inventory</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Accounts payable</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1,587</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1,234</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Accrued employee benefits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1,943</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1,329</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Accrued expenses</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565</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488</w:t>
            </w:r>
          </w:p>
        </w:tc>
        <w:tc>
          <w:tcPr>
            <w:tcW w:w="0" w:type="dxa"/>
            <w:vAlign w:val="bottom"/>
          </w:tcPr>
          <w:p>
            <w:pPr>
              <w:spacing w:after="0"/>
              <w:rPr>
                <w:sz w:val="1"/>
                <w:szCs w:val="1"/>
                <w:color w:val="auto"/>
              </w:rPr>
            </w:pPr>
          </w:p>
        </w:tc>
      </w:tr>
      <w:tr>
        <w:trPr>
          <w:trHeight w:val="62"/>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Stock-based compensation liability</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Income taxes payable</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500</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6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(14,696)</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(7,397)</w:t>
            </w:r>
          </w:p>
        </w:tc>
        <w:tc>
          <w:tcPr>
            <w:tcW w:w="0" w:type="dxa"/>
            <w:vAlign w:val="bottom"/>
          </w:tcPr>
          <w:p>
            <w:pPr>
              <w:spacing w:after="0"/>
              <w:rPr>
                <w:sz w:val="1"/>
                <w:szCs w:val="1"/>
                <w:color w:val="auto"/>
              </w:rPr>
            </w:pPr>
          </w:p>
        </w:tc>
      </w:tr>
      <w:tr>
        <w:trPr>
          <w:trHeight w:val="49"/>
        </w:trPr>
        <w:tc>
          <w:tcPr>
            <w:tcW w:w="61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right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Investing Activities</w:t>
            </w: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Investment in available-for-sale debt securities - equity method investee</w:t>
            </w:r>
          </w:p>
        </w:tc>
        <w:tc>
          <w:tcPr>
            <w:tcW w:w="12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w:t>
            </w: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2"/>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Advances to equity method investee</w:t>
            </w:r>
          </w:p>
        </w:tc>
        <w:tc>
          <w:tcPr>
            <w:tcW w:w="128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(2,540)</w:t>
            </w:r>
          </w:p>
        </w:tc>
        <w:tc>
          <w:tcPr>
            <w:tcW w:w="0" w:type="dxa"/>
            <w:vAlign w:val="bottom"/>
          </w:tcPr>
          <w:p>
            <w:pPr>
              <w:spacing w:after="0"/>
              <w:rPr>
                <w:sz w:val="1"/>
                <w:szCs w:val="1"/>
                <w:color w:val="auto"/>
              </w:rPr>
            </w:pPr>
          </w:p>
        </w:tc>
      </w:tr>
      <w:tr>
        <w:trPr>
          <w:trHeight w:val="62"/>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Acquisition of property, plant and equipment</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6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(3,254)</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(3,180)</w:t>
            </w:r>
          </w:p>
        </w:tc>
        <w:tc>
          <w:tcPr>
            <w:tcW w:w="0" w:type="dxa"/>
            <w:vAlign w:val="bottom"/>
          </w:tcPr>
          <w:p>
            <w:pPr>
              <w:spacing w:after="0"/>
              <w:rPr>
                <w:sz w:val="1"/>
                <w:szCs w:val="1"/>
                <w:color w:val="auto"/>
              </w:rPr>
            </w:pPr>
          </w:p>
        </w:tc>
      </w:tr>
      <w:tr>
        <w:trPr>
          <w:trHeight w:val="49"/>
        </w:trPr>
        <w:tc>
          <w:tcPr>
            <w:tcW w:w="61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right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issuance of equity, net of issuance costs</w:t>
            </w:r>
          </w:p>
        </w:tc>
        <w:tc>
          <w:tcPr>
            <w:tcW w:w="12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3,675</w:t>
            </w: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7,116</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equity to non-controlling interest, net of issuance costs</w:t>
            </w:r>
          </w:p>
        </w:tc>
        <w:tc>
          <w:tcPr>
            <w:tcW w:w="12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4,907</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3,503</w:t>
            </w:r>
          </w:p>
        </w:tc>
        <w:tc>
          <w:tcPr>
            <w:tcW w:w="0" w:type="dxa"/>
            <w:vAlign w:val="bottom"/>
          </w:tcPr>
          <w:p>
            <w:pPr>
              <w:spacing w:after="0"/>
              <w:rPr>
                <w:sz w:val="1"/>
                <w:szCs w:val="1"/>
                <w:color w:val="auto"/>
              </w:rPr>
            </w:pPr>
          </w:p>
        </w:tc>
      </w:tr>
      <w:tr>
        <w:trPr>
          <w:trHeight w:val="62"/>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debts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0" w:type="dxa"/>
            <w:vAlign w:val="bottom"/>
          </w:tcPr>
          <w:p>
            <w:pPr>
              <w:spacing w:after="0"/>
              <w:rPr>
                <w:sz w:val="1"/>
                <w:szCs w:val="1"/>
                <w:color w:val="auto"/>
              </w:rPr>
            </w:pPr>
          </w:p>
        </w:tc>
      </w:tr>
      <w:tr>
        <w:trPr>
          <w:trHeight w:val="63"/>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2"/>
        </w:trPr>
        <w:tc>
          <w:tcPr>
            <w:tcW w:w="6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promissory notes to related parties</w:t>
            </w:r>
          </w:p>
        </w:tc>
        <w:tc>
          <w:tcPr>
            <w:tcW w:w="128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2"/>
        </w:trPr>
        <w:tc>
          <w:tcPr>
            <w:tcW w:w="6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1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Repurchase of Preferred Stock</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616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1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8,206</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9"/>
              </w:rPr>
              <w:t>10,159</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Decrease in Cash, Cash Equivalents and Restricted Cash</w:t>
            </w:r>
          </w:p>
        </w:tc>
        <w:tc>
          <w:tcPr>
            <w:tcW w:w="1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(9,744)</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(418)</w:t>
            </w:r>
          </w:p>
        </w:tc>
        <w:tc>
          <w:tcPr>
            <w:tcW w:w="0" w:type="dxa"/>
            <w:vAlign w:val="bottom"/>
          </w:tcPr>
          <w:p>
            <w:pPr>
              <w:spacing w:after="0"/>
              <w:rPr>
                <w:sz w:val="1"/>
                <w:szCs w:val="1"/>
                <w:color w:val="auto"/>
              </w:rPr>
            </w:pPr>
          </w:p>
        </w:tc>
      </w:tr>
      <w:tr>
        <w:trPr>
          <w:trHeight w:val="161"/>
        </w:trPr>
        <w:tc>
          <w:tcPr>
            <w:tcW w:w="6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Beginning of period</w:t>
            </w:r>
          </w:p>
        </w:tc>
        <w:tc>
          <w:tcPr>
            <w:tcW w:w="12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11,119</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2,575</w:t>
            </w:r>
          </w:p>
        </w:tc>
        <w:tc>
          <w:tcPr>
            <w:tcW w:w="0" w:type="dxa"/>
            <w:vAlign w:val="bottom"/>
          </w:tcPr>
          <w:p>
            <w:pPr>
              <w:spacing w:after="0"/>
              <w:rPr>
                <w:sz w:val="1"/>
                <w:szCs w:val="1"/>
                <w:color w:val="auto"/>
              </w:rPr>
            </w:pPr>
          </w:p>
        </w:tc>
      </w:tr>
      <w:tr>
        <w:trPr>
          <w:trHeight w:val="49"/>
        </w:trPr>
        <w:tc>
          <w:tcPr>
            <w:tcW w:w="61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right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End of period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1,375</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2,157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9740"/>
          </w:cols>
          <w:pgMar w:left="760" w:top="1427" w:right="1399" w:bottom="1440" w:gutter="0" w:footer="0" w:header="0"/>
        </w:sectPr>
      </w:pPr>
    </w:p>
    <w:p>
      <w:pPr>
        <w:ind w:left="256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9740"/>
          </w:cols>
          <w:pgMar w:left="760" w:top="1427" w:right="1399" w:bottom="1440" w:gutter="0" w:footer="0" w:header="0"/>
          <w:type w:val="continuous"/>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line="23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184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r>
      <w:tr>
        <w:trPr>
          <w:trHeight w:val="115"/>
        </w:trPr>
        <w:tc>
          <w:tcPr>
            <w:tcW w:w="6480" w:type="dxa"/>
            <w:vAlign w:val="bottom"/>
          </w:tcPr>
          <w:p>
            <w:pPr>
              <w:spacing w:after="0"/>
              <w:rPr>
                <w:sz w:val="10"/>
                <w:szCs w:val="10"/>
                <w:color w:val="auto"/>
              </w:rPr>
            </w:pPr>
          </w:p>
        </w:tc>
        <w:tc>
          <w:tcPr>
            <w:tcW w:w="17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Three months ended March</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Three months ended</w:t>
            </w:r>
          </w:p>
        </w:tc>
      </w:tr>
      <w:tr>
        <w:trPr>
          <w:trHeight w:val="166"/>
        </w:trPr>
        <w:tc>
          <w:tcPr>
            <w:tcW w:w="64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31, 2025</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March 31, 2024</w:t>
            </w:r>
          </w:p>
        </w:tc>
      </w:tr>
      <w:tr>
        <w:trPr>
          <w:trHeight w:val="23"/>
        </w:trPr>
        <w:tc>
          <w:tcPr>
            <w:tcW w:w="64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56"/>
        </w:trPr>
        <w:tc>
          <w:tcPr>
            <w:tcW w:w="64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70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00"/>
        </w:trPr>
        <w:tc>
          <w:tcPr>
            <w:tcW w:w="6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paid for interest</w:t>
            </w:r>
          </w:p>
        </w:tc>
        <w:tc>
          <w:tcPr>
            <w:tcW w:w="1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  1,127</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  55</w:t>
            </w:r>
          </w:p>
        </w:tc>
      </w:tr>
      <w:tr>
        <w:trPr>
          <w:trHeight w:val="43"/>
        </w:trPr>
        <w:tc>
          <w:tcPr>
            <w:tcW w:w="6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7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Financing Information</w:t>
            </w:r>
          </w:p>
        </w:tc>
        <w:tc>
          <w:tcPr>
            <w:tcW w:w="17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00"/>
        </w:trPr>
        <w:tc>
          <w:tcPr>
            <w:tcW w:w="6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Accretion of redeemable units to redemption value</w:t>
            </w:r>
          </w:p>
        </w:tc>
        <w:tc>
          <w:tcPr>
            <w:tcW w:w="18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5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4,415</w:t>
            </w:r>
          </w:p>
        </w:tc>
      </w:tr>
      <w:tr>
        <w:trPr>
          <w:trHeight w:val="43"/>
        </w:trPr>
        <w:tc>
          <w:tcPr>
            <w:tcW w:w="6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3"/>
        </w:trPr>
        <w:tc>
          <w:tcPr>
            <w:tcW w:w="6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Issuance of units to non-controlling interest in exchange of convertible promissory notes</w:t>
            </w:r>
          </w:p>
        </w:tc>
        <w:tc>
          <w:tcPr>
            <w:tcW w:w="184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7,324</w:t>
            </w:r>
          </w:p>
        </w:tc>
      </w:tr>
      <w:tr>
        <w:trPr>
          <w:trHeight w:val="200"/>
        </w:trPr>
        <w:tc>
          <w:tcPr>
            <w:tcW w:w="6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Conversion of working capital loans to equity method investee into investments in debt securities - related party</w:t>
            </w:r>
          </w:p>
        </w:tc>
        <w:tc>
          <w:tcPr>
            <w:tcW w:w="1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4,375</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6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3"/>
        </w:trPr>
        <w:tc>
          <w:tcPr>
            <w:tcW w:w="6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Extinguishment of debt with Series C Preferred Stock</w:t>
            </w:r>
          </w:p>
        </w:tc>
        <w:tc>
          <w:tcPr>
            <w:tcW w:w="17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14,000</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6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Contribution of Series C Preferred Stock to equity method investee</w:t>
            </w:r>
          </w:p>
        </w:tc>
        <w:tc>
          <w:tcPr>
            <w:tcW w:w="1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5,783</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6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3"/>
        </w:trPr>
        <w:tc>
          <w:tcPr>
            <w:tcW w:w="6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Conversion of AFX available-for-sale term loan into equity method investments</w:t>
            </w:r>
          </w:p>
        </w:tc>
        <w:tc>
          <w:tcPr>
            <w:tcW w:w="17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8,757</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6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stock in exchange for services</w:t>
            </w:r>
          </w:p>
        </w:tc>
        <w:tc>
          <w:tcPr>
            <w:tcW w:w="1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4,002</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6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Equity reallocation between non-controlling interest and additional paid-in capital</w:t>
            </w:r>
          </w:p>
        </w:tc>
        <w:tc>
          <w:tcPr>
            <w:tcW w:w="1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26,304</w:t>
            </w: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64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40" w:type="dxa"/>
            <w:vAlign w:val="bottom"/>
            <w:tcBorders>
              <w:right w:val="single" w:sz="8" w:color="auto"/>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r>
    </w:tbl>
    <w:p>
      <w:pPr>
        <w:spacing w:after="0" w:line="3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9960"/>
          </w:cols>
          <w:pgMar w:left="700" w:top="1440" w:right="1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36"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210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41"/>
        </w:trPr>
        <w:tc>
          <w:tcPr>
            <w:tcW w:w="4080" w:type="dxa"/>
            <w:vAlign w:val="bottom"/>
          </w:tcPr>
          <w:p>
            <w:pPr>
              <w:spacing w:after="0"/>
              <w:rPr>
                <w:sz w:val="20"/>
                <w:szCs w:val="20"/>
                <w:color w:val="auto"/>
              </w:rPr>
            </w:pPr>
          </w:p>
        </w:tc>
        <w:tc>
          <w:tcPr>
            <w:tcW w:w="21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9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(253,674)</w:t>
            </w:r>
          </w:p>
        </w:tc>
        <w:tc>
          <w:tcPr>
            <w:tcW w:w="160" w:type="dxa"/>
            <w:vAlign w:val="bottom"/>
            <w:tcBorders>
              <w:top w:val="single" w:sz="8" w:color="CCEEFF"/>
              <w:right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3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31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5,548</w:t>
            </w:r>
          </w:p>
        </w:tc>
        <w:tc>
          <w:tcPr>
            <w:tcW w:w="16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(247,987)</w:t>
            </w:r>
          </w:p>
        </w:tc>
        <w:tc>
          <w:tcPr>
            <w:tcW w:w="16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0" w:type="dxa"/>
            <w:vAlign w:val="bottom"/>
          </w:tcPr>
          <w:p>
            <w:pPr>
              <w:spacing w:after="0"/>
              <w:rPr>
                <w:sz w:val="1"/>
                <w:szCs w:val="1"/>
                <w:color w:val="auto"/>
              </w:rPr>
            </w:pPr>
          </w:p>
        </w:tc>
      </w:tr>
      <w:tr>
        <w:trPr>
          <w:trHeight w:val="29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21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31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financial liabilities</w:t>
            </w:r>
            <w:r>
              <w:rPr>
                <w:rFonts w:ascii="Times New Roman" w:cs="Times New Roman" w:eastAsia="Times New Roman" w:hAnsi="Times New Roman"/>
                <w:sz w:val="23"/>
                <w:szCs w:val="23"/>
                <w:color w:val="auto"/>
                <w:vertAlign w:val="superscript"/>
              </w:rPr>
              <w:t>(3)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16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31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(4)</w:t>
            </w:r>
          </w:p>
        </w:tc>
        <w:tc>
          <w:tcPr>
            <w:tcW w:w="1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5,841</w:t>
            </w: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3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(5)</w:t>
            </w:r>
          </w:p>
        </w:tc>
        <w:tc>
          <w:tcPr>
            <w:tcW w:w="1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233,213</w:t>
            </w:r>
          </w:p>
        </w:tc>
        <w:tc>
          <w:tcPr>
            <w:tcW w:w="16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related party debt</w:t>
            </w:r>
            <w:r>
              <w:rPr>
                <w:rFonts w:ascii="Times New Roman" w:cs="Times New Roman" w:eastAsia="Times New Roman" w:hAnsi="Times New Roman"/>
                <w:sz w:val="23"/>
                <w:szCs w:val="23"/>
                <w:color w:val="auto"/>
                <w:vertAlign w:val="superscript"/>
              </w:rPr>
              <w:t>(6)</w:t>
            </w:r>
          </w:p>
        </w:tc>
        <w:tc>
          <w:tcPr>
            <w:tcW w:w="1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3,538</w:t>
            </w: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21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5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(21,824)</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c>
          <w:tcPr>
            <w:tcW w:w="0" w:type="dxa"/>
            <w:vAlign w:val="bottom"/>
          </w:tcPr>
          <w:p>
            <w:pPr>
              <w:spacing w:after="0"/>
              <w:rPr>
                <w:sz w:val="1"/>
                <w:szCs w:val="1"/>
                <w:color w:val="auto"/>
              </w:rPr>
            </w:pPr>
          </w:p>
        </w:tc>
      </w:tr>
      <w:tr>
        <w:trPr>
          <w:trHeight w:val="80"/>
        </w:trPr>
        <w:tc>
          <w:tcPr>
            <w:tcW w:w="408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20" w:hanging="212"/>
        <w:spacing w:after="0"/>
        <w:tabs>
          <w:tab w:leader="none" w:pos="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includes interest incurred on our various borrowing facilities and the amortization of debt issuance costs.</w:t>
      </w:r>
    </w:p>
    <w:p>
      <w:pPr>
        <w:spacing w:after="0" w:line="28" w:lineRule="exact"/>
        <w:rPr>
          <w:rFonts w:ascii="Times New Roman" w:cs="Times New Roman" w:eastAsia="Times New Roman" w:hAnsi="Times New Roman"/>
          <w:sz w:val="14"/>
          <w:szCs w:val="14"/>
          <w:color w:val="auto"/>
        </w:rPr>
      </w:pPr>
    </w:p>
    <w:p>
      <w:pPr>
        <w:ind w:firstLine="8"/>
        <w:spacing w:after="0" w:line="281" w:lineRule="auto"/>
        <w:tabs>
          <w:tab w:leader="none" w:pos="20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three months ended March 31, 2025 (Successor) and three months ended March 31, 2024 (Predecessor), this is comprised of consulting, legal, and other professional fees related to the Business Combination.</w:t>
      </w:r>
    </w:p>
    <w:p>
      <w:pPr>
        <w:spacing w:after="0" w:line="1" w:lineRule="exact"/>
        <w:rPr>
          <w:rFonts w:ascii="Times New Roman" w:cs="Times New Roman" w:eastAsia="Times New Roman" w:hAnsi="Times New Roman"/>
          <w:sz w:val="14"/>
          <w:szCs w:val="14"/>
          <w:color w:val="auto"/>
        </w:rPr>
      </w:pPr>
    </w:p>
    <w:p>
      <w:pPr>
        <w:jc w:val="both"/>
        <w:ind w:firstLine="8"/>
        <w:spacing w:after="0" w:line="281" w:lineRule="auto"/>
        <w:tabs>
          <w:tab w:leader="none" w:pos="2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three months ended March 31, 2025 (Successor), the change in fair value of financial liabilities primarily consists of the change in fair value of the warrant liability and the earnout liability. For the three months ended March 31, 2024 (Predecessor), this is comprised entirely of the change in fair value of the embedded derivative associated with the convertible notes.</w:t>
      </w:r>
    </w:p>
    <w:p>
      <w:pPr>
        <w:jc w:val="both"/>
        <w:ind w:firstLine="8"/>
        <w:spacing w:after="0" w:line="277" w:lineRule="auto"/>
        <w:tabs>
          <w:tab w:leader="none" w:pos="20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three months ended March 31,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 based payment employee incentive plans in existence at Innventure LLC and other subsidiaries. For the three months ended March 31, 2024 (Predecessor), stock based compensation was comprised wholly of share based payment employee incentive plans in existence at Innventure LLC and other subsidiaries.</w:t>
      </w:r>
    </w:p>
    <w:p>
      <w:pPr>
        <w:jc w:val="both"/>
        <w:ind w:firstLine="8"/>
        <w:spacing w:after="0" w:line="281" w:lineRule="auto"/>
        <w:tabs>
          <w:tab w:leader="none" w:pos="20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impairment - For the three months ended March 31, 2025 (Successor), the Company recognized a goodwill impairment charge due to sustained decreases in the Company’s publicly quoted share price and market capitalization, which were, at least in part, sensitive to the general downward volatility experienced in the stock market during late February and March. There was no similar goodwill impairment charge for the three months ended March 31, 2024 (Predecessor).</w:t>
      </w:r>
    </w:p>
    <w:p>
      <w:pPr>
        <w:ind w:firstLine="8"/>
        <w:spacing w:after="0" w:line="323" w:lineRule="auto"/>
        <w:tabs>
          <w:tab w:leader="none" w:pos="2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related party debt - For the three months ended March 31, 2025 (Successor), the Company extinguished certain related party debts by issuing Series C Preferred Stock. There was no loss on extinguishment of related party debt for the three months ended March 31, 2024 (Predecessor).</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lvl w:ilvl="1">
      <w:lvlJc w:val="left"/>
      <w:lvlText w:val="(%2)"/>
      <w:numFmt w:val="lowerLetter"/>
      <w:start w:val="1"/>
    </w:lvl>
  </w:abstractNum>
  <w:abstractNum w:abstractNumId="3">
    <w:nsid w:val="25E45D3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
    <w:nsid w:val="519B500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
    <w:nsid w:val="431BD7B7"/>
    <w:multiLevelType w:val="hybridMultilevel"/>
    <w:lvl w:ilvl="0">
      <w:lvlJc w:val="left"/>
      <w:lvlText w:val="%1"/>
      <w:numFmt w:val="upperLetter"/>
      <w:start w:val="1"/>
    </w:lvl>
    <w:lvl w:ilvl="1">
      <w:lvlJc w:val="left"/>
      <w:lvlText w:val="(%2)"/>
      <w:numFmt w:val="lowerRoman"/>
      <w:start w:val="2"/>
    </w:lvl>
  </w:abstractNum>
  <w:abstractNum w:abstractNumId="6">
    <w:nsid w:val="3F2DBA31"/>
    <w:multiLevelType w:val="hybridMultilevel"/>
    <w:lvl w:ilvl="0">
      <w:lvlJc w:val="left"/>
      <w:lvlText w:val="(%1)"/>
      <w:numFmt w:val="upperLetter"/>
      <w:start w:val="2"/>
    </w:lvl>
    <w:lvl w:ilvl="1">
      <w:lvlJc w:val="left"/>
      <w:lvlText w:val="(%2)"/>
      <w:numFmt w:val="lowerRoman"/>
      <w:start w:val="3"/>
    </w:lvl>
  </w:abstractNum>
  <w:abstractNum w:abstractNumId="7">
    <w:nsid w:val="7C83E458"/>
    <w:multiLevelType w:val="hybridMultilevel"/>
    <w:lvl w:ilvl="0">
      <w:lvlJc w:val="left"/>
      <w:lvlText w:val="%1"/>
      <w:numFmt w:val="lowerLetter"/>
      <w:start w:val="1"/>
    </w:lvl>
    <w:lvl w:ilvl="1">
      <w:lvlJc w:val="left"/>
      <w:lvlText w:val="(%2)"/>
      <w:numFmt w:val="lowerRoman"/>
      <w:start w:val="5"/>
    </w:lvl>
  </w:abstractNum>
  <w:abstractNum w:abstractNumId="8">
    <w:nsid w:val="257130A3"/>
    <w:multiLevelType w:val="hybridMultilevel"/>
    <w:lvl w:ilvl="0">
      <w:lvlJc w:val="left"/>
      <w:lvlText w:val="(%1)"/>
      <w:numFmt w:val="lowerLetter"/>
      <w:start w:val="2"/>
    </w:lvl>
    <w:lvl w:ilvl="1">
      <w:lvlJc w:val="left"/>
      <w:lvlText w:val="%2"/>
      <w:numFmt w:val="lowerRoman"/>
      <w:start w:val="1"/>
    </w:lvl>
  </w:abstractNum>
  <w:abstractNum w:abstractNumId="9">
    <w:nsid w:val="62BBD95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0">
    <w:nsid w:val="436C6125"/>
    <w:multiLevelType w:val="hybridMultilevel"/>
    <w:lvl w:ilvl="0">
      <w:lvlJc w:val="left"/>
      <w:lvlText w:val="(%1)"/>
      <w:numFmt w:val="upperLetter"/>
      <w:start w:val="25"/>
    </w:lvl>
    <w:lvl w:ilvl="1">
      <w:lvlJc w:val="left"/>
      <w:lvlText w:val="(%2)"/>
      <w:numFmt w:val="lowerRoman"/>
      <w:start w:val="2"/>
    </w:lvl>
  </w:abstractNum>
  <w:abstractNum w:abstractNumId="11">
    <w:nsid w:val="628C895D"/>
    <w:multiLevelType w:val="hybridMultilevel"/>
    <w:lvl w:ilvl="0">
      <w:lvlJc w:val="left"/>
      <w:lvlText w:val="(%1)"/>
      <w:numFmt w:val="lowerLetter"/>
      <w:start w:val="3"/>
    </w:lvl>
    <w:lvl w:ilvl="1">
      <w:lvlJc w:val="left"/>
      <w:lvlText w:val="(%2)"/>
      <w:numFmt w:val="lowerRoman"/>
      <w:start w:val="1"/>
    </w:lvl>
  </w:abstractNum>
  <w:abstractNum w:abstractNumId="12">
    <w:nsid w:val="333AB105"/>
    <w:multiLevelType w:val="hybridMultilevel"/>
    <w:lvl w:ilvl="0">
      <w:lvlJc w:val="left"/>
      <w:lvlText w:val="%1"/>
      <w:numFmt w:val="lowerLetter"/>
      <w:start w:val="1"/>
    </w:lvl>
    <w:lvl w:ilvl="1">
      <w:lvlJc w:val="left"/>
      <w:lvlText w:val="(%2)"/>
      <w:numFmt w:val="lowerRoman"/>
      <w:start w:val="3"/>
    </w:lvl>
  </w:abstractNum>
  <w:abstractNum w:abstractNumId="13">
    <w:nsid w:val="721DA317"/>
    <w:multiLevelType w:val="hybridMultilevel"/>
    <w:lvl w:ilvl="0">
      <w:lvlJc w:val="left"/>
      <w:lvlText w:val="(%1)"/>
      <w:numFmt w:val="lowerLetter"/>
      <w:start w:val="5"/>
    </w:lvl>
    <w:lvl w:ilvl="1">
      <w:lvlJc w:val="left"/>
      <w:lvlText w:val="%2"/>
      <w:numFmt w:val="lowerRoman"/>
      <w:start w:val="1"/>
    </w:lvl>
  </w:abstractNum>
  <w:abstractNum w:abstractNumId="14">
    <w:nsid w:val="2443A858"/>
    <w:multiLevelType w:val="hybridMultilevel"/>
    <w:lvl w:ilvl="0">
      <w:lvlJc w:val="left"/>
      <w:lvlText w:val="(%1)"/>
      <w:numFmt w:val="lowerLetter"/>
      <w:start w:val="6"/>
    </w:lvl>
  </w:abstractNum>
  <w:abstractNum w:abstractNumId="15">
    <w:nsid w:val="2D1D5AE9"/>
    <w:multiLevelType w:val="hybridMultilevel"/>
    <w:lvl w:ilvl="0">
      <w:lvlJc w:val="left"/>
      <w:lvlText w:val="(%1)"/>
      <w:numFmt w:val="decimal"/>
      <w:start w:val="4"/>
    </w:lvl>
    <w:lvl w:ilvl="1">
      <w:lvlJc w:val="left"/>
      <w:lvlText w:val="(%2)"/>
      <w:numFmt w:val="lowerLetter"/>
      <w:start w:val="1"/>
    </w:lvl>
  </w:abstractNum>
  <w:abstractNum w:abstractNumId="16">
    <w:nsid w:val="6763845E"/>
    <w:multiLevelType w:val="hybridMultilevel"/>
    <w:lvl w:ilvl="0">
      <w:lvlJc w:val="left"/>
      <w:lvlText w:val="(%1)"/>
      <w:numFmt w:val="decimal"/>
      <w:start w:val="6"/>
    </w:lvl>
  </w:abstractNum>
  <w:abstractNum w:abstractNumId="17">
    <w:nsid w:val="75A2A8D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
    <w:nsid w:val="8EDBDA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9">
    <w:nsid w:val="79838CB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0">
    <w:nsid w:val="4353D0CD"/>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21">
    <w:nsid w:val="B03E0C6"/>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
    <w:nsid w:val="189A769B"/>
    <w:multiLevelType w:val="hybridMultilevel"/>
    <w:lvl w:ilvl="0">
      <w:lvlJc w:val="left"/>
      <w:lvlText w:val="(%1)"/>
      <w:numFmt w:val="decimal"/>
      <w:start w:val="10"/>
    </w:lvl>
    <w:lvl w:ilvl="1">
      <w:lvlJc w:val="left"/>
      <w:lvlText w:val="(%2)"/>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6"/>
    </w:lvl>
  </w:abstractNum>
  <w:abstractNum w:abstractNumId="25">
    <w:nsid w:val="2CA88611"/>
    <w:multiLevelType w:val="hybridMultilevel"/>
    <w:lvl w:ilvl="0">
      <w:lvlJc w:val="left"/>
      <w:lvlText w:val="(%1)"/>
      <w:numFmt w:val="lowerLetter"/>
      <w:start w:val="15"/>
    </w:lvl>
  </w:abstractNum>
  <w:abstractNum w:abstractNumId="26">
    <w:nsid w:val="836C40E"/>
    <w:multiLevelType w:val="hybridMultilevel"/>
    <w:lvl w:ilvl="0">
      <w:lvlJc w:val="left"/>
      <w:lvlText w:val="(%1)"/>
      <w:numFmt w:val="lowerLetter"/>
      <w:start w:val="26"/>
    </w:lvl>
  </w:abstractNum>
  <w:abstractNum w:abstractNumId="27">
    <w:nsid w:val="2901D82"/>
    <w:multiLevelType w:val="hybridMultilevel"/>
    <w:lvl w:ilvl="0">
      <w:lvlJc w:val="left"/>
      <w:lvlText w:val="(%1)"/>
      <w:numFmt w:val="lowerLetter"/>
      <w:start w:val="27"/>
    </w:lvl>
  </w:abstractNum>
  <w:abstractNum w:abstractNumId="28">
    <w:nsid w:val="3A95F874"/>
    <w:multiLevelType w:val="hybridMultilevel"/>
    <w:lvl w:ilvl="0">
      <w:lvlJc w:val="left"/>
      <w:lvlText w:val="(%1)"/>
      <w:numFmt w:val="lowerLetter"/>
      <w:start w:val="38"/>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2025-05-15T15:29:15Z</dcterms:created>
  <dcterms:modified xsi:type="dcterms:W3CDTF">2025-05-15T15:29:15Z</dcterms:modified>
</cp:coreProperties>
</file>