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17,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2026, the Company held its Annual Meeting of Stockholders (the “2026 Annual Meeting”). At the close of business on April 20, 2026, the record date for the 2026 Annual Meeting, there were (i) 82,094,894 shares of Common Stock issued and outstanding, each share entitled to one vote, (ii) 35,792 shares of Series B Preferred Stock, par value of $0.0001 per share (the “Series B Preferred Stock”), issued and outstanding, each share of Series B Preferred Stock entitled to 0.97 votes, and (iii) 159,270 shares of Series C Preferred Stock, par value $0.0001 per share (the “Series C Preferred Stock”), issued and outstanding, each share of Series C Preferred Stock entitled to 1.3 votes, constituting all outstanding voting securities of the Company entitled to vote at the 2026 Annual Meeting.</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2026 Annual Meeting, the holders of shares of the Company’s Common Stock, Series B Preferred Stock, and Series C Preferred Stock, representing 53,906,796 votes in aggregate, were present in person or by proxy, constituting a quorum. A description of each matter voted upon at the 2026 Annual Meeting is described in detail in the Company’s Definitive Proxy Statement on Schedule 14A, as filed with the U.S. Securities and Exchange Commission on April 30, 2026. The final votes on the proposals presented at the 2026 Annual Meeting are set forth below.</w:t>
      </w:r>
    </w:p>
    <w:p>
      <w:pPr>
        <w:pStyle w:val="TextBody"/>
        <w:bidi w:val="0"/>
        <w:spacing w:lineRule="auto" w:line="288" w:before="120" w:after="120"/>
        <w:ind w:left="0" w:right="0" w:firstLine="720"/>
        <w:jc w:val="both"/>
        <w:rPr/>
      </w:pPr>
      <w:r>
        <w:rPr>
          <w:rFonts w:ascii="Times New Roman;serif" w:hAnsi="Times New Roman;serif"/>
          <w:b/>
          <w:color w:val="000000"/>
          <w:sz w:val="20"/>
          <w:u w:val="single"/>
        </w:rPr>
        <w:t>Proposal 1</w:t>
      </w:r>
      <w:r>
        <w:rPr>
          <w:rFonts w:ascii="Times New Roman;serif" w:hAnsi="Times New Roman;serif"/>
          <w:b w:val="false"/>
          <w:color w:val="000000"/>
          <w:sz w:val="20"/>
        </w:rPr>
        <w:t>: To elect three nominees to serve as Class II directors for a three-year term expiring at the 2029 annual meeting of stockholders. Each of the nominees listed below has been elected to serve as a Class II director on the Company’s board of directors for a three-year term expiring at the 2029 annual meeting of stockholders or until their respective successors are elected and qualify. The voting results were as follows:</w:t>
      </w:r>
    </w:p>
    <w:tbl>
      <w:tblPr>
        <w:tblW w:w="6726" w:type="dxa"/>
        <w:jc w:val="center"/>
        <w:tblInd w:w="0" w:type="dxa"/>
        <w:tblLayout w:type="fixed"/>
        <w:tblCellMar>
          <w:top w:w="28" w:type="dxa"/>
          <w:left w:w="28" w:type="dxa"/>
          <w:bottom w:w="28" w:type="dxa"/>
          <w:right w:w="28" w:type="dxa"/>
        </w:tblCellMar>
      </w:tblPr>
      <w:tblGrid>
        <w:gridCol w:w="591"/>
        <w:gridCol w:w="520"/>
        <w:gridCol w:w="524"/>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Bruce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31,623,445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3,658,598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18,624,753</w:t>
            </w:r>
          </w:p>
        </w:tc>
      </w:tr>
      <w:tr>
        <w:trPr/>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John Hewitt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32,998,141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2,293,902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18,624,753</w:t>
            </w:r>
          </w:p>
        </w:tc>
      </w:tr>
      <w:tr>
        <w:trPr/>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Catriona Fallon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35,074,494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207,549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18,624,753</w:t>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pPr>
      <w:r>
        <w:rPr>
          <w:rFonts w:ascii="Times New Roman;serif" w:hAnsi="Times New Roman;serif"/>
          <w:b/>
          <w:color w:val="000000"/>
          <w:sz w:val="20"/>
          <w:u w:val="single"/>
        </w:rPr>
        <w:t>Proposal 2</w:t>
      </w:r>
      <w:r>
        <w:rPr>
          <w:rFonts w:ascii="Times New Roman;serif" w:hAnsi="Times New Roman;serif"/>
          <w:b w:val="false"/>
          <w:color w:val="000000"/>
          <w:sz w:val="20"/>
        </w:rPr>
        <w:t>: To ratify the appointment of Withum Smith+Brown, P.C. as the Company’s independent registered public accounting firm for the fiscal year ending December 31, 2026. The ratification was approved by vote of stockholders as follows:</w:t>
      </w:r>
    </w:p>
    <w:tbl>
      <w:tblPr>
        <w:tblW w:w="4090"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29"/>
        <w:gridCol w:w="329"/>
        <w:gridCol w:w="46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53,604,019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50,044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252,733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141"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355"/>
        <w:gridCol w:w="355"/>
        <w:gridCol w:w="355"/>
        <w:gridCol w:w="587"/>
        <w:gridCol w:w="587"/>
        <w:gridCol w:w="8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4073</Characters>
  <CharactersWithSpaces>4724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