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13,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13, 2025, Innventure, Inc. (the “Company”) issued a press release, attached hereto as Exhibit 99.1 and incorporated herein by reference, announcing the Company’s financial results for the third quarter ended September 30, 2025, and certain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080" w:right="33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 Release by Innventure, Inc. dated November 13, 2025</w:t>
      </w:r>
    </w:p>
    <w:p>
      <w:pPr>
        <w:spacing w:after="0" w:line="43" w:lineRule="exact"/>
        <w:rPr>
          <w:sz w:val="20"/>
          <w:szCs w:val="20"/>
          <w:color w:val="auto"/>
        </w:rPr>
      </w:pPr>
    </w:p>
    <w:p>
      <w:pPr>
        <w:sectPr>
          <w:pgSz w:w="11900" w:h="16838" w:orient="portrait"/>
          <w:cols w:equalWidth="0" w:num="2">
            <w:col w:w="1540" w:space="40"/>
            <w:col w:w="9660"/>
          </w:cols>
          <w:pgMar w:left="320" w:top="1080" w:right="33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Innventure Reports Third Quarter 2025 Results</w:t>
      </w:r>
    </w:p>
    <w:p>
      <w:pPr>
        <w:spacing w:after="0" w:line="255" w:lineRule="exact"/>
        <w:rPr>
          <w:sz w:val="20"/>
          <w:szCs w:val="20"/>
          <w:color w:val="auto"/>
        </w:rPr>
      </w:pPr>
    </w:p>
    <w:p>
      <w:pPr>
        <w:jc w:val="center"/>
        <w:ind w:left="340" w:right="20"/>
        <w:spacing w:after="0" w:line="243" w:lineRule="auto"/>
        <w:rPr>
          <w:sz w:val="20"/>
          <w:szCs w:val="20"/>
          <w:color w:val="auto"/>
        </w:rPr>
      </w:pPr>
      <w:r>
        <w:rPr>
          <w:rFonts w:ascii="Arial" w:cs="Arial" w:eastAsia="Arial" w:hAnsi="Arial"/>
          <w:sz w:val="20"/>
          <w:szCs w:val="20"/>
          <w:i w:val="1"/>
          <w:iCs w:val="1"/>
          <w:color w:val="auto"/>
        </w:rPr>
        <w:t>Accelsius recently secured strategic investment from Johnson Controls and introduced its NeuCool® MR250 system; pipeline of opportunities now exceeds $1 billion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AeroFlexx delivered 5th consecutive quarter of revenue generation with growing customer pipeline in U.S. and Europe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Refinity on track to demonstrate pilot scale and finalize initial site selection for first plant by year-end</w:t>
      </w:r>
    </w:p>
    <w:p>
      <w:pPr>
        <w:spacing w:after="0" w:line="216"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ORLANDO, Fla., Nov. 13, 2025 (GLOBE NEWSWIRE) -- Innventure, Inc. (NASDAQ: INV) (“Innventure”), an industrial growth conglomerate, today announced financial results for the quarter ended September 30, 2025.</w:t>
      </w:r>
    </w:p>
    <w:p>
      <w:pPr>
        <w:spacing w:after="0" w:line="196"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“Innventure’s momentum continued in the third quarter, driven by meaningful execution across our operating companies. Accelsius, AeroFlexx, and Refinity each advanced key commercial and technical milestones, reinforcing our belief that Innventure is entering a pivotal phase of growth,” said Bill Haskell, Innventure’s Chief Executive Officer. “Accelsius secured a strategic investment from Johnson Controls and showcased its NeuCool platform at NVIDIA GTC, demonstrating industry-leading thermal performance of up to 4,500W per GPU socket. With a sales pipeline now exceeding $1 billion, Accelsius is positioned to capitalize on accelerating demand for advanced liquid cooling solutions. AeroFlexx continued its revenue momentum and expanded its global footprint through strategic partnerships, including the launch of innovative, recyclable packaging with ĕleeo brands. Finally, Refinity is on track to demonstrate pilot scale and finalize initial site selection for its first plant by year-end.”</w:t>
      </w:r>
    </w:p>
    <w:p>
      <w:pPr>
        <w:spacing w:after="0" w:line="220"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Mr. Haskell continued, “We remain focused on unlocking value from our differentiated model, both through advancement of our current family of operating companies and in the future through our high-quality pipeline of technology opportunities. The progress we’re making today is just the beginning. We have built a platform designed to deliver long-term shareholder value and we are poised to deliver meaningful revenue growth in the quarters and years ahead.”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258" w:lineRule="exact"/>
        <w:rPr>
          <w:sz w:val="20"/>
          <w:szCs w:val="20"/>
          <w:color w:val="auto"/>
        </w:rPr>
      </w:pPr>
    </w:p>
    <w:p>
      <w:pPr>
        <w:ind w:right="640"/>
        <w:spacing w:after="0" w:line="257" w:lineRule="auto"/>
        <w:rPr>
          <w:sz w:val="20"/>
          <w:szCs w:val="20"/>
          <w:color w:val="auto"/>
        </w:rPr>
      </w:pPr>
      <w:r>
        <w:rPr>
          <w:rFonts w:ascii="Arial" w:cs="Arial" w:eastAsia="Arial" w:hAnsi="Arial"/>
          <w:sz w:val="20"/>
          <w:szCs w:val="20"/>
          <w:color w:val="auto"/>
        </w:rPr>
        <w:t>A conference call to discuss these results has been scheduled for 5:00 p.m. ET on November 13, 2025. The event will be webcasted live via Innventure’s investor relations website https://ir.innventure.com/ or via this link.</w:t>
      </w:r>
    </w:p>
    <w:p>
      <w:pPr>
        <w:spacing w:after="0" w:line="196" w:lineRule="exact"/>
        <w:rPr>
          <w:sz w:val="20"/>
          <w:szCs w:val="20"/>
          <w:color w:val="auto"/>
        </w:rPr>
      </w:pPr>
    </w:p>
    <w:p>
      <w:pPr>
        <w:ind w:right="2400"/>
        <w:spacing w:after="0" w:line="248" w:lineRule="auto"/>
        <w:rPr>
          <w:sz w:val="20"/>
          <w:szCs w:val="20"/>
          <w:color w:val="auto"/>
        </w:rPr>
      </w:pPr>
      <w:r>
        <w:rPr>
          <w:rFonts w:ascii="Arial" w:cs="Arial" w:eastAsia="Arial" w:hAnsi="Arial"/>
          <w:sz w:val="20"/>
          <w:szCs w:val="20"/>
          <w:color w:val="auto"/>
        </w:rPr>
        <w:t>Parties interested in joining via teleconference can register using this link. https://register-conf.media-server.com/register/BI77a9a4317ce2406980a9f29778a30417</w:t>
      </w:r>
    </w:p>
    <w:p>
      <w:pPr>
        <w:spacing w:after="0" w:line="2" w:lineRule="exact"/>
        <w:rPr>
          <w:sz w:val="20"/>
          <w:szCs w:val="20"/>
          <w:color w:val="auto"/>
        </w:rPr>
      </w:pPr>
    </w:p>
    <w:p>
      <w:pPr>
        <w:ind w:right="400"/>
        <w:spacing w:after="0" w:line="239" w:lineRule="auto"/>
        <w:rPr>
          <w:sz w:val="20"/>
          <w:szCs w:val="20"/>
          <w:color w:val="auto"/>
        </w:rPr>
      </w:pPr>
      <w:r>
        <w:rPr>
          <w:rFonts w:ascii="Arial" w:cs="Arial" w:eastAsia="Arial" w:hAnsi="Arial"/>
          <w:sz w:val="20"/>
          <w:szCs w:val="20"/>
          <w:color w:val="auto"/>
        </w:rPr>
        <w:t>After registering, you will be provided dial in details and a unique dial-in PIN. Registration is open through the live call, but to ensure you are connected for the full call, we suggest registering in advance.</w:t>
      </w:r>
    </w:p>
    <w:p>
      <w:pPr>
        <w:spacing w:after="0" w:line="199" w:lineRule="exact"/>
        <w:rPr>
          <w:sz w:val="20"/>
          <w:szCs w:val="20"/>
          <w:color w:val="auto"/>
        </w:rPr>
      </w:pPr>
    </w:p>
    <w:p>
      <w:pPr>
        <w:ind w:right="1360"/>
        <w:spacing w:after="0" w:line="282" w:lineRule="auto"/>
        <w:rPr>
          <w:sz w:val="20"/>
          <w:szCs w:val="20"/>
          <w:color w:val="auto"/>
        </w:rPr>
      </w:pPr>
      <w:r>
        <w:rPr>
          <w:rFonts w:ascii="Arial" w:cs="Arial" w:eastAsia="Arial" w:hAnsi="Arial"/>
          <w:sz w:val="20"/>
          <w:szCs w:val="20"/>
          <w:color w:val="auto"/>
        </w:rPr>
        <w:t xml:space="preserve">Innventure will also post a slide presentation to accompany the prepared remarks to its investor relations website </w:t>
      </w:r>
      <w:r>
        <w:rPr>
          <w:rFonts w:ascii="Arial" w:cs="Arial" w:eastAsia="Arial" w:hAnsi="Arial"/>
          <w:sz w:val="20"/>
          <w:szCs w:val="20"/>
          <w:b w:val="1"/>
          <w:bCs w:val="1"/>
          <w:color w:val="467886"/>
        </w:rPr>
        <w:t xml:space="preserve">https://ir.innventure.com/ </w:t>
      </w:r>
      <w:r>
        <w:rPr>
          <w:rFonts w:ascii="Arial" w:cs="Arial" w:eastAsia="Arial" w:hAnsi="Arial"/>
          <w:sz w:val="20"/>
          <w:szCs w:val="20"/>
          <w:color w:val="000000"/>
        </w:rPr>
        <w:t>shortly before the of the start of the event.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Innventure</w:t>
      </w:r>
    </w:p>
    <w:p>
      <w:pPr>
        <w:spacing w:after="0" w:line="24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214" w:lineRule="exact"/>
        <w:rPr>
          <w:sz w:val="20"/>
          <w:szCs w:val="20"/>
          <w:color w:val="auto"/>
        </w:rPr>
      </w:pPr>
    </w:p>
    <w:p>
      <w:pPr>
        <w:ind w:right="160"/>
        <w:spacing w:after="0" w:line="235" w:lineRule="auto"/>
        <w:rPr>
          <w:sz w:val="20"/>
          <w:szCs w:val="20"/>
          <w:color w:val="auto"/>
        </w:rPr>
      </w:pPr>
      <w:r>
        <w:rPr>
          <w:rFonts w:ascii="Arial" w:cs="Arial" w:eastAsia="Arial" w:hAnsi="Arial"/>
          <w:sz w:val="20"/>
          <w:szCs w:val="20"/>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214"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203" w:lineRule="exact"/>
        <w:rPr>
          <w:sz w:val="20"/>
          <w:szCs w:val="20"/>
          <w:color w:val="auto"/>
        </w:rPr>
      </w:pPr>
    </w:p>
    <w:p>
      <w:pPr>
        <w:ind w:right="440"/>
        <w:spacing w:after="0" w:line="298" w:lineRule="auto"/>
        <w:rPr>
          <w:sz w:val="20"/>
          <w:szCs w:val="20"/>
          <w:color w:val="auto"/>
        </w:rPr>
      </w:pPr>
      <w:r>
        <w:rPr>
          <w:rFonts w:ascii="Arial" w:cs="Arial" w:eastAsia="Arial" w:hAnsi="Arial"/>
          <w:sz w:val="19"/>
          <w:szCs w:val="19"/>
          <w:color w:val="auto"/>
        </w:rPr>
        <w:t>Investors should use caution when comparing our non-GAAP measure to similar metrics used by other companies, as definitions can vary. Adjusted EBITDA should not be considered in isolation or as a substitute for GAAP financial measures.</w:t>
      </w:r>
    </w:p>
    <w:p>
      <w:pPr>
        <w:spacing w:after="0" w:line="146"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5"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generally relate to future events or Innventure’s (the “Company’s”) future financial or operating performance, expectations regarding new contractual arrangements, anticipated product line expansions and product testing and market acceptance, and these statements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Securities and Exchange Commission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the Company’s and its subsidiaries’ ability to invest in growth initiatives; (b) the implementation, market acceptance and success of the Company’s and its subsidiaries’ business models and growth</w:t>
      </w:r>
    </w:p>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strategies; (c) the Company’s and its subsidiaries’ future capital requirements and sources and uses of cash; (d) the Company’s ability to maintain control over its subsidiaries, (e) the Company’s access to funds under the Standby Equity Purchase Agreement with YA II PN, Ltd. due to certain conditions, restrictions and limitations set forth therein and in other agreements with YA II PN, Ltd.; (f) certain restrictions and limitations set forth in the Company’s debt instruments, which may impair the Company’s financial and operating flexibility; (g) the Company and its subsidiaries ability to generate liquidity and maintain sufficient capital to operate as anticipated; (h) the Company’s and its subsidiaries’ ability to obtain funding for their operations and future growth and to continue as going concerns; (i) the risk that the technology solutions that the Company and its subsidiaries license or acquire from third parties or develop internally may not function as anticipated or provide the benefits anticipated; (j) developments and projections relating to the Company’s and its subsidiaries’ competitors and industry; (k) the ability of the Company and its subsidiaries to scale the operations of their respective businesses; (l) the ability of the Company and its subsidiaries to establish substantial commercial sales of their products; (m) the ability of the Company and its subsidiaries to compete against companies with greater capital and other resources or superior technology or products; (n) the Company and its subsidiaries’ ability to meet, and to continue to meet, applicable regulatory requirements for the use of their respective products and the numerous regulatory requirements generally applicable to their businesses; (o) the outcome of any legal proceedings against the Company or its subsidiaries; (p)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(q) the risk that the launch of new companies distracts the Company’s management from its other subsidiaries and their operations; (r) the risk that the Company may be deemed an investment company under the Investment Company Act, which would impose burdensome compliance requirements and restrictions on its activities; (s) the ability of the Company and its subsidiaries to sufficiently protect their intellectual property rights and to avoid or resolve in a timely and cost-effective manner any disputes that may arise relating to its use of the intellectual property of third parties; (t) the risk of a cyber-attack or a failure of the Company’s or its subsidiaries’ information technology and data security infrastructure; (u) geopolitical risk and changes in applicable laws or regulations; (v) potential adverse effects of other economic, business, and/or competitive factors; (w) operational risks related to the Company and its subsidiaries that have limited or no operating history; and (x) limited liquidity and trading of the Company’s securities.</w:t>
      </w:r>
    </w:p>
    <w:p>
      <w:pPr>
        <w:spacing w:after="0" w:line="202"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10" w:lineRule="exact"/>
        <w:rPr>
          <w:sz w:val="20"/>
          <w:szCs w:val="20"/>
          <w:color w:val="auto"/>
        </w:rPr>
      </w:pPr>
    </w:p>
    <w:p>
      <w:pPr>
        <w:ind w:right="5060"/>
        <w:spacing w:after="0" w:line="259" w:lineRule="auto"/>
        <w:rPr>
          <w:sz w:val="20"/>
          <w:szCs w:val="20"/>
          <w:color w:val="auto"/>
        </w:rPr>
      </w:pPr>
      <w:r>
        <w:rPr>
          <w:rFonts w:ascii="Arial" w:cs="Arial" w:eastAsia="Arial" w:hAnsi="Arial"/>
          <w:sz w:val="20"/>
          <w:szCs w:val="20"/>
          <w:b w:val="1"/>
          <w:bCs w:val="1"/>
          <w:color w:val="auto"/>
        </w:rPr>
        <w:t xml:space="preserve">Media Contact: </w:t>
      </w:r>
      <w:r>
        <w:rPr>
          <w:rFonts w:ascii="Arial" w:cs="Arial" w:eastAsia="Arial" w:hAnsi="Arial"/>
          <w:sz w:val="20"/>
          <w:szCs w:val="20"/>
          <w:color w:val="auto"/>
        </w:rPr>
        <w:t>Laurie Steinberg, Solebury Strategic Communications</w:t>
      </w:r>
      <w:r>
        <w:rPr>
          <w:rFonts w:ascii="Arial" w:cs="Arial" w:eastAsia="Arial" w:hAnsi="Arial"/>
          <w:sz w:val="20"/>
          <w:szCs w:val="20"/>
          <w:b w:val="1"/>
          <w:bCs w:val="1"/>
          <w:color w:val="auto"/>
        </w:rPr>
        <w:t xml:space="preserve"> </w:t>
      </w:r>
      <w:r>
        <w:rPr>
          <w:rFonts w:ascii="Arial" w:cs="Arial" w:eastAsia="Arial" w:hAnsi="Arial"/>
          <w:sz w:val="20"/>
          <w:szCs w:val="20"/>
          <w:color w:val="0563C1"/>
        </w:rPr>
        <w:t>press@innventure.com</w:t>
      </w:r>
    </w:p>
    <w:p>
      <w:pPr>
        <w:spacing w:after="0" w:line="192" w:lineRule="exact"/>
        <w:rPr>
          <w:sz w:val="20"/>
          <w:szCs w:val="20"/>
          <w:color w:val="auto"/>
        </w:rPr>
      </w:pPr>
    </w:p>
    <w:p>
      <w:pPr>
        <w:ind w:right="4180"/>
        <w:spacing w:after="0" w:line="259" w:lineRule="auto"/>
        <w:rPr>
          <w:sz w:val="20"/>
          <w:szCs w:val="20"/>
          <w:color w:val="auto"/>
        </w:rPr>
      </w:pPr>
      <w:r>
        <w:rPr>
          <w:rFonts w:ascii="Arial" w:cs="Arial" w:eastAsia="Arial" w:hAnsi="Arial"/>
          <w:sz w:val="20"/>
          <w:szCs w:val="20"/>
          <w:b w:val="1"/>
          <w:bCs w:val="1"/>
          <w:color w:val="auto"/>
        </w:rPr>
        <w:t xml:space="preserve">Investor Relations Contact: </w:t>
      </w:r>
      <w:r>
        <w:rPr>
          <w:rFonts w:ascii="Arial" w:cs="Arial" w:eastAsia="Arial" w:hAnsi="Arial"/>
          <w:sz w:val="20"/>
          <w:szCs w:val="20"/>
          <w:color w:val="auto"/>
        </w:rPr>
        <w:t>Sloan Bohlen, Solebury Strategic Communications</w:t>
      </w:r>
      <w:r>
        <w:rPr>
          <w:rFonts w:ascii="Arial" w:cs="Arial" w:eastAsia="Arial" w:hAnsi="Arial"/>
          <w:sz w:val="20"/>
          <w:szCs w:val="20"/>
          <w:b w:val="1"/>
          <w:bCs w:val="1"/>
          <w:color w:val="auto"/>
        </w:rPr>
        <w:t xml:space="preserve"> </w:t>
      </w:r>
      <w:r>
        <w:rPr>
          <w:rFonts w:ascii="Arial" w:cs="Arial" w:eastAsia="Arial" w:hAnsi="Arial"/>
          <w:sz w:val="20"/>
          <w:szCs w:val="20"/>
          <w:color w:val="0563C1"/>
        </w:rPr>
        <w:t>investorrelations@innventure.com</w:t>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Innventure, Inc. and Subsidiaries Condensed Consolidated Balance Sheets (Unaudited)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 2025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176"/>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120" w:type="dxa"/>
            <w:vAlign w:val="bottom"/>
          </w:tcPr>
          <w:p>
            <w:pPr>
              <w:spacing w:after="0"/>
              <w:rPr>
                <w:sz w:val="15"/>
                <w:szCs w:val="15"/>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16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r>
      <w:tr>
        <w:trPr>
          <w:trHeight w:val="18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8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Inventories, net</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5,178</w:t>
            </w:r>
          </w:p>
        </w:tc>
      </w:tr>
      <w:tr>
        <w:trPr>
          <w:trHeight w:val="17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32,250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r>
      <w:tr>
        <w:trPr>
          <w:trHeight w:val="18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28,734</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r>
      <w:tr>
        <w:trPr>
          <w:trHeight w:val="18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165,941</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182,153</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323,463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667,936</w:t>
            </w:r>
          </w:p>
        </w:tc>
      </w:tr>
      <w:tr>
        <w:trPr>
          <w:trHeight w:val="175"/>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556,515</w:t>
            </w:r>
          </w:p>
        </w:tc>
        <w:tc>
          <w:tcPr>
            <w:tcW w:w="54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40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856</w:t>
            </w:r>
          </w:p>
        </w:tc>
        <w:tc>
          <w:tcPr>
            <w:tcW w:w="5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18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12,189</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9,273</w:t>
            </w:r>
          </w:p>
        </w:tc>
      </w:tr>
      <w:tr>
        <w:trPr>
          <w:trHeight w:val="170"/>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24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3,225</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w:t>
            </w:r>
          </w:p>
        </w:tc>
      </w:tr>
      <w:tr>
        <w:trPr>
          <w:trHeight w:val="18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Contract liabilities</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776</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24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r>
      <w:tr>
        <w:trPr>
          <w:trHeight w:val="18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34,398</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0"/>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Embedded derivative liability</w:t>
            </w:r>
          </w:p>
        </w:tc>
        <w:tc>
          <w:tcPr>
            <w:tcW w:w="24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1,677</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700</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r>
      <w:tr>
        <w:trPr>
          <w:trHeight w:val="170"/>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24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2,239</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4,158</w:t>
            </w:r>
          </w:p>
        </w:tc>
      </w:tr>
      <w:tr>
        <w:trPr>
          <w:trHeight w:val="18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22,742</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34,023</w:t>
            </w:r>
          </w:p>
        </w:tc>
      </w:tr>
      <w:tr>
        <w:trPr>
          <w:trHeight w:val="170"/>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24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930,000</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party convertible promissory notes - current</w:t>
            </w: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2,085</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4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660</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82,477</w:t>
            </w:r>
          </w:p>
        </w:tc>
        <w:tc>
          <w:tcPr>
            <w:tcW w:w="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r>
      <w:tr>
        <w:trPr>
          <w:trHeight w:val="18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Term convertible notes, net of current portion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15,024</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convertible promissory notes, net of current portion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4,389</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5,460</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18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 portion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27,353</w:t>
            </w:r>
          </w:p>
        </w:tc>
      </w:tr>
      <w:tr>
        <w:trPr>
          <w:trHeight w:val="175"/>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149,936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138,996</w:t>
            </w: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w:t>
            </w: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30"/>
        </w:trPr>
        <w:tc>
          <w:tcPr>
            <w:tcW w:w="6720" w:type="dxa"/>
            <w:vAlign w:val="bottom"/>
          </w:tcPr>
          <w:p>
            <w:pPr>
              <w:ind w:left="300"/>
              <w:spacing w:after="0" w:line="131" w:lineRule="exact"/>
              <w:rPr>
                <w:sz w:val="20"/>
                <w:szCs w:val="20"/>
                <w:color w:val="auto"/>
              </w:rPr>
            </w:pPr>
            <w:r>
              <w:rPr>
                <w:rFonts w:ascii="Times New Roman" w:cs="Times New Roman" w:eastAsia="Times New Roman" w:hAnsi="Times New Roman"/>
                <w:sz w:val="13"/>
                <w:szCs w:val="13"/>
                <w:color w:val="auto"/>
                <w:w w:val="97"/>
              </w:rPr>
              <w:t>Series B Preferred Stock, $0.0001 par value, 3,000,000 shares designated, 33,144 and 1,102,000 shares issued and outstanding</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2"/>
        </w:trPr>
        <w:tc>
          <w:tcPr>
            <w:tcW w:w="67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as of September 30, 2025 and December 31, 2024, respectively</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8"/>
        </w:trPr>
        <w:tc>
          <w:tcPr>
            <w:tcW w:w="672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3"/>
                <w:szCs w:val="13"/>
                <w:color w:val="auto"/>
                <w:w w:val="97"/>
              </w:rPr>
              <w:t>Series C Preferred Stock, $0.0001 par value, 5,000,000 shares designated, 150,000 and — shares issued and outstanding as of</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80"/>
        </w:trPr>
        <w:tc>
          <w:tcPr>
            <w:tcW w:w="6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September 30, 2025 and December 31, 2024, respectively</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67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7"/>
              </w:rPr>
              <w:t>Common Stock, $0.0001 par value, 250,000,000 shares authorized, 56,220,158 and 44,597,154 shares issued and outstanding as</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2"/>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 September 30, 2025 and December 31, 2024, respectively</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525,615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r>
      <w:tr>
        <w:trPr>
          <w:trHeight w:val="170"/>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175"/>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(333,844)</w:t>
            </w:r>
          </w:p>
        </w:tc>
        <w:tc>
          <w:tcPr>
            <w:tcW w:w="8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(78,262)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190,769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18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215,810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r>
      <w:tr>
        <w:trPr>
          <w:trHeight w:val="16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406,579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16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556,515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9480"/>
          </w:cols>
          <w:pgMar w:left="1200" w:top="117" w:right="12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080" w:type="dxa"/>
            <w:vAlign w:val="bottom"/>
            <w:gridSpan w:val="5"/>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right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right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02"/>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534</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1,234</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16,927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55,172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w:t>
            </w: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0" w:type="dxa"/>
            <w:vAlign w:val="bottom"/>
          </w:tcPr>
          <w:p>
            <w:pPr>
              <w:spacing w:after="0"/>
              <w:rPr>
                <w:sz w:val="1"/>
                <w:szCs w:val="1"/>
                <w:color w:val="auto"/>
              </w:rPr>
            </w:pPr>
          </w:p>
        </w:tc>
      </w:tr>
      <w:tr>
        <w:trPr>
          <w:trHeight w:val="196"/>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120" w:type="dxa"/>
            <w:vAlign w:val="bottom"/>
          </w:tcPr>
          <w:p>
            <w:pPr>
              <w:spacing w:after="0"/>
              <w:rPr>
                <w:sz w:val="17"/>
                <w:szCs w:val="17"/>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346,557</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29,739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434,211</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36,256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(29,205)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(432,977)</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11,547</w:t>
            </w: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on investments – due to related parties</w:t>
            </w:r>
          </w:p>
        </w:tc>
        <w:tc>
          <w:tcPr>
            <w:tcW w:w="12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19,496</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income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12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Miscellaneous other expense</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(Expense) Income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(9,133)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9,011</w:t>
            </w:r>
          </w:p>
        </w:tc>
        <w:tc>
          <w:tcPr>
            <w:tcW w:w="0" w:type="dxa"/>
            <w:vAlign w:val="bottom"/>
          </w:tcPr>
          <w:p>
            <w:pPr>
              <w:spacing w:after="0"/>
              <w:rPr>
                <w:sz w:val="1"/>
                <w:szCs w:val="1"/>
                <w:color w:val="auto"/>
              </w:rPr>
            </w:pPr>
          </w:p>
        </w:tc>
      </w:tr>
      <w:tr>
        <w:trPr>
          <w:trHeight w:val="276"/>
        </w:trPr>
        <w:tc>
          <w:tcPr>
            <w:tcW w:w="4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(38,338)</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(436,906)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(26,481)</w:t>
            </w:r>
          </w:p>
        </w:tc>
        <w:tc>
          <w:tcPr>
            <w:tcW w:w="0" w:type="dxa"/>
            <w:vAlign w:val="bottom"/>
          </w:tcPr>
          <w:p>
            <w:pPr>
              <w:spacing w:after="0"/>
              <w:rPr>
                <w:sz w:val="1"/>
                <w:szCs w:val="1"/>
                <w:color w:val="auto"/>
              </w:rPr>
            </w:pPr>
          </w:p>
        </w:tc>
      </w:tr>
      <w:tr>
        <w:trPr>
          <w:trHeight w:val="276"/>
        </w:trPr>
        <w:tc>
          <w:tcPr>
            <w:tcW w:w="4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(34,735)</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(429,684)</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(26,481)</w:t>
            </w:r>
          </w:p>
        </w:tc>
        <w:tc>
          <w:tcPr>
            <w:tcW w:w="0" w:type="dxa"/>
            <w:vAlign w:val="bottom"/>
          </w:tcPr>
          <w:p>
            <w:pPr>
              <w:spacing w:after="0"/>
              <w:rPr>
                <w:sz w:val="1"/>
                <w:szCs w:val="1"/>
                <w:color w:val="auto"/>
              </w:rPr>
            </w:pPr>
          </w:p>
        </w:tc>
      </w:tr>
      <w:tr>
        <w:trPr>
          <w:trHeight w:val="195"/>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(174,128)</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115"/>
        </w:trPr>
        <w:tc>
          <w:tcPr>
            <w:tcW w:w="47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Net Loss Attributable to Innventure, Inc. Stockholders / Innventure LLC</w:t>
            </w:r>
          </w:p>
        </w:tc>
        <w:tc>
          <w:tcPr>
            <w:tcW w:w="12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(28,332)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(2,211)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(255,556)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(14,719)</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55,846,721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51,583,853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10,875,000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 (loss) on available for sale debt securities - related party</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Reclassification of realized gain on conversion of available for sale</w:t>
            </w:r>
          </w:p>
        </w:tc>
        <w:tc>
          <w:tcPr>
            <w:tcW w:w="12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shd w:val="clear" w:color="auto" w:fill="CCEEFF"/>
          </w:tcPr>
          <w:p>
            <w:pPr>
              <w:spacing w:after="0"/>
              <w:rPr>
                <w:sz w:val="17"/>
                <w:szCs w:val="17"/>
                <w:color w:val="auto"/>
              </w:rPr>
            </w:pPr>
          </w:p>
        </w:tc>
        <w:tc>
          <w:tcPr>
            <w:tcW w:w="15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taxes</w:t>
            </w: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(2,373)</w:t>
            </w:r>
          </w:p>
        </w:tc>
        <w:tc>
          <w:tcPr>
            <w:tcW w:w="0" w:type="dxa"/>
            <w:vAlign w:val="bottom"/>
          </w:tcPr>
          <w:p>
            <w:pPr>
              <w:spacing w:after="0"/>
              <w:rPr>
                <w:sz w:val="1"/>
                <w:szCs w:val="1"/>
                <w:color w:val="auto"/>
              </w:rPr>
            </w:pPr>
          </w:p>
        </w:tc>
      </w:tr>
      <w:tr>
        <w:trPr>
          <w:trHeight w:val="222"/>
        </w:trPr>
        <w:tc>
          <w:tcPr>
            <w:tcW w:w="47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(34,454)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(431,601)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(28,854)</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(174,128)</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121"/>
        </w:trPr>
        <w:tc>
          <w:tcPr>
            <w:tcW w:w="47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 Stockholders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(28,051)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(4,584)</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(257,473)</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(17,092)</w:t>
            </w:r>
          </w:p>
        </w:tc>
        <w:tc>
          <w:tcPr>
            <w:tcW w:w="0" w:type="dxa"/>
            <w:vAlign w:val="bottom"/>
          </w:tcPr>
          <w:p>
            <w:pPr>
              <w:spacing w:after="0"/>
              <w:rPr>
                <w:sz w:val="1"/>
                <w:szCs w:val="1"/>
                <w:color w:val="auto"/>
              </w:rPr>
            </w:pPr>
          </w:p>
        </w:tc>
      </w:tr>
      <w:tr>
        <w:trPr>
          <w:trHeight w:val="20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Unitholders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00"/>
          </w:cols>
          <w:pgMar w:left="340" w:top="11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94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7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OCI</w:t>
            </w:r>
          </w:p>
        </w:tc>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35"/>
        </w:trPr>
        <w:tc>
          <w:tcPr>
            <w:tcW w:w="298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Issuance of units to non-controlling interest in</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convertible promissory notes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Accretion of redeemable units to redemption</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45,688</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895</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(73,918)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11,543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(10,519)</w:t>
            </w: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Accretion of redeemable units to redemption</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48,540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940</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(81,568)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15,113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(11,702)</w:t>
            </w: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(2,373)</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0" w:type="dxa"/>
            <w:vAlign w:val="bottom"/>
          </w:tcPr>
          <w:p>
            <w:pPr>
              <w:spacing w:after="0"/>
              <w:rPr>
                <w:sz w:val="1"/>
                <w:szCs w:val="1"/>
                <w:color w:val="auto"/>
              </w:rPr>
            </w:pPr>
          </w:p>
        </w:tc>
      </w:tr>
      <w:tr>
        <w:trPr>
          <w:trHeight w:val="195"/>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35"/>
        </w:trPr>
        <w:tc>
          <w:tcPr>
            <w:tcW w:w="298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Accretion of redeemable units to redemption</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(7,173)</w:t>
            </w:r>
          </w:p>
        </w:tc>
        <w:tc>
          <w:tcPr>
            <w:tcW w:w="0" w:type="dxa"/>
            <w:vAlign w:val="bottom"/>
          </w:tcPr>
          <w:p>
            <w:pPr>
              <w:spacing w:after="0"/>
              <w:rPr>
                <w:sz w:val="1"/>
                <w:szCs w:val="1"/>
                <w:color w:val="auto"/>
              </w:rPr>
            </w:pPr>
          </w:p>
        </w:tc>
      </w:tr>
      <w:tr>
        <w:trPr>
          <w:trHeight w:val="196"/>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51,683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(90,952)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(2,373)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(22,308)</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0120"/>
          </w:cols>
          <w:pgMar w:left="880" w:top="117" w:right="8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3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Series B Preferred Stock</w:t>
            </w:r>
          </w:p>
        </w:tc>
        <w:tc>
          <w:tcPr>
            <w:tcW w:w="13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Series C Preferred Stock</w:t>
            </w:r>
          </w:p>
        </w:tc>
        <w:tc>
          <w:tcPr>
            <w:tcW w:w="110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10"/>
                <w:szCs w:val="10"/>
                <w:color w:val="auto"/>
              </w:rPr>
              <w:t>Additional</w:t>
            </w:r>
          </w:p>
        </w:tc>
        <w:tc>
          <w:tcPr>
            <w:tcW w:w="60" w:type="dxa"/>
            <w:vAlign w:val="bottom"/>
          </w:tcPr>
          <w:p>
            <w:pPr>
              <w:spacing w:after="0"/>
              <w:rPr>
                <w:sz w:val="8"/>
                <w:szCs w:val="8"/>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Accumulated</w:t>
            </w: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8"/>
                <w:szCs w:val="8"/>
                <w:color w:val="auto"/>
              </w:rPr>
            </w:pPr>
          </w:p>
        </w:tc>
        <w:tc>
          <w:tcPr>
            <w:tcW w:w="72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8"/>
                <w:szCs w:val="8"/>
                <w:color w:val="auto"/>
              </w:rPr>
            </w:pPr>
          </w:p>
        </w:tc>
        <w:tc>
          <w:tcPr>
            <w:tcW w:w="680" w:type="dxa"/>
            <w:vAlign w:val="bottom"/>
            <w:tcBorders>
              <w:right w:val="single" w:sz="8" w:color="auto"/>
            </w:tcBorders>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color w:val="auto"/>
                <w:w w:val="92"/>
              </w:rPr>
              <w:t>Paid-In</w:t>
            </w: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800" w:type="dxa"/>
            <w:vAlign w:val="bottom"/>
            <w:tcBorders>
              <w:right w:val="single" w:sz="8" w:color="auto"/>
            </w:tcBorders>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58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4"/>
              </w:rPr>
              <w:t>Capital</w:t>
            </w:r>
          </w:p>
        </w:tc>
        <w:tc>
          <w:tcPr>
            <w:tcW w:w="6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Deficit</w:t>
            </w:r>
          </w:p>
        </w:tc>
        <w:tc>
          <w:tcPr>
            <w:tcW w:w="16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OCI</w:t>
            </w: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3"/>
                <w:szCs w:val="13"/>
                <w:color w:val="auto"/>
              </w:rPr>
            </w:pPr>
          </w:p>
        </w:tc>
        <w:tc>
          <w:tcPr>
            <w:tcW w:w="6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1,102,000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44,597,154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502,865</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(78,262)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340,777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766,293</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Series B Preferred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buyback</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9"/>
              </w:rPr>
              <w:t>Series B Preferred Stock issued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21,808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 paid-in-kind dividends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Issuance of common shares, net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161,964</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1,927</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earnout shares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2,344,682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Other comprehensive gain, net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Conversion of related party</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2,310,848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23,109</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notes</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Series C Preferred</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575,000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5,663</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net</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Non-controlling interest issued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(26,303)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33,249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6,946</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49"/>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1,118,808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47,103,800</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484,256</w:t>
            </w: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(221,285)</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(1,478)</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264,247</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525,745</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2,885,848</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28,728</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(84,227)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(57,048)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(141,275)</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Issuance of common shares, net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481,325</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2,625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Other comprehensive gain, net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Non-controlling interest issued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1,036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8,494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9,406</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Conversion to 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(1,085,664)</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7,636,369</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27,269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27,270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(2,735,848)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(27,272)</w:t>
            </w: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Transfer of Series C Preferred</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Stock from Mezzanine equity</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1,468,000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1,468,000</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(1,468,000)</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 Stockholders' equity</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33,144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150,000</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55,221,494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525,346</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(305,512)</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207,509</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426,060</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4"/>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(34,735)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Issuance of common shares, net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998,664</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3,095</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Other comprehensive gain, net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Non-controlling interest issued</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11,957</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4,181</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1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33,144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150,000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56,220,158</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525,615</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(333,844)</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215,810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406,579</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Predecessor</w:t>
            </w:r>
          </w:p>
        </w:tc>
      </w:tr>
      <w:tr>
        <w:trPr>
          <w:trHeight w:val="102"/>
        </w:trPr>
        <w:tc>
          <w:tcPr>
            <w:tcW w:w="7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8"/>
              </w:rPr>
              <w:t>Nine months ended September 30,</w:t>
            </w: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8"/>
              </w:rPr>
              <w:t>Nine months ended September 30,</w:t>
            </w:r>
          </w:p>
        </w:tc>
      </w:tr>
      <w:tr>
        <w:trPr>
          <w:trHeight w:val="155"/>
        </w:trPr>
        <w:tc>
          <w:tcPr>
            <w:tcW w:w="7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CCEEFF"/>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4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(429,684)</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(26,481)</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2"/>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22,972</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1,056</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8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468</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5,142</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on investments</w:t>
            </w:r>
          </w:p>
        </w:tc>
        <w:tc>
          <w:tcPr>
            <w:tcW w:w="8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(11,547)</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Accrued unpaid interest on note payable</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931</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Equity method investment loss (gain)</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10,282</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investments</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3,462</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8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16,821</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346,557</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Other costs</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2"/>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40"/>
        </w:trPr>
        <w:tc>
          <w:tcPr>
            <w:tcW w:w="72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Accounts receivable</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(1,605)</w:t>
            </w:r>
          </w:p>
        </w:tc>
      </w:tr>
      <w:tr>
        <w:trPr>
          <w:trHeight w:val="140"/>
        </w:trPr>
        <w:tc>
          <w:tcPr>
            <w:tcW w:w="72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Inventory</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(2,824)</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4,863</w:t>
            </w:r>
          </w:p>
        </w:tc>
      </w:tr>
      <w:tr>
        <w:trPr>
          <w:trHeight w:val="140"/>
        </w:trPr>
        <w:tc>
          <w:tcPr>
            <w:tcW w:w="72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2,491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3,838</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Accrued expenses</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376</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674</w:t>
            </w:r>
          </w:p>
        </w:tc>
      </w:tr>
      <w:tr>
        <w:trPr>
          <w:trHeight w:val="140"/>
        </w:trPr>
        <w:tc>
          <w:tcPr>
            <w:tcW w:w="72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Income taxes payable</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2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Liability for future stock issuance</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2,158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10,870</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140"/>
        </w:trPr>
        <w:tc>
          <w:tcPr>
            <w:tcW w:w="72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2"/>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Contract liabilities</w:t>
            </w: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(56,328)</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(18,647)</w:t>
            </w:r>
          </w:p>
        </w:tc>
      </w:tr>
      <w:tr>
        <w:trPr>
          <w:trHeight w:val="14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Investing Activities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Investment in available-for-sale debt securities - equity method investee</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in debt securities - related party</w:t>
            </w:r>
          </w:p>
        </w:tc>
        <w:tc>
          <w:tcPr>
            <w:tcW w:w="8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(7,400)</w:t>
            </w:r>
          </w:p>
        </w:tc>
      </w:tr>
      <w:tr>
        <w:trPr>
          <w:trHeight w:val="140"/>
        </w:trPr>
        <w:tc>
          <w:tcPr>
            <w:tcW w:w="7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2"/>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received related to PCT stock sale</w:t>
            </w:r>
          </w:p>
        </w:tc>
        <w:tc>
          <w:tcPr>
            <w:tcW w:w="8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2,314</w:t>
            </w:r>
          </w:p>
        </w:tc>
      </w:tr>
      <w:tr>
        <w:trPr>
          <w:trHeight w:val="14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(4,079)</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(5,822)</w:t>
            </w:r>
          </w:p>
        </w:tc>
      </w:tr>
      <w:tr>
        <w:trPr>
          <w:trHeight w:val="14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0"/>
        </w:trPr>
        <w:tc>
          <w:tcPr>
            <w:tcW w:w="7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3,675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13,122</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6,327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13,859</w:t>
            </w:r>
          </w:p>
        </w:tc>
      </w:tr>
      <w:tr>
        <w:trPr>
          <w:trHeight w:val="140"/>
        </w:trPr>
        <w:tc>
          <w:tcPr>
            <w:tcW w:w="7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related party convertible promissory notes</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6,350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term convertible notes</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14,950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issuance of debt securities, net of issuance costs</w:t>
            </w: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36,000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2"/>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debts</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w:t>
            </w:r>
          </w:p>
        </w:tc>
      </w:tr>
      <w:tr>
        <w:trPr>
          <w:trHeight w:val="140"/>
        </w:trPr>
        <w:tc>
          <w:tcPr>
            <w:tcW w:w="7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of related party notes payable</w:t>
            </w:r>
          </w:p>
        </w:tc>
        <w:tc>
          <w:tcPr>
            <w:tcW w:w="80" w:type="dxa"/>
            <w:vAlign w:val="bottom"/>
          </w:tcPr>
          <w:p>
            <w:pPr>
              <w:spacing w:after="0"/>
              <w:rPr>
                <w:sz w:val="12"/>
                <w:szCs w:val="12"/>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12,000</w:t>
            </w: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2"/>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Distributions to stockholders and other</w:t>
            </w: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Flows Provided by Financing Activities</w:t>
            </w:r>
          </w:p>
        </w:tc>
        <w:tc>
          <w:tcPr>
            <w:tcW w:w="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63,349</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38,191</w:t>
            </w:r>
          </w:p>
        </w:tc>
      </w:tr>
      <w:tr>
        <w:trPr>
          <w:trHeight w:val="16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2,942</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13,722</w:t>
            </w:r>
          </w:p>
        </w:tc>
      </w:tr>
      <w:tr>
        <w:trPr>
          <w:trHeight w:val="134"/>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80" w:type="dxa"/>
            <w:vAlign w:val="bottom"/>
          </w:tcPr>
          <w:p>
            <w:pPr>
              <w:spacing w:after="0"/>
              <w:rPr>
                <w:sz w:val="11"/>
                <w:szCs w:val="11"/>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11,119</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2,575</w:t>
            </w: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4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14,061</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16,297</w:t>
            </w:r>
          </w:p>
        </w:tc>
      </w:tr>
    </w:tbl>
    <w:p>
      <w:pPr>
        <w:sectPr>
          <w:pgSz w:w="11900" w:h="16838" w:orient="portrait"/>
          <w:cols w:equalWidth="0" w:num="1">
            <w:col w:w="10900"/>
          </w:cols>
          <w:pgMar w:left="500" w:top="117" w:right="4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88"/>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interest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1,070</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Financing Information</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80" w:type="dxa"/>
            <w:vAlign w:val="bottom"/>
          </w:tcPr>
          <w:p>
            <w:pPr>
              <w:spacing w:after="0"/>
              <w:rPr>
                <w:sz w:val="16"/>
                <w:szCs w:val="16"/>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11,950</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units to non-controlling interest in exchange of convertible promissory notes</w:t>
            </w:r>
          </w:p>
        </w:tc>
        <w:tc>
          <w:tcPr>
            <w:tcW w:w="18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7,324</w:t>
            </w: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working capital loans to equity method investee into investments in debt securities - related party</w:t>
            </w: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2,600</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on investments in debt Securities - related party through OCI</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2,373</w:t>
            </w: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Recognition of right of use asset and corresponding lease liability</w:t>
            </w: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Extinguishment of debt with Series C Preferred Stock</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Contribution of Series C Preferred Stock to equity method investee</w:t>
            </w: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Conversion of AFX available-for-sale term loan into equity method investments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8,757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as repayment of convertible debt</w:t>
            </w: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5,961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stock in exchange for services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preferred stock into common stock</w:t>
            </w: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36,910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Transfer of Series C Preferred Stock from Mezzanine to Stockholders' equity</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Embedded derivative in association with Convertible Debentures</w:t>
            </w: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reallocation between non-controlling interest and additional paid-in capital</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36,313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Embedded derivative liability derecognition</w:t>
            </w:r>
          </w:p>
        </w:tc>
        <w:tc>
          <w:tcPr>
            <w:tcW w:w="18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0900"/>
          </w:cols>
          <w:pgMar w:left="500" w:top="117" w:right="4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860" w:type="dxa"/>
            <w:vAlign w:val="bottom"/>
            <w:gridSpan w:val="5"/>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80" w:type="dxa"/>
            <w:vAlign w:val="bottom"/>
            <w:tcBorders>
              <w:top w:val="single" w:sz="8" w:color="auto"/>
              <w:right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right w:val="single" w:sz="8" w:color="auto"/>
            </w:tcBorders>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1"/>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20"/>
                <w:szCs w:val="20"/>
                <w:color w:val="auto"/>
              </w:rPr>
            </w:pPr>
          </w:p>
        </w:tc>
        <w:tc>
          <w:tcPr>
            <w:tcW w:w="18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r>
      <w:tr>
        <w:trPr>
          <w:trHeight w:val="229"/>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(412,499)</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(25,035)</w:t>
            </w:r>
          </w:p>
        </w:tc>
      </w:tr>
      <w:tr>
        <w:trPr>
          <w:trHeight w:val="223"/>
        </w:trPr>
        <w:tc>
          <w:tcPr>
            <w:tcW w:w="31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financial</w:t>
            </w: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liabilities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(6)</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extinguishment of related party</w:t>
            </w: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3"/>
                <w:szCs w:val="23"/>
                <w:color w:val="auto"/>
                <w:vertAlign w:val="superscript"/>
              </w:rPr>
              <w:t>(7)</w:t>
            </w:r>
          </w:p>
        </w:tc>
        <w:tc>
          <w:tcPr>
            <w:tcW w:w="140" w:type="dxa"/>
            <w:vAlign w:val="bottom"/>
            <w:shd w:val="clear" w:color="auto" w:fill="CCEEFF"/>
          </w:tcPr>
          <w:p>
            <w:pPr>
              <w:spacing w:after="0"/>
              <w:rPr>
                <w:sz w:val="21"/>
                <w:szCs w:val="21"/>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(55,466)</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17" w:lineRule="exact"/>
        <w:rPr>
          <w:rFonts w:ascii="Times New Roman" w:cs="Times New Roman" w:eastAsia="Times New Roman" w:hAnsi="Times New Roman"/>
          <w:sz w:val="14"/>
          <w:szCs w:val="14"/>
          <w:color w:val="auto"/>
        </w:rPr>
      </w:pPr>
    </w:p>
    <w:p>
      <w:pPr>
        <w:ind w:firstLine="8"/>
        <w:spacing w:after="0" w:line="231" w:lineRule="auto"/>
        <w:tabs>
          <w:tab w:leader="none" w:pos="21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and nine months ended September 30, 2024 (Predecessor), this is comprised of consulting, legal, and other professional fees related to the Business Combination.</w:t>
      </w:r>
    </w:p>
    <w:p>
      <w:pPr>
        <w:jc w:val="both"/>
        <w:ind w:firstLine="8"/>
        <w:spacing w:after="0" w:line="241" w:lineRule="auto"/>
        <w:tabs>
          <w:tab w:leader="none" w:pos="21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and nine months ended September 30, 2025 (Successor), the change in fair value of financial liabilities primarily consists of the change in fair value of the warrant liability, the earnout liability and the embedded derivatives in various instruments. For the three and nine months ended September 30, 2024 (Predecessor),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and nine months ended September 30,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three and nine months ended September 30, 2024 (Predecessor), stock-based compensation was comprised wholly of share-based payment employee incentive plans in existence at Innventure LLC and other subsidiaries.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1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nine months ended September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For the three months ended September 30, 2025 (Successor), there was not a triggering event that occurred, resulting in no additional goodwill impairment charge.There was no similar goodwill impairment charge for the three and nine months ended September 30, 2024 (Predecessor).</w:t>
      </w:r>
    </w:p>
    <w:p>
      <w:pPr>
        <w:spacing w:after="0" w:line="1" w:lineRule="exact"/>
        <w:rPr>
          <w:rFonts w:ascii="Times New Roman" w:cs="Times New Roman" w:eastAsia="Times New Roman" w:hAnsi="Times New Roman"/>
          <w:sz w:val="14"/>
          <w:szCs w:val="14"/>
          <w:color w:val="auto"/>
        </w:rPr>
      </w:pPr>
    </w:p>
    <w:p>
      <w:pPr>
        <w:ind w:firstLine="8"/>
        <w:spacing w:after="0" w:line="249"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debt - For the three and nine months ended September 30, 2025 (Successor), the Company modified the WTI Facility, and such modification was accounted for as a debt extinguishment while no debt was repaid. There was no loss on extinguishment of debt for the three and nine months ended September 30, 2024 (Predecessor).</w:t>
      </w:r>
    </w:p>
    <w:p>
      <w:pPr>
        <w:ind w:right="20" w:firstLine="8"/>
        <w:spacing w:after="0" w:line="283" w:lineRule="auto"/>
        <w:tabs>
          <w:tab w:leader="none" w:pos="2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and nine months ended September 30, 2025 (Successor), the Company extinguished certain related party debts by issuing Series C Preferred Stock. There was no loss on extinguishment of related party debt for the three and nine months ended September 30, 2024 (Predecessor).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2025-11-13T16:05:18Z</dcterms:created>
  <dcterms:modified xsi:type="dcterms:W3CDTF">2025-11-13T16:05:18Z</dcterms:modified>
</cp:coreProperties>
</file>