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Learn SPAC HoldCo,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Learn CW Investment Corporation</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001-40885</w:t>
      </w:r>
    </w:p>
    <w:p>
      <w:pPr>
        <w:spacing w:after="0" w:line="9"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Date: April 22,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22,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LEARN CW INVESTMENT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225" w:right="339" w:bottom="1108" w:gutter="0" w:footer="0" w:header="0"/>
        </w:sectPr>
      </w:pPr>
    </w:p>
    <w:p>
      <w:pPr>
        <w:spacing w:after="0" w:line="20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001-40885</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98-1583469</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20" w:space="720"/>
            <w:col w:w="3220"/>
          </w:cols>
          <w:pgMar w:left="320" w:top="225" w:right="339" w:bottom="1108"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11755 Wilshire Blvd.</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2320</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Los Angeles, California</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90025</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225" w:right="339" w:bottom="1108"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(424) 324-2990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w:t>
            </w:r>
          </w:p>
        </w:tc>
      </w:tr>
      <w:tr>
        <w:trPr>
          <w:trHeight w:val="216"/>
        </w:trPr>
        <w:tc>
          <w:tcPr>
            <w:tcW w:w="8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exchange</w:t>
            </w:r>
          </w:p>
        </w:tc>
      </w:tr>
      <w:tr>
        <w:trPr>
          <w:trHeight w:val="216"/>
        </w:trPr>
        <w:tc>
          <w:tcPr>
            <w:tcW w:w="86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w:t>
            </w:r>
          </w:p>
        </w:tc>
      </w:tr>
      <w:tr>
        <w:trPr>
          <w:trHeight w:val="238"/>
        </w:trPr>
        <w:tc>
          <w:tcPr>
            <w:tcW w:w="8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87"/>
        </w:trPr>
        <w:tc>
          <w:tcPr>
            <w:tcW w:w="86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 Share, $0.0001 par value, and one-half of one redeemable</w:t>
            </w: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6"/>
        </w:trPr>
        <w:tc>
          <w:tcPr>
            <w:tcW w:w="8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LCW.U</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w:t>
            </w:r>
          </w:p>
        </w:tc>
      </w:tr>
      <w:tr>
        <w:trPr>
          <w:trHeight w:val="216"/>
        </w:trPr>
        <w:tc>
          <w:tcPr>
            <w:tcW w:w="8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 included as part of the units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LCW</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w:t>
            </w:r>
          </w:p>
        </w:tc>
      </w:tr>
      <w:tr>
        <w:trPr>
          <w:trHeight w:val="216"/>
        </w:trPr>
        <w:tc>
          <w:tcPr>
            <w:tcW w:w="8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included as part of the units, each whole warrant exercisable for one Class A Ordinary Share at an</w:t>
            </w:r>
          </w:p>
        </w:tc>
        <w:tc>
          <w:tcPr>
            <w:tcW w:w="1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8"/>
        </w:trPr>
        <w:tc>
          <w:tcPr>
            <w:tcW w:w="8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 of $11.50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LCW.WS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(Sec.230.405 of this chapter) or Rule 12b-2 of the Securities Exchange Act of 1934 (Sec.240.12b-2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108" w:gutter="0" w:footer="0" w:header="0"/>
          <w:type w:val="continuous"/>
        </w:sectPr>
      </w:pPr>
    </w:p>
    <w:bookmarkStart w:id="1" w:name="page2"/>
    <w:bookmarkEnd w:id="1"/>
    <w:p>
      <w:pPr>
        <w:spacing w:after="0"/>
        <w:tabs>
          <w:tab w:leader="none" w:pos="25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previously announced, Innventure LLC (“Innventure”) will host an Analyst Day for institutional investors and equity research analysts on Monday, April 22, 2024. Attached as Exhibit 99.1 to this Current Report on Form 8-K and incorporated into this Item 7.01 by reference is the presentation that will be used by Innventure at the Analyst Day.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is furnished pursuant to the rules and regulations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Learn CW HoldCo, Inc.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has filed with the SEC a registration statement on Form S-4 containing a preliminary proxy statement of Learn CW, a preliminary consent solicitation statement of Innventure and a preliminary prospectus with respect to the combined company’s securities to be issued in connection with the Business Combination, and after the registration statement is declared effective, the definitive proxy statement/consent solicitation statement/prospectus relating to the Business Combination will be mailed to Learn CW shareholders and will be sent to Innventure unitholders. This Current Report does not contain all the information that should be considered concerning the Business Combination and is not intended to form the basis of any investment decision or any other decision in respect of the Business Combination. Learn CW’s shareholders, Innventure’s unitholders and other interested persons are urged to read the preliminary proxy statement/consent solicitation statement/prospectus and the amendments thereto and, when available, the definitive proxy statement/consent solicitation statement/prospectus and other documents filed in connection with the Business Combination, as these materials will contain important information about Innventure, Learn CW, the combined company and the Business Combination. When available, the definitive proxy statement/consent solicitation statement/prospectus and other relevant materials for the proposed business combination will be mailed to shareholders of Learn CW as of a record date to be established for voting on the Business Combination. Such shareholders will also be able to obtain copies of the preliminary and definitive proxy statement/consent solicitation statement/prospectus and other documents filed with the SEC, without charge, once available, at the SEC’s website at www.sec.gov, or by directing a request to Learn CW Investment Corporation, 11755 Wilshire Blvd., Suite 2320, Los Angeles, California 90025.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Current Report shall not constitute an offer to sell or the solicitation of an offer to buy any securities, or a solicitation of any vote or approval, nor shall there be any sale of any such securities in any state or jurisdiction in which such offer, solicitation or sale would be unlawful prior to registration or qualification under the securities laws of any such state or jurisdiction. This Current Report does not constitute either advice or a recommendation regarding any securities. No offering of securities shall be made except by means of a prospectus meeting the requirements of the Securities Act, or an exemption therefrom.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Learn CW, Innventure and their respective directors, executive officers, other members of management, and employees, under SEC rules, may be deemed to be participants in the solicitation of proxies of Learn CW’s shareholders in connection with the Business Combination. Information regarding the persons who may, under SEC rules, be deemed participants in the solicitation of Learn CW’s shareholders in connection with the Business Combination are set forth in the registration statement on Form S-4, including the preliminary proxy statement/consent solicitation statement/prospectus, and will also be set forth in the definitive proxy statement/consent solicitation statement/prospectus when available. Investors and security holders may obtain more detailed information regarding the names and interests in the proposed business combination of Learn CW’s directors and officers in Learn CW’s filings with the SEC and such information is also set forth in the registration statement filed with the SEC by Holdco, including the proxy statement of Learn CW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Securities Act of 1933, as amended, and Section 21E of the Exchange Act, including statements regarding the parties or the parties’ respective management team’s expectations, hopes, beliefs, intentions, plans, prospects or strategies regarding the future, including the business combination, the parties’ ability to close the referenced business combination, the anticipated benefits of the business combination, including revenue growth and financial performance, product expansion and services, and the financial condition, results of operations, earnings outlook and prospects of Innventure and/or Learn CW, including, in all cases, statements for the period following the consummation of the business combination.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The forward-looking statements contained in this Current Report are based on our current expectations and beliefs made by the management of Learn CW and Innventure in light of their respective experience and their perception of historical trends, current conditions and expected future developments and their potential effects on Learn CW and Innventure as well as other factors they believe are appropriate in the circumstances. There can be no assurance that future developments affecting Learn CW or Innventure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or to be made with the SEC by Learn CW, including in the final prospectus relating to Learn CW’s initial public offering, which was filed with the SEC on October 12, 2021 under the heading “Risk Factors,” or made or to be made by Holdco upon closing of the transaction, and the following: expectations regarding Innventure’s strategies and future financial performance, including its future business plans, expansion plans or objectives, prospective performance and opportunities and competitors, revenues, products and services, pricing, operating expenses, product and service acceptance, market trends, liquidity, cash flows and uses of cash, capital expenditures, and Innventure’s ability to invest in growth initiatives; the implementation, market acceptance and success of Innventure’s business model and growth strategy; Innventure’s future capital requirements and sources and uses of cash; that Innventure will have sufficient capital upon the approval of the transaction to operate as anticipated; Innventure’s ability to obtain funding for its operations and future growth; developments and projections relating to Innventure’s competitors and industry; the occurrence of any event, change or other circumstances that could give rise to the termination of the Business Combination Agreement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dated October 24, 2023, by and among Learn CW, Holdco, LCW Merger Sub, Inc., Innventure Merger Sub, LLC and Innventure; the outcome of any legal proceedings that may be instituted against Holdco, Learn CW or Innventure following announcement of the Business Combination Agreement and the transactions contemplated therein; the inability to complete the business combination due to, among other things, the failure to obtain Learn CW shareholder approval; regulatory approvals; the risk that the announcement and consummation of the Business Combination disrupts Innventure’s current plans; the ability to recognize the anticipated benefits of the business combination; unexpected costs related to the Business Combination; the amount of any redemptions by existing holders of Learn CW’s common stock being greater than expected; limited liquidity and trading of Learn CW’s securities; geopolitical risk and changes in applicable laws or regulations; the possibility that Learn CW and/or Innventure may be adversely affected by other economic, business, and/or competitive factors; the potential characterization of Innventure as an investment company subject to the Investment Company Act of 1940; operational risk; and the risk that the consummation of the business combination is substantially delayed or does not occur. Should one or more of these risks or uncertainties materialize, or should any of our assumptions prove incorrect, actual results may vary in material respects from those projected in these forward-looking statements. All forward-looking statements in this Current Report are made as of the date hereof, based on information available to Learn CW and Innventure as of the date hereof, and Learn CW and Innventure assume no obligation to update any forward-looking statement, whether as a result of new information, future events or otherwise, except as may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101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Exhibits.</w:t>
            </w:r>
          </w:p>
        </w:tc>
      </w:tr>
      <w:tr>
        <w:trPr>
          <w:trHeight w:val="41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94"/>
        </w:trPr>
        <w:tc>
          <w:tcPr>
            <w:tcW w:w="1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101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Investor Presentation, dated April 22, 2024</w:t>
            </w:r>
          </w:p>
        </w:tc>
      </w:tr>
      <w:tr>
        <w:trPr>
          <w:trHeight w:val="237"/>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0"/>
                <w:szCs w:val="20"/>
                <w:color w:val="auto"/>
              </w:rPr>
            </w:pPr>
          </w:p>
        </w:tc>
        <w:tc>
          <w:tcPr>
            <w:tcW w:w="10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824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2024</w:t>
            </w:r>
          </w:p>
        </w:tc>
        <w:tc>
          <w:tcPr>
            <w:tcW w:w="26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Hutter</w:t>
            </w:r>
          </w:p>
        </w:tc>
      </w:tr>
      <w:tr>
        <w:trPr>
          <w:trHeight w:val="191"/>
        </w:trPr>
        <w:tc>
          <w:tcPr>
            <w:tcW w:w="3000" w:type="dxa"/>
            <w:vAlign w:val="bottom"/>
          </w:tcPr>
          <w:p>
            <w:pPr>
              <w:spacing w:after="0"/>
              <w:rPr>
                <w:sz w:val="16"/>
                <w:szCs w:val="16"/>
                <w:color w:val="auto"/>
              </w:rPr>
            </w:pPr>
          </w:p>
        </w:tc>
        <w:tc>
          <w:tcPr>
            <w:tcW w:w="2620" w:type="dxa"/>
            <w:vAlign w:val="bottom"/>
          </w:tcPr>
          <w:p>
            <w:pPr>
              <w:ind w:left="15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Hutter</w:t>
            </w:r>
          </w:p>
        </w:tc>
      </w:tr>
      <w:tr>
        <w:trPr>
          <w:trHeight w:val="234"/>
        </w:trPr>
        <w:tc>
          <w:tcPr>
            <w:tcW w:w="3000" w:type="dxa"/>
            <w:vAlign w:val="bottom"/>
          </w:tcPr>
          <w:p>
            <w:pPr>
              <w:spacing w:after="0"/>
              <w:rPr>
                <w:sz w:val="20"/>
                <w:szCs w:val="20"/>
                <w:color w:val="auto"/>
              </w:rPr>
            </w:pPr>
          </w:p>
        </w:tc>
        <w:tc>
          <w:tcPr>
            <w:tcW w:w="26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9"/>
        </w:trPr>
        <w:tc>
          <w:tcPr>
            <w:tcW w:w="30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 w:name="page6"/>
    <w:bookmarkEnd w:id="5"/>
    <w:p>
      <w:pPr>
        <w:ind w:left="92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4131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0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0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4203700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4203700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08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08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9947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994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08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08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209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2094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2024-04-22T07:12:54Z</dcterms:created>
  <dcterms:modified xsi:type="dcterms:W3CDTF">2024-04-22T07:12:54Z</dcterms:modified>
</cp:coreProperties>
</file>