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7508x2_424b3_101-cov_pg1"/>
        <w:bookmarkStart w:id="1" w:name="ny20057508x2_424b3.htm"/>
        <w:bookmarkStart w:id="2" w:name="ksny20057508x2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424(b)(3)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333-291034</w:t>
      </w:r>
    </w:p>
    <w:p>
      <w:pPr>
        <w:pStyle w:val="TextBody"/>
        <w:bidi w:val="0"/>
        <w:spacing w:before="9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PROSPECTUS </w:t>
      </w:r>
    </w:p>
    <w:p>
      <w:pPr>
        <w:pStyle w:val="TextBody"/>
        <w:bidi w:val="0"/>
        <w:spacing w:before="39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INNVENTURE, INC.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24,250,470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offer and sale from time to time by the selling securityholders named in this prospectus (each a “Selling Stockholder” and, collectively, the “Selling Stockholders”), or their permitted transferees, of up to 24,250,470 shares of the common stock, par value $0.0001 per share (“Common Stock”), of Innventure, Inc., a Delaware corporation. The shares of Common Stock to which this prospectus relates consist of (i) up to 12,000,000 shares that may be issued upon conversion of convertible debentures (collectively, the “Convertible Debentures”) issued and issuable to YA II PN, Ltd., a Cayman Islands exempted company (“Yorkville”), pursuant to each of the securities purchase agreement, dated September 15, 2025 (“Securities Purchase Agreement”), and the securities purchase agreement, dated March 25, 2025 (the “Existing Purchase Agreement” and, together with the Securities Purchase Agreement, the “Purchase Agreements”), each entered into with Yorkville; (ii) up to 9,000,000 shares that we may issue and sell to Yorkville from time to time, subject to certain limitations and conditions, pursuant to the Standby Equity Purchase Agreement (the “SEPA”), dated October 24, 2023, entered into with Yorkville, in each case with respect to (i) and (ii) subject to the ownership limitations described therein; and (iii) 3,250,470 shares of Common Stock issued and issuable pursuant to the terms of those certain subscription agreements (the “Subscription Agreements”), dated as of October 3, 2025, entered into with certain institutions and accredited investors (the “Subscribers”), consisting of (a) 1,625,235 shares of Common Stock issued to the Subscribers and (b) 1,625,235 shares that may be issued upon exercise of warrants (the “Series A Warrants”) to purchase Common Stock held by the Subscribers. For more information on the Selling Stockholders, see the section entitled “Selling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the remaining approximately $67.0 million in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Market (“NASDAQ”) under the symbol “INV.” On November 11, 2025, the last reported sales price of our Common Stock was $4.08 per share.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are an “emerging growth company” as defined under the U.S. federal securities laws and, as such, have elected to comply with certain reduced public company reporting requirements.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Common Stock is highly speculative and involves a high degree of risk. See “Risk Factors” beginning on page </w:t>
      </w:r>
      <w:hyperlink w:anchor="tRF">
        <w:r>
          <w:rPr>
            <w:rStyle w:val="InternetLink"/>
          </w:rPr>
          <w:t>12</w:t>
        </w:r>
      </w:hyperlink>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00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November 12,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57508x2_424b3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4" w:name="TOC"/>
      <w:bookmarkStart w:id="5" w:name="TOC"/>
      <w:bookmarkEnd w:id="5"/>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ATP">
              <w:r>
                <w:rPr>
                  <w:rStyle w:val="InternetLink"/>
                  <w:rFonts w:ascii="Times New Roman;Times;serif" w:hAnsi="Times New Roman;Times;serif"/>
                  <w:color w:val="000000"/>
                  <w:sz w:val="20"/>
                </w:rPr>
                <w:t>ii</w:t>
              </w:r>
            </w:hyperlink>
            <w:hyperlink w:anchor="tATP">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iv</w:t>
              </w:r>
            </w:hyperlink>
          </w:p>
        </w:tc>
      </w:tr>
      <w:tr>
        <w:trPr/>
        <w:tc>
          <w:tcPr>
            <w:tcW w:w="947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RF">
              <w:r>
                <w:rPr>
                  <w:rStyle w:val="InternetLink"/>
                  <w:rFonts w:ascii="Times New Roman;Times;serif" w:hAnsi="Times New Roman;Times;serif"/>
                  <w:color w:val="000000"/>
                  <w:sz w:val="20"/>
                </w:rPr>
                <w:t>12</w:t>
              </w:r>
            </w:hyperlink>
          </w:p>
        </w:tc>
      </w:tr>
      <w:tr>
        <w:trPr/>
        <w:tc>
          <w:tcPr>
            <w:tcW w:w="947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UOP">
              <w:r>
                <w:rPr>
                  <w:rStyle w:val="InternetLink"/>
                  <w:rFonts w:ascii="Times New Roman;Times;serif" w:hAnsi="Times New Roman;Times;serif"/>
                  <w:color w:val="000000"/>
                  <w:sz w:val="20"/>
                </w:rPr>
                <w:t>31</w:t>
              </w:r>
            </w:hyperlink>
          </w:p>
        </w:tc>
      </w:tr>
      <w:tr>
        <w:trPr/>
        <w:tc>
          <w:tcPr>
            <w:tcW w:w="9470" w:type="dxa"/>
            <w:tcBorders/>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MDA">
              <w:r>
                <w:rPr>
                  <w:rStyle w:val="InternetLink"/>
                  <w:rFonts w:ascii="Times New Roman;Times;serif" w:hAnsi="Times New Roman;Times;serif"/>
                  <w:color w:val="000000"/>
                  <w:sz w:val="20"/>
                </w:rPr>
                <w:t>32</w:t>
              </w:r>
            </w:hyperlink>
            <w:hyperlink w:anchor="tMDA">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BUS">
              <w:r>
                <w:rPr>
                  <w:rStyle w:val="InternetLink"/>
                  <w:rFonts w:ascii="Times New Roman;Times;serif" w:hAnsi="Times New Roman;Times;serif"/>
                  <w:color w:val="000000"/>
                  <w:sz w:val="20"/>
                </w:rPr>
                <w:t>49</w:t>
              </w:r>
            </w:hyperlink>
            <w:hyperlink w:anchor="tBU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MGT">
              <w:r>
                <w:rPr>
                  <w:rStyle w:val="InternetLink"/>
                  <w:rFonts w:ascii="Times New Roman;Times;serif" w:hAnsi="Times New Roman;Times;serif"/>
                  <w:color w:val="000000"/>
                  <w:sz w:val="20"/>
                </w:rPr>
                <w:t>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MGT">
              <w:r>
                <w:rPr>
                  <w:rStyle w:val="InternetLink"/>
                  <w:rFonts w:ascii="Times New Roman;Times;serif" w:hAnsi="Times New Roman;Times;serif"/>
                  <w:color w:val="000000"/>
                  <w:sz w:val="20"/>
                </w:rPr>
                <w:t>64</w:t>
              </w:r>
            </w:hyperlink>
            <w:hyperlink w:anchor="tMGT">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EDC">
              <w:r>
                <w:rPr>
                  <w:rStyle w:val="InternetLink"/>
                  <w:rFonts w:ascii="Times New Roman;Times;serif" w:hAnsi="Times New Roman;Times;serif"/>
                  <w:color w:val="000000"/>
                  <w:sz w:val="20"/>
                </w:rPr>
                <w:t>EXECUTIVE AND DIRECTOR COMPENSATION OF INNVENTURE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EDC">
              <w:r>
                <w:rPr>
                  <w:rStyle w:val="InternetLink"/>
                  <w:rFonts w:ascii="Times New Roman;Times;serif" w:hAnsi="Times New Roman;Times;serif"/>
                  <w:color w:val="000000"/>
                  <w:sz w:val="20"/>
                </w:rPr>
                <w:t>70</w:t>
              </w:r>
            </w:hyperlink>
          </w:p>
        </w:tc>
      </w:tr>
      <w:tr>
        <w:trPr/>
        <w:tc>
          <w:tcPr>
            <w:tcW w:w="947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CRR">
              <w:r>
                <w:rPr>
                  <w:rStyle w:val="InternetLink"/>
                  <w:rFonts w:ascii="Times New Roman;Times;serif" w:hAnsi="Times New Roman;Times;serif"/>
                  <w:color w:val="000000"/>
                  <w:sz w:val="20"/>
                </w:rPr>
                <w:t>78</w:t>
              </w:r>
            </w:hyperlink>
            <w:hyperlink w:anchor="tCRR">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DESCRIPTION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DOS">
              <w:r>
                <w:rPr>
                  <w:rStyle w:val="InternetLink"/>
                  <w:rFonts w:ascii="Times New Roman;Times;serif" w:hAnsi="Times New Roman;Times;serif"/>
                  <w:color w:val="000000"/>
                  <w:sz w:val="20"/>
                </w:rPr>
                <w:t>87</w:t>
              </w:r>
            </w:hyperlink>
            <w:hyperlink w:anchor="tDO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SOC">
              <w:r>
                <w:rPr>
                  <w:rStyle w:val="InternetLink"/>
                  <w:rFonts w:ascii="Times New Roman;Times;serif" w:hAnsi="Times New Roman;Times;serif"/>
                  <w:color w:val="000000"/>
                  <w:sz w:val="20"/>
                </w:rPr>
                <w:t>92</w:t>
              </w:r>
            </w:hyperlink>
            <w:hyperlink w:anchor="tSOC">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S">
              <w:r>
                <w:rPr>
                  <w:rStyle w:val="InternetLink"/>
                  <w:rFonts w:ascii="Times New Roman;Times;serif" w:hAnsi="Times New Roman;Times;serif"/>
                  <w:color w:val="000000"/>
                  <w:sz w:val="20"/>
                </w:rPr>
                <w:t>95</w:t>
              </w:r>
            </w:hyperlink>
            <w:hyperlink w:anchor="tS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SEF">
              <w:r>
                <w:rPr>
                  <w:rStyle w:val="InternetLink"/>
                  <w:rFonts w:ascii="Times New Roman;Times;serif" w:hAnsi="Times New Roman;Times;serif"/>
                  <w:color w:val="000000"/>
                  <w:sz w:val="20"/>
                </w:rPr>
                <w:t>SHARES ELIGIBLE FOR FUTURE SALE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SEF">
              <w:r>
                <w:rPr>
                  <w:rStyle w:val="InternetLink"/>
                  <w:rFonts w:ascii="Times New Roman;Times;serif" w:hAnsi="Times New Roman;Times;serif"/>
                  <w:color w:val="000000"/>
                  <w:sz w:val="20"/>
                </w:rPr>
                <w:t>98</w:t>
              </w:r>
            </w:hyperlink>
            <w:hyperlink w:anchor="tSEF">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POD">
              <w:r>
                <w:rPr>
                  <w:rStyle w:val="InternetLink"/>
                  <w:rFonts w:ascii="Times New Roman;Times;serif" w:hAnsi="Times New Roman;Times;serif"/>
                  <w:color w:val="000000"/>
                  <w:sz w:val="20"/>
                </w:rPr>
                <w:t>100</w:t>
              </w:r>
            </w:hyperlink>
          </w:p>
        </w:tc>
      </w:tr>
      <w:tr>
        <w:trPr/>
        <w:tc>
          <w:tcPr>
            <w:tcW w:w="947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EXP">
              <w:r>
                <w:rPr>
                  <w:rStyle w:val="InternetLink"/>
                  <w:rFonts w:ascii="Times New Roman;Times;serif" w:hAnsi="Times New Roman;Times;serif"/>
                  <w:color w:val="000000"/>
                  <w:sz w:val="20"/>
                </w:rPr>
                <w:t xml:space="preserve">101 </w:t>
              </w:r>
            </w:hyperlink>
          </w:p>
        </w:tc>
      </w:tr>
      <w:tr>
        <w:trPr/>
        <w:tc>
          <w:tcPr>
            <w:tcW w:w="947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LM">
              <w:r>
                <w:rPr>
                  <w:rStyle w:val="InternetLink"/>
                  <w:rFonts w:ascii="Times New Roman;Times;serif" w:hAnsi="Times New Roman;Times;serif"/>
                  <w:color w:val="000000"/>
                  <w:sz w:val="20"/>
                </w:rPr>
                <w:t xml:space="preserve">102 </w:t>
              </w:r>
            </w:hyperlink>
          </w:p>
        </w:tc>
      </w:tr>
      <w:tr>
        <w:trPr/>
        <w:tc>
          <w:tcPr>
            <w:tcW w:w="947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102</w:t>
              </w:r>
            </w:hyperlink>
          </w:p>
        </w:tc>
      </w:tr>
      <w:tr>
        <w:trPr/>
        <w:tc>
          <w:tcPr>
            <w:tcW w:w="9470" w:type="dxa"/>
            <w:tcBorders/>
            <w:shd w:fill="CCEEFF" w:val="clear"/>
            <w:vAlign w:val="center"/>
          </w:tcPr>
          <w:p>
            <w:pPr>
              <w:pStyle w:val="TableContents"/>
              <w:bidi w:val="0"/>
              <w:spacing w:before="0" w:after="283"/>
              <w:ind w:left="0" w:right="0" w:hanging="0"/>
              <w:jc w:val="left"/>
              <w:rPr/>
            </w:pPr>
            <w:hyperlink w:anchor="tITFS">
              <w:r>
                <w:rPr>
                  <w:rStyle w:val="InternetLink"/>
                  <w:rFonts w:ascii="Times New Roman;Times;serif" w:hAnsi="Times New Roman;Times;serif"/>
                  <w:color w:val="000000"/>
                  <w:sz w:val="20"/>
                </w:rPr>
                <w:t>INDEX TO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ITFS">
              <w:r>
                <w:rPr>
                  <w:rStyle w:val="InternetLink"/>
                  <w:rFonts w:ascii="Times New Roman;Times;serif" w:hAnsi="Times New Roman;Times;serif"/>
                  <w:color w:val="000000"/>
                  <w:sz w:val="20"/>
                </w:rPr>
                <w:t>F-1</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57508x2_424b3_103-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tATP"/>
      <w:bookmarkEnd w:id="7"/>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24,250,470 shares of Common Stock from time to time through any means described in the section entitled “</w:t>
      </w:r>
      <w:r>
        <w:rPr>
          <w:rFonts w:ascii="Times New Roman;Times;serif" w:hAnsi="Times New Roman;Times;serif"/>
          <w:i/>
          <w:color w:val="000000"/>
          <w:sz w:val="20"/>
        </w:rPr>
        <w:t>Plan of Distribution</w:t>
      </w:r>
      <w:r>
        <w:rPr>
          <w:rFonts w:ascii="Times New Roman;Times;serif" w:hAnsi="Times New Roman;Times;serif"/>
          <w:color w:val="000000"/>
          <w:sz w:val="20"/>
        </w:rPr>
        <w:t>.” More specific terms of any securities that the Selling Stockholders offer and sell may be provided in a prospectus supplement that describes, among other things, the specific amounts and prices of the shares of Common Stock being offered and the terms of the offering. We will not receive any proceeds from the sale by the Selling Stockholders of the securities offered by them described in this prospectus, except with respect to (i) up to the remaining approximately $67.0 million in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further limitations and conditions upon our ability to access the SEPA, and (ii) de minimis gross proceeds upon exercise of the Series A Warrants, to the extent such warrants are exercised for cash.</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57508x2_424b3_103-about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prospectus to the “Company,” “Innventure,” “Holdco,” “we,” “us,” “our” and similar terms refer to Innventure, Inc. (f/k/a Learn SPAC HoldCo, Inc.) and its consolidated subsidiaries. References to “Learn CW” refer to Learn CW Investment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includes trademarks, service marks and trade names owned by us or other companies. All trademarks, service marks and trade names included in this prospectus are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57508x2_424b3_104-fls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FLS"/>
      <w:bookmarkEnd w:id="10"/>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contains forward-looking statements within the meaning of Section 27A of the Securities Act of 1933, as amended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market acceptance and success of Innventure’s and the Innventure Companies’ business models and growth strategies;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future capital requirements and sources and uses of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sustained unfavorable economic or other conditions which could cause the need for Innventure to evaluate and potentially record additional impairment charges for all, or a portion of, its goodwill and other intangible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capital requirements and sources and uses of cash, including: (i) Innventure’s ability to obtain funding for its operations and future growth; and (ii) Innventure’s ability to continue as a going concern;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maintain control over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meet the various conditions imposed by, and to satisfy its obligations to, the WTI Lenders (as defined below), under the WTI Facility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access to funds under the SEPA (as defined herein) with Yorkville, including ownership limitations, issuances and subscriptions based on trading volumes, and Innventure’s ability to continue to access the funds available under the SEPA or the Securities Purchase Agreement and related, unissued New Convertible Debentures due to certain conditions, restrictions and limitations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restrictions and limitations set forth in Innventure’s debt instruments, which may impair Innventure’s financial and operating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generate liquidity and maintain sufficient capital to operate as anticipated;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57508x2_424b3_104-fls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obtain funding for their operations, future growth and to continue as going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technology solutions that Innventure and the Innventure Companies license or acquire from third parties or develop internally may not function as anticipated or provide the benefits anticipated;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and projections relating to Innventure’s and the Innventure Companies’ competitors and industry;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scale the operations of their respective businesses;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establish substantial commercial sales of their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compete against companies with greater capital and other resources or superior technology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ability to meet, and to continue to meet, applicable regulatory requirements for the use of their respective products and the numerous regulatory requirements generally applicable to their businesses;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against Innventure or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find future opportunities to license or acquire breakthrough technology solutions from MNCs (as defined below) or other third parties (collectively, “Technology Solutions Providers”) and to satisfy the requirements imposed by or to avoid disagreements with its current and future Technology Solutions Providers;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launch of new companies distracts Innventure’s management from its subsidiaries and their respective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Innventure may be deemed an investment company under the Investment Company Act of 1940 (the “Investment Company Act”), which would impose burdensome compliance requirements and restrictions on its activities;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sufficiently protect the intellectual property (“IP”) rights of itself and its Operating Companies, and to avoid or resolve in a timely and cost-effective manner any disputes that may arise relating to its use of the IP of third parties;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a cyber-attack or a failure of Innventure’s information technology and data security infrastructure;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risk and changes in applicable laws or regulations, including with respect to foreign trade policy and tariffs;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effects of other economic, business, and/or competitive factors;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operational risks related to Innventure and the Innventure Companies, which have limited or no operating history; and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liquidity and trading of Innventure’s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57508x2_424b3_105-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tSUM"/>
      <w:bookmarkEnd w:id="13"/>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left"/>
        <w:rPr/>
      </w:pPr>
      <w:r>
        <w:rPr>
          <w:rFonts w:ascii="Times New Roman;Times;serif" w:hAnsi="Times New Roman;Times;serif"/>
          <w:i/>
          <w:color w:val="000000"/>
          <w:sz w:val="20"/>
          <w:bdr w:val="single" w:sz="8" w:space="12" w:color="000000"/>
        </w:rPr>
        <w:t xml:space="preserve">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“Risk Factors” beginning on page </w:t>
      </w:r>
      <w:hyperlink w:anchor="tRF">
        <w:r>
          <w:rPr>
            <w:rStyle w:val="InternetLink"/>
          </w:rPr>
          <w:t>12</w:t>
        </w:r>
      </w:hyperlink>
      <w:r>
        <w:rPr>
          <w:rFonts w:ascii="Times New Roman;Times;serif" w:hAnsi="Times New Roman;Times;serif"/>
          <w:i/>
          <w:color w:val="000000"/>
          <w:sz w:val="20"/>
          <w:bdr w:val="single" w:sz="8" w:space="12" w:color="000000"/>
        </w:rPr>
        <w:t xml:space="preserve"> and the financial statements and related notes included in this prospectus.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Background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the Closing Date, Learn CW and Innventure LLC consummated the Business Combination pursuant to the terms of the Business Combination Agreement previously entered into on October 24, 2023 (the “Business Combination Agreement”). Following the Closing, both Learn CW and Innventure LLC became subsidiaries of Holdco, and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NASDAQ under the symbol “INV”.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Standby Equity Purchase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agreed, and paid, to YA Global II SPV, LLC, a subsidiary of Yorkville (i) a structuring fee in the amount of $25,000 and (ii) commitment fee in an amount equal to $375,000 (the “Commitment Fee”).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advance the Company issues in writing to Yorkville under the SEPA (each, an “Advance,” and notice of such request, an “Advance Notice”) may be in an amount of Common Stock up to the greater of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57508x2_424b3_105-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purchase under an Advance would be subject to certain limitations and conditions, depending on selections set forth in the applicable Advance, including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Ownership Limitation:</w:t>
            </w:r>
            <w:r>
              <w:rPr>
                <w:rFonts w:ascii="Times New Roman;Times;serif" w:hAnsi="Times New Roman;Times;serif"/>
                <w:color w:val="000000"/>
                <w:sz w:val="20"/>
              </w:rPr>
              <w:t xml:space="preserve"> Yorkville shall not purchase or acquire any shares of Common Stock pursuant to the SEPA that would result in it and its affiliates (on an aggregated basis) beneficially owning more than 9.99% of the then outstanding voting power or number of shares of Common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Registration Limitation:</w:t>
            </w:r>
            <w:r>
              <w:rPr>
                <w:rFonts w:ascii="Times New Roman;Times;serif" w:hAnsi="Times New Roman;Times;serif"/>
                <w:color w:val="000000"/>
                <w:sz w:val="20"/>
              </w:rPr>
              <w:t xml:space="preserve"> In no event shall an Advance exceed the amount of shares of Common Stock registered under an effective registration statement that provides for the resale from time to time of the shares of Common Stock sold pursuant the SEPA;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Volume Limitation:</w:t>
            </w:r>
            <w:r>
              <w:rPr>
                <w:rFonts w:ascii="Times New Roman;Times;serif" w:hAnsi="Times New Roman;Times;serif"/>
                <w:color w:val="000000"/>
                <w:sz w:val="20"/>
              </w:rPr>
              <w:t xml:space="preserve"> In certain instances, if the total number of Common Stock traded on NASDAQ during 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lineRule="auto" w:line="240" w:before="0" w:after="0"/>
              <w:jc w:val="left"/>
              <w:rPr>
                <w:rFonts w:ascii="Times New Roman;Times;serif" w:hAnsi="Times New Roman;Times;serif"/>
                <w:color w:val="000000"/>
                <w:sz w:val="20"/>
              </w:rPr>
            </w:pPr>
            <w:r>
              <w:rPr>
                <w:rFonts w:ascii="Times New Roman;Times;serif" w:hAnsi="Times New Roman;Times;serif"/>
                <w:i/>
                <w:color w:val="000000"/>
                <w:sz w:val="20"/>
              </w:rPr>
              <w:t>Minimum Acceptable Price:</w:t>
            </w:r>
            <w:r>
              <w:rPr>
                <w:rFonts w:ascii="Times New Roman;Times;serif" w:hAnsi="Times New Roman;Times;serif"/>
                <w:color w:val="000000"/>
                <w:sz w:val="20"/>
              </w:rPr>
              <w:t xml:space="preserve"> If the Company notifies Yorkville of a minimum acceptable price (“MAP” as defined in the SEPA), then, if during the applicable period the VWAP of the Common Stock is below the specified MAP or there is no VWAP, the amount of Common Stock set forth in the Advance will be reduced by one third (1/3rd); provided, however, that this lower amount may be increased if certain conditions are met.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SEPA will automatically terminate on the earliest to occur of (i) November 1, 2027 or (ii) the date on which Yorkville shall have made payment of Advances equal to $75.0 million. As of October 21, 2025, the Company has issued Yorkville 1,206,566 shares of Common Stock for a total amount of $7,849,798.79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provided by the Securities Purchase Agreement, for so long as any amounts remain outstanding under the Convertible Debentures, unless otherwise agreed by Yorkville: (A) the Company shall not submit an Advance Notice prior to January 15, 2026 (the date this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 </w:t>
      </w:r>
    </w:p>
    <w:p>
      <w:pPr>
        <w:pStyle w:val="TextBody"/>
        <w:bidi w:val="0"/>
        <w:spacing w:before="29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Yorkville Convertible Debentures </w:t>
      </w:r>
    </w:p>
    <w:p>
      <w:pPr>
        <w:pStyle w:val="TextBody"/>
        <w:bidi w:val="0"/>
        <w:spacing w:before="27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u w:val="single"/>
          <w:bdr w:val="single" w:sz="8" w:space="12" w:color="000000"/>
        </w:rPr>
        <w:t>Existing Convertible Debentures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March 25, 2025, the Company entered into the Existing Purchase Agreement with Yorkville, in connection with the issuance and sale by the Company of Convertible Debentures issuable in an aggregate principal amount of up to $30,000,000 (the “Existing Convertible Debentures”), which Existing Convertible Debentures are convertible into shares of the Company’s Common Stock (as converted, the “Existing Conversion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57508x2_424b3_105-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Pursuant to the Existing Purchase Agreement, Yorkville purchased, and the Company issued, $20,000,000 in aggregate principal amount of Existing Convertible Debentures in one Convertible Debenture (the “First Convertible Debenture”), on April 14, 2025 (the “Existing Debentures First Closing Date”) and an additional $10,000,000 in aggregate principal amount of Existing Convertible Debentures in one Convertible Debenture (the “Second Convertible Debenture”) on May 15, 2025 after both (i) a registration statement was filed with the SEC registering the resale of the Existing Conversion Shares and was declared effective by the SEC and (ii) the Company received stockholder approval through irrevocable proxies of the Company’s stockholders to, by a majority of the voting power of the Company, issue Existing Conversion Shares and shares issuable pursuant to the SEPA in excess of the Exchange Cap (as defined in the SEPA). Approximately $8,000,000 of the Existing Convertible Debentures currently remains outstanding.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Existing Convertible Debentures do not bear interest unless an event of default occurs and remains uncured, upon which the Existing Convertible Debentures will bear interest at an annual rate of 18.0%. The Existing Convertible Debentures will mature on July 14, 2026 (the “Existing Debentures Maturity Date”). The First Convertible Debenture resulted in gross proceeds to the Company of approximately $18,000,000, representing an original issue discount of 10%. The Second Convertible Debenture resulted in gross proceeds to the Company of approximately $9,000,000, representing an original issue discount of 10%. Prior to the Amendment (as defined below), the Company was required to make monthly cash payments of principal in amounts between $1,000,000 and $3,000,000 (per the schedule set forth in the Existing Convertible Debentures) plus a payment premium of 5% and all accrued and unpaid interest as of the date of such installment. Such payments commenced 30 days following the date of issuance of the applicable Convertible Debenture and continued until the September Payment (as defined below) on September 15, 2025. In addition, no conversion is permitted to the extent that, after giving effect to such conversion, the holder together with the certain related parties would beneficially own in excess of 4.99% of the Common Stock outstanding immediately after giving effect to such conversion,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Existing Convertible Debentures provide the Company, subject to certain conditions, with an optional redemption right pursuant to which the Company, upon 10 trading days’ prior written notice to Yorkville (the “Redemption Notice”), can redeem in cash, in whole or in part, all amounts outstanding under the Existing Convertible Debentures prior to the Existing Debentures Maturity Date. The redemption amount is equal to the outstanding principal balance being redeemed by the Company, plus the redemption premium of 5% of the principal amount being redeemed if completed on or before the twelve month anniversary of the issuance date, or 10% of the principal amount being redeemed if completed after the twelve month anniversary of the issuance date, plus all accrued and unpaid interest as of the date of such redemption.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4, 2025, Yorkville and the Company entered into an amendment to the Existing Convertible Debentures, pursuant to which the parties agreed to amend the definition of “Conversion Price.” On September 15, 2025, Yorkville and the Company entered into an additional amendment (the “Amendment”) to the Existing Convertible Debentures, pursuant to which the parties agreed to (i) remove the monthly cash payments set forth in the Existing Convertible Debentures in Section 1(c) and Exhibit I, following the repayment of the approximately $2,000,000 due on September 14, 2025 pursuant to the Existing Convertible Debentures (the “September Payment”), which September Payment did not include any premium and was deducted from the gross proceeds received by the Company from the issuance of the Third Convertible Debenture (as defined below) on September 15, 2025; (ii) introduce cash payments only in connection with an Amortization Event (as defined in the Convertible Debentures); (iii) amend the definition of “Conversion Price” as set forth in Section 12(n) of the Existing Convertible Debentures to track the definition of Conversion Price under the New Convertible Debentures (as defined below), with a floor price of $1.59, the price equal to 20% of the Minimum Price (as calculated pursuant to the rules of the NASDAQ) of the Common Stock as of March 25, 2025, the date of the Existing Purchase Agreement; and (iv) institute a cap on the number of Existing Conversion Shares if the issuance of such Common Stock would exceed the aggregate number of Common Stock that the Company may issue in compliance with the Company’s obligations under the rules or regulations of the NASDAQ (the “Amendment Exchange Cap”). The Amendment Exchange Cap will not apply if the Company obtains the approval of its stockholders as required by the applicable rules of the NASDAQ for issuances of Common Stock in excess of such amount, or if the Company obtains a written opinion from outside counsel to the Company that such stockholder approval is not required. The Company also agreed to take all steps necessary to allow Yorkville to continue to utilize a registration statement that the Company previously filed, and is currently effective, to register the resale of the shares issued upon conversion of the Existing Convertible Debentures.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57508x2_424b3_105-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u w:val="single"/>
          <w:bdr w:val="single" w:sz="8" w:space="12" w:color="000000"/>
        </w:rPr>
        <w:t>New Convertible Debentures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September 15, 2025, the Company entered into the Securities Purchase Agreement with Yorkville, in connection with the issuance and sale by the Company of Convertible Debentures issuable in an aggregate principal amount of up to $15,000,000 (the “New Convertible Debentures”), which New Convertible Debentures will be convertible into shares of the Company’s Common Stock (as converted, the “Conversion Shares”). Pursuant to the Securities Purchase Agreement, Yorkville purchased, and the Company issued, $10,000,000 in aggregate principal amount of New Convertible Debentures (the “Third Convertible Debenture”) on September 15, 2025, upon satisfaction of certain closing conditions in the Securities Purchase Agreement (the “First Closing Date”). The Third Convertible Debenture resulted in gross proceeds to the Company of approximately $7,000,000, representing an original issue discount of 10% and including the $2,000,000 September Payment. Yorkville will purchase and the Company will issue an additional $5,000,000 in aggregate principal amount of New Convertible Debentures (the “Fourth Convertible Debenture”) on the first business day after the date the registration statement, of which this prospectus is a part, is filed with the SEC registering the resale of the Conversion Shares is declared effective by the SEC (the “Second Closing”).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New Convertible Debentures bear interest at an annual rate of 5.0% unless an event of default occurs and remains uncured, upon which the New Convertible Debentures will bear interest at an annual rate of 18.0%. The New Convertible Debentures will mature on September 15, 2026, the date that is 12 months from the date of the First Closing Date (the “Maturity Date”) and, upon completion of the Second Closing, will result in gross proceeds to the Company of approximately $11,500,000 (including the original issue discount of 10% and the $2,000,000 September Payment).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New Convertible Debentures are convertible at the option of the holder into Common Stock equal to the applicable Conversion Amount (as defined below) divided by the Conversion Price (as defined below). The conversion price for the New Convertible Debentures will be the lower of (i) $7.00 per share of Common Stock (the “Fixed Price”) or (ii) 95% of the lowest daily VWAP of the Common Stock during the five consecutive trading days immediately preceding the conversion date or other date of determination (the “Variable Price”) and the applicable purchase price, the “Conversion Price”), but which Variable Price shall not be lower than the “Floor Price” then in effect. The “Floor Price” is $1.16, the price equal to 20% of the Minimum Price (as calculated pursuant to the rules of the NASDAQ) of the Common Stock. Any portion of the New Convertible Debentures may be converted at any time and from time to time, subject to the SPA Exchange Cap (as defined below). The conversion amount with respect to any requested conversion will equal the principal amount requested to be converted plus all accrued and unpaid interest on the New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shall not issue any Common Stock upon conversion of the New Convertible Debentures held by Yorkville if the issuance of such Common Stock underlying the New Convertible Debentures would exceed the aggregate number of shares of Common Stock that the Company may issue upon conversion of the Convertible Debentures in compliance with the Company’s obligations under the rules or regulations of NASDAQ (the “SPA Exchange Cap”). The SPA Exchange Cap will not apply if the Company obtains the approval of its stockholders as required by the applicable rules of the NASDAQ for issuances of Common Stock in excess of such amount.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Securities Purchase Agreement, within 90 calendar days of the First Closing Date, the Company is required to hold a special meeting of stockholders providing for the approval of, and obtain the approval of, (i) the issuance of the New Convertible Debentures and the Maximum Conversion Shares (as defined in the Securities Purchase Agreement) without regard to the SPA Exchange Cap in compliance with the rules and regulations of the NASDAQ and (ii) the issuance of the Existing Conversion Shares without regard to the Amendment Exchange Cap in compliance with the rules and regulations of the NASDAQ in accordance with the amendments to the Conversion Price as set forth in the Amendment, with the recommendation of the Company’s board of directors (“Board”) that such proposals be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will not be required to make monthly cash payments pursuant to the New Convertible Debentures unless an Amortization Event (as defined in the New Convertible Debentures) has occurred, and then the Company will make monthly cash payments each month until the earlier of (i) the entire outstanding amount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57508x2_424b3_105-summar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New Convertible Debentures has been repaid or (ii) the Amortization Event ceases, as provided in the New Convertible Debentures. An “Amortization Event” means (i) the daily VWAP of the Company’s Common Stock is lower than the Floor Price for any five of seven consecutive trading days, (ii) the Company has issued in excess of 99% of the Common Stock available under the SPA Exchange Cap, or (iii) Yorkville is unable to use this registration statement for a period of 20 consecutive trading days. The monthly cash payments will be in an amount equal to 10% of the original principal amount (or the outstanding principal amount of the New Convertible Debentures if lower than such amount), plus a payment premium of 5% and all accrued and unpaid interest as of the date of such payment. Such Amortization Event payments will commence 15 days following the Amortization Event.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VWAP of the Common Stock is less than the Fixed Price, then the New Convertible Debentures provide the Company, subject to certain conditions, with an optional redemption right pursuant to which the Company, upon 10 trading days’ prior written notice to Yorkville, may redeem in cash, in whole or in part, all amounts outstanding under the New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PIPE Investment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October 3, 2025, the Company entered into the Subscription Agreements with the Subscribers, pursuant to which the Company agreed to issue to the Subscribers, in a private placement, an aggregate of 1,625,235 shares of Common Stock and Series A Warrants to purchase an aggregate of 1,625,235 shares of Common Stock (the “Warrant Shares”) at a price of $6.00 per share of Common Stock and one Series A Warrant (the “PIPE Investment”).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Accelsius Convertible Notes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August and September of 2025, Accelsius issued unsecured convertible promissory notes, in an aggregate principal amount of approximately $7,300,000. The unsecured convertible promissory notes bear interest at the rate of 6.5% per annum on the principal amount and were repayable on demand by the lenders on or after the two-year anniversary of the issuance date. The unsecured convertible promissory notes were subordinated in right of payment to the prior payment in full in cash or conversion, as applicable, of the WTI Facility, the Convertible Debentures, the Term Convertible Notes, the Related Party Convertible Notes and the indebtedness of Accelsius owed to Innventure LLC. The unsecured convertible promissory notes were automatically convertible after the first future preferred equity issuance by Accelsius raising at least $5,000,000 in gross cash proceeds from unaffiliated investors (the “Next Funding Round”), into the units of the same series sold in the Next Funding Round at 80% of the purchase price for such units. The unsecured convertible promissory notes, including certain interests amounts, automatically converted into Series B-2 Units of Accelsius in connection with the investment by JCI (as defined below). Such Series B-2 Units are identical to the Series B-1 Units described below, except with respect to issue price and conversion price, each of which is 80% of the JCI Issue Price (as defined below) and, initially though subject to possible later adjustment, the JCI Conversion Price (as defined below), respectively. Concurrently with the conversion, the Company issued warrants to the lenders exercisable for Accelsius’ Series B-2 Units. These warrants are exercisable for 0.5 Series B-2 Units for every 1 Series B-2 Unit that was issued as part of the conversion. The exercise price for the warrants was set at 120% of the price the units in the Next Funding Round are sold.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57508x2_424b3_105-summary_pg6"/>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JCI Investment in Accelsius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October 2, 2025 (the “JCI Closing” or “JCI Closing Date”), Accelsius issued and sold to Johnson Controls, Inc., a Wisconsin corporation (“JCI”), 685,163 units of Accelsius’s Series B-1 Units (the “Series B-1 Units”). The gross proceeds to the Company from the JCI Closing were approximately $25,000,000 before deducting financial advisor fees and other estimated offering expenses.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Accelsius will use the proceeds from the sale of the Series B-1 Units for general company purposes. Upon consummation of the JCI Closing, certain outstanding convertible notes and other indebtedness of Accelsius that is automatically convertible into equity securities of Accelsius automatically converted into equity securities of Accelsius in accordance with their terms (please see the “Accelsius Convertible Notes” disclosure above). The Series B-1 Units are convertible at any time and from time to time into Accelsius’s Class A Comon Units by dividing the Series B-1 Unit’s JCI Issue Price (as defined below) by the JCI Conversion Price (as defined below) in effect at the time of conversion. The “JCI Issue Price” means $36.4877 per unit, subject to appropriate adjustment in the event of any unit dividend, unit split, combination or other similar recapitalization with respect to the applicable Series B-1 Units. The “JCI Conversion Price” shall initially equal $36.4877 and will be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Closing, Accelsius amended its limited liability company agreement (“Operating Agreement”) to provide for certain rights to JCI with respect to the Series B-1 Units. </w:t>
      </w:r>
    </w:p>
    <w:p>
      <w:pPr>
        <w:pStyle w:val="TextBody"/>
        <w:bidi w:val="0"/>
        <w:spacing w:before="25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Management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so long as JCI and its affiliates continue to beneficially own an aggregate of at least 50% of the Series B-1 Units purchased by JCI (subject to appropriate adjustment for any unit splits, unit dividends, combinations, recapitalizations and the like or any conversion), JCI will be entitled to designate and remove one director (the “Preferred Director”). Each director will be entitled to one vote on all matters that come before the board of directors of Accelsius (the “Board”). The Preferred Director will be entitled in such person’s discretion to be a member of any committee of the Board or of the board of directors or managers of any subsidiary of Accelsius.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action shall be taken by the Board or any officer on behalf of Accelsius with respect to any Preferred Decision (as defined in the Operating Agreement) without the approval of the Preferred Director.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pari passu to the Series B-1 Units, and (iv) an increase in the authorized number of Accelsius’s Class A Common Units, Class C Units, or any series of preferred units. </w:t>
      </w:r>
    </w:p>
    <w:p>
      <w:pPr>
        <w:pStyle w:val="TextBody"/>
        <w:bidi w:val="0"/>
        <w:spacing w:before="24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Preemptive Rights; Right of First Refusal; Right of Co-Sale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and conditions, (i) JCI has preemptive rights to purchase its proportional share of new equity issuances by Accelsius, with oversubscription rights for unsubscribed amounts; (ii) holders of Accelsius units seeking to transfer their units in response to an offer (the “Transfer Notice”) must first offer such units in writing to Accelsius and then to JCI on the same terms as the Transfer Notice (the “Right of First Refusal”); and (iii) if any such units are not purchased under the Right of First Refusal and are to be sold to a transferee named in such Transfer Notice, JCI may exercise a pro rata right of co-sale pursuant to the Operating Agreement on the same terms and conditions specified in the Transfer Notice. </w:t>
      </w:r>
    </w:p>
    <w:p>
      <w:pPr>
        <w:pStyle w:val="TextBody"/>
        <w:bidi w:val="0"/>
        <w:spacing w:before="24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Information Rights and Inspection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JCI has the right, at JCI’s expense, to examine Accelsius’s books of account and records and discuss Accelsius’s affairs with its officers, subject to confidentiality or trade secret and privilege protection and competitive sensitivity limitations. Additionally, JCI has the right to receive annual audited financials, quarterly unaudited financials and quarterly capitalization information within specified periods of time. </w:t>
      </w:r>
    </w:p>
    <w:p>
      <w:pPr>
        <w:pStyle w:val="TextBody"/>
        <w:bidi w:val="0"/>
        <w:spacing w:before="24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Restrictions on Transfer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Accelsius’s preferred units, including its Series B-1 Units, and certain of Accelsius’s Class A Common Units (“Registrable Securities”) may not be sold, pledged, or otherwise transferred, and Accelsius may issue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57508x2_424b3_105-summary_pg7"/>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stop-transfer instructions, subject to certain conditions to ensure compliance with U.S. securities laws and regulations, and any proposed transferee of the Registrable Securities must agree to hold such securities subject to the provisions and conditions in the Operating Agreement. </w:t>
      </w:r>
    </w:p>
    <w:p>
      <w:pPr>
        <w:pStyle w:val="TextBody"/>
        <w:bidi w:val="0"/>
        <w:spacing w:before="41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Registration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Holders of a majority of Registrable Securities have received certain customary registration rights, subject to customary deferrals and frequency limits, as set forth in the Operating Agreement. Additionally, JCI has the right to participate in company initiated registrations, subject to underwriter cutbacks.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Emerging Growth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business is subject to numerous risks and uncertainties, including those highlighted in the section titled “</w:t>
      </w:r>
      <w:r>
        <w:rPr>
          <w:rFonts w:ascii="Times New Roman;Times;serif" w:hAnsi="Times New Roman;Times;serif"/>
          <w:color w:val="000000"/>
          <w:sz w:val="20"/>
          <w:u w:val="single"/>
          <w:bdr w:val="single" w:sz="8" w:space="12" w:color="000000"/>
        </w:rPr>
        <w:t>Risk Factors</w:t>
      </w:r>
      <w:r>
        <w:rPr>
          <w:rFonts w:ascii="Times New Roman;Times;serif" w:hAnsi="Times New Roman;Times;serif"/>
          <w:color w:val="000000"/>
          <w:sz w:val="20"/>
          <w:bdr w:val="single" w:sz="8" w:space="12" w:color="000000"/>
        </w:rPr>
        <w:t xml:space="preserve">,” that represent challenges that we face in connection with the successful implementation of our strategy and growth of our business.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mailing address of our principal executive office is 6900 Tavistock Lakes Blvd, Suite 400, Orlando, Florida 32827, and our telephone number is (321) 209-6787.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57508x2_424b3_105-summary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Issuer</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 Inc.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Shares of Common Stock that may be offered and sold from time to time by the Selling Stockholders named herein or their permitted transferees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24,250,470 shares of Common Stock, which includes (i) up to 12,000,000 shares of Common Stock that may be issued upon conversion of the Convertible Debentures issued and issuable to Yorkville pursuant to the Purchase Agreements; (ii) up to 9,000,000 shares of Common Stock that we may issue and sell to Yorkville from time to time, subject to certain limitations and conditions, pursuant to the SEPA, in each case with respect to (i) and (ii) subject to the ownership limitations described therein; and (iii) 3,250,470 shares of Common Stock pursuant to the Subscription Agreements, consisting of (a) 1,625,235 shares of Common Stock issued to the Subscribers and (b) 1,625,235 shares of Common Stock that may be issued upon exercise of the Series A Warrants.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Shares of Common Stock outstanding (excluding shares issuable upon exercise of the Series A Warrants)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58,046,433 (as of October 14, 2025)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Use of proceeds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not receive any of the proceeds from such sales of the shares of our Common Stock by the Selling Stockholders. However, we may receive (i) up to approximately $67.0 million in remaining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not receive any proceeds from the exercise of Series A Warrants on a cashless basis.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bear all costs, expenses and fees in connection with the registration of our Common Stock hereunder. The Selling Stockholders will bear all commissions, discounts and certain other limited expenses, if any, attributable to their sales of our Common Stock.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we inform you otherwise in a prospectus supplement or free writing prospectus, we intend to use the net proceeds from the issuance of shares to Yorkville pursuant to the SEPA and the exercise of Series A Warrants, if applicable, for general corporate purposes, which may include acquisitions or other strategic investments or repayment of outstanding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57508x2_424b3_105-summary_pg9"/>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indebtedness, subject to certain conditions and restrictions in the Purchase Agreements relating to the use of proceeds from issuances pursuant to the SEPA.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Exercise price of Series A Warrants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$8.00 per share of Common Stock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NASDAQ Global Market symbol</w:t>
      </w:r>
    </w:p>
    <w:p>
      <w:pPr>
        <w:pStyle w:val="TextBody"/>
        <w:bidi w:val="0"/>
        <w:spacing w:before="0" w:after="240"/>
        <w:ind w:left="5040" w:right="0" w:hanging="0"/>
        <w:jc w:val="left"/>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INV”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Risk factors</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Investing in our Common Stock involves a high degree of risk. See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beginning on page </w:t>
      </w:r>
      <w:hyperlink w:anchor="tRF">
        <w:r>
          <w:rPr>
            <w:rStyle w:val="InternetLink"/>
          </w:rPr>
          <w:t>12</w:t>
        </w:r>
      </w:hyperlink>
      <w:r>
        <w:rPr>
          <w:rFonts w:ascii="Times New Roman;Times;serif" w:hAnsi="Times New Roman;Times;serif"/>
          <w:color w:val="000000"/>
          <w:sz w:val="20"/>
          <w:bdr w:val="single" w:sz="8" w:space="12" w:color="000000"/>
        </w:rPr>
        <w:t xml:space="preserve"> and the other information in this prospectus for a discussion of the factors you should consider carefully before you decide to invest in our Common Stock.</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57508x2_424b3_105-summary_pg10"/>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OF 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business is subject to a number of risks and uncertainties, including those highlighted in the section entitled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immediately following this summary. Some of these principal risks include the following: </w:t>
      </w:r>
    </w:p>
    <w:tbl>
      <w:tblPr>
        <w:tblW w:w="8965" w:type="dxa"/>
        <w:jc w:val="left"/>
        <w:tblInd w:w="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not be able to obtain additional financing to fund the operations and growth of the business.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is uncertainty regarding Innventure’s ability to maintain liquidity sufficient to operate its business effectively, which raises substantial doubt about its ability to continue as a going concern.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principal revenues are expected to be earned in the future through its Operating Companies, including through AeroFlexx, Accelsius and Refinity, and Innventure depends on its Operating Companies for cash.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not be successful in finding future opportunities to license or acquire breakthrough technology solutions from Technology Solutions Providers.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Innventure Companies are currently early commercial stage companies that may never achieve or sustain profitability.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WTI Facility may impair Innventure LLC’s, Innventure’s and the Operating Companies’ financial and operating flexibility.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not possible to predict the extent to which Innventure will, intends to, or may rely on Yorkville and the SEPA as a source of funding.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not possible to predict the actual number of shares Innventure will sell under the SEPA or issue under the Convertible Debentures to Yorkville, or the actual gross proceeds resulting from those sales, if applicable.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pursuit of new business strategies and acquisitions could disrupt its ongoing business, present risks not originally contemplated and materially adversely affect its business, reputation, results of operations and financial condition. </w:t>
            </w:r>
          </w:p>
        </w:tc>
      </w:tr>
    </w:tbl>
    <w:tbl>
      <w:tblPr>
        <w:tblW w:w="9850" w:type="dxa"/>
        <w:jc w:val="left"/>
        <w:tblInd w:w="24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is likely to be highly volatile, and you may lose some or all of your investment. </w:t>
            </w:r>
          </w:p>
        </w:tc>
      </w:tr>
    </w:tbl>
    <w:tbl>
      <w:tblPr>
        <w:tblW w:w="8095" w:type="dxa"/>
        <w:jc w:val="left"/>
        <w:tblInd w:w="240" w:type="dxa"/>
        <w:tblLayout w:type="fixed"/>
        <w:tblCellMar>
          <w:top w:w="0" w:type="dxa"/>
          <w:left w:w="0" w:type="dxa"/>
          <w:bottom w:w="0" w:type="dxa"/>
          <w:right w:w="0" w:type="dxa"/>
        </w:tblCellMar>
      </w:tblPr>
      <w:tblGrid>
        <w:gridCol w:w="110"/>
        <w:gridCol w:w="7985"/>
      </w:tblGrid>
      <w:tr>
        <w:trPr/>
        <w:tc>
          <w:tcPr>
            <w:tcW w:w="11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Volatility in Innventure’s share price could subject Innventure to securities class action litigation. </w:t>
            </w:r>
          </w:p>
        </w:tc>
      </w:tr>
    </w:tbl>
    <w:tbl>
      <w:tblPr>
        <w:tblW w:w="7210" w:type="dxa"/>
        <w:jc w:val="left"/>
        <w:tblInd w:w="24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sales of shares of our Common Stock or other equity may depress its stock price.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in our Amended and Restated Certificate of Incorporation (the “A&amp;R Certificate of Incorporation”) and under Delaware law could discourage a takeover that stockholders may consider favorable and may lead to entrenchment of management.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is an emerging growth company and smaller reporting company, and Innventure cannot be certain if the reduced reporting requirements applicable to emerging growth companies and smaller reporting companies will make its shares less attractive to investors.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offerings of debt or offerings or issuances of equity securities by the Innventure may adversely affect the market price of the Common Stock or otherwise dilute all other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Innventure’s estimates or judgments relating to its critical accounting estimates prove to be incorrect or financial reporting standards or interpretations change, Innventure’s results of operations could be adversely affected.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57508x2_424b3_105-summary_pg11"/>
        <w:bookmarkEnd w:id="23"/>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 is deemed to be an investment company under the Investment Company Act, it may be required to institute burdensome compliance requirements and its activities may be restricted, which may make it difficult to operate or to execute its growth plans.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AFX, Accelsius and Refinity are early-stage companies, and their limited operating histories makes it difficult to evaluate their future prospects and the risks and challenges they may encounter.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Accelsius’ cooling products may be subject to increased regulatory scrutiny due to their use of working fluid refrigerants that contain fluorine.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including customers and potential investors, may be skeptical of the viability and benefits of Accelsius’ cooling products and Refinity’s plastic waste recycling process because they are based on relatively novel and complex technology.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be unable to sufficiently protect the IP rights of itself and the Innventure Companies and may encounter disputes from time to time relating to its use of the IP of third parties.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U.S. or foreign trade policies, including additional tariffs or global trade conflicts, may adversely impact our business and operating results.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Cyber-attacks or a failure in Innventure’s information technology and data security infrastructure could adversely affect Innventure’s business and operations.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57508x2_424b3_106-risk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RF"/>
      <w:bookmarkEnd w:id="25"/>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Innventure and the accompanying notes. Innventure’s business, financial condition or results of operations could be affected materially and adversely by any of the risks discussed below.</w:t>
      </w:r>
      <w:r>
        <w:rPr>
          <w:rFonts w:ascii="Times New Roman;Times;serif" w:hAnsi="Times New Roman;Times;serif"/>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Innventure’s Business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may not be able to obtain additional financing to fund the operations and growth of the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There is uncertainty regarding Innventure’s ability to maintain liquidity sufficient to operate its business effectively, which raises substantial doubt about its ability to continue as a going concern.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Innventure’s principal revenues are expected to be earned in the future through its Operating Companies, including through AeroFlexx, Accelsius and Refinity, and Innventure depends on its Operating Companies for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(as defined below).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57508x2_424b3_106-risk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Innventure’s business model is to launch Operating Companies, which are not guaranteed to succeed and could be very costly.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may not be successful in finding future opportunities to license or acquire breakthrough technology solutions from Technology Solutions Providers.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Innventure Companies are currently early commercial stage companies that may never achieve or sustain profitability.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Innventure’s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57508x2_424b3_106-risk_pg3"/>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WTI Facility may impair Innventure LLC’s, the Company’s and the Operating Companies’ financial and operating flexibility.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WTI Facility provides for a term loan facility in an aggregate principal amount of up to $50 million, of which (i) the First Tranche was made available after October 22, 2024 and through November 15, 2024; (ii) the Second Tranche was made available after November 1, 2024 and through November 30, 2024; and (iii) the Third Tranche was made available after December 31, 2024 and through January 31, 2025 (provided that up to $7.5 million of the Third Tranche was made available until March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the WTI Lenders’ satisfaction with the Company’s forward-looking plan at such time. As of the date of this prospectus, the funds under each of the Second Tranche and the Third Tranche are no longer available to the Company; however, the WTI Lenders agreed that if certain conditions are met, then the WTI Lenders would work with Innventure in good faith to, among other things, extend the time periods in which the Second Tranche and the Third Tranche are available. As of the date of this prospectus, such conditions have not been met, and, therefore, the applicable time periods have not been extended.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 is not possible to predict the extent to which the Company will, intends to, or may rely on Yorkville and the SEPA as a source of funding.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Innventure has drawn $7.85 million under the SEPA. Subject to the terms and conditions of the SEPA (as modified by the Purchase Agreements), Innventure may issue and sell to Yorkville up to the remaining approximately $67.0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Innventure will rely on Yorkville as a source of funding will depend on a number of factors, including the prevailing market price of Common Stock, the extent to which Innventure is able to secure working and other capital from other sources, and the extent to which Innventure is able to satisfy the conditions set forth in the Purchase Agreements to enable Innventure to access the SEPA. If obtaining sufficient funding from Yorkville were to prove unavailable or prohibitively dilutive, Innventure may need to secure additional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57508x2_424b3_106-risk_pg4"/>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 is not possible to predict the actual number of shares Innventure will sell under the SEPA or issue under the Convertible Debentures to Yorkville, or the actual gross proceeds resulting from those sales, if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conditions and limitations in the SEPA, the Purchase Agreements, which impose additional limitations and conditions upon Innventure’s ability to access the SEPA, and compliance with applicable law, Innventure has the discretion to deliver notices to Yorkville throughout the term of the SEPA. The actual number of shares of Common Stock that are issued and sold to Yorkville depends on a number of factors, including the market price of Common Stock during the sales period. Actual gross proceeds may be less than the remaining approximately $67.0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under the Convertible Debentures has a variable price component and will be adjusted from time to time pursuant to the other terms and conditions of the Convertible Debentures, and, accordingly, it is not currently possible to predict how many shares will be sold in total under the Convertible Debentures.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2025, Innventure has drawn $7.85 million under the SEPA. Moreover, although the SEPA provides that Innventure may sell up to an aggregate of $75.0 million of its Common Stock to Yorkville, Innventure has registered the resale by Yorkville of up to 7,311,741 shares of Common Stock that may be issued subject to certain ownership limitations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remaining approximately $67.0 million total commitment available to Innventure under the SEPA. If it becomes (i) necessary for Innventure to issue and sell to Yorkville under the SEPA more shares than the shares registered for resale by Yorkville in order to receive the aggregate gross proceeds equal to the remaining approximately $67.0 million under the SEPA and (ii) if Innventure is able to sell more shares than the shares registered for resale by Yorkville while still complying with the ownership limitations set forth in the SEPA, then Innventure will need to file with the SEC one or more additional registration statements to register under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issuance and sale by Innventure under the SEPA or conversion under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converts under the Convertible Debentures.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Innventure’s success will depend on its ability to attract and retain personnel and manage human capital both for itself and the Innventure Companies, while controlling labor costs.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success depends on its ability to attract, recruit, train, retain, motivate and integrate key personnel for itself and the Innventure Companies, including its management team, key executives, and other key talent, and the management team and key R&amp;D (as defined below),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 may end at any point in time. In addition, all of Innventure and the Innventure Companies’ employees are at will, which means that either they or the employee may terminate their employment at any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57508x2_424b3_106-risk_pg5"/>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Innventure’s pursuit of new business strategies and acquisitions could disrupt its ongoing business, present risks not originally contemplated and materially adversely affect its business, reputation, results of operations and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Innventure Companies’ Operations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Innventure Companies are early-stage companies, and their limited operating history makes it difficult to evaluate their future prospects and the risks and challenges they may encounter.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 </w:t>
      </w:r>
    </w:p>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 and commercialize their products and processes;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design and deliver products and processes of acceptable performance that function as anticipated; </w:t>
            </w:r>
          </w:p>
        </w:tc>
      </w:tr>
    </w:tbl>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left"/>
              <w:rPr>
                <w:color w:val="000000"/>
              </w:rPr>
            </w:pPr>
            <w:r>
              <w:rPr>
                <w:color w:val="000000"/>
              </w:rPr>
              <w:t>•</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sales revenue;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forecast their revenue and budget for and manage their expenses;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new customers and commercial relationships;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compete successfully in the industry in which they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plan for and manage capital expenditures for their current and future products and manage their supply chain and supplier relationships related to their current and future products;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scale quickly enough due to capital and other resource constraints;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find, contract with, and retain reliable and commercially reasonable materials, components, manufacturers and inventory vendors;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comply with existing and new or modified laws and regulations applicable to their business in and outside the United States, including compliance requirements of U.S. customs and export regulations;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57508x2_424b3_106-risk_pg6"/>
        <w:bookmarkEnd w:id="30"/>
        <w:r>
          <w:rPr>
            <w:rStyle w:val="InternetLink"/>
            <w:rFonts w:ascii="Times New Roman;Times;Serif" w:hAnsi="Times New Roman;Times;Serif"/>
            <w:b/>
            <w:caps w:val="false"/>
            <w:smallCaps w:val="false"/>
            <w:color w:val="000000"/>
            <w:sz w:val="16"/>
          </w:rPr>
          <w:t>TABLE OF CONTENTS</w:t>
        </w:r>
      </w:hyperlink>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 and respond to macroeconomic changes and changes in the markets in which they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 and respond to regulatory and/or environmental policies that impact the Innventure Companies’ plant operations; </w:t>
            </w:r>
          </w:p>
        </w:tc>
      </w:tr>
    </w:tbl>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and enhance the value of their reputation and brand; </w:t>
            </w:r>
          </w:p>
        </w:tc>
      </w:tr>
    </w:tbl>
    <w:tbl>
      <w:tblPr>
        <w:tblW w:w="2065" w:type="dxa"/>
        <w:jc w:val="left"/>
        <w:tblInd w:w="0" w:type="dxa"/>
        <w:tblLayout w:type="fixed"/>
        <w:tblCellMar>
          <w:top w:w="0" w:type="dxa"/>
          <w:left w:w="0" w:type="dxa"/>
          <w:bottom w:w="0" w:type="dxa"/>
          <w:right w:w="0" w:type="dxa"/>
        </w:tblCellMar>
      </w:tblPr>
      <w:tblGrid>
        <w:gridCol w:w="110"/>
        <w:gridCol w:w="1955"/>
      </w:tblGrid>
      <w:tr>
        <w:trPr/>
        <w:tc>
          <w:tcPr>
            <w:tcW w:w="110" w:type="dxa"/>
            <w:tcBorders/>
            <w:vAlign w:val="center"/>
          </w:tcPr>
          <w:p>
            <w:pPr>
              <w:pStyle w:val="TableContents"/>
              <w:bidi w:val="0"/>
              <w:spacing w:before="0" w:after="0"/>
              <w:jc w:val="left"/>
              <w:rPr>
                <w:color w:val="000000"/>
              </w:rPr>
            </w:pPr>
            <w:r>
              <w:rPr>
                <w:color w:val="000000"/>
              </w:rPr>
              <w:t>•</w:t>
            </w:r>
          </w:p>
        </w:tc>
        <w:tc>
          <w:tcPr>
            <w:tcW w:w="1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 and protect IP;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 integrate and retain talented people at all levels of their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successfully defend themselves in any legal proceeding that may arise and enforce their rights in any legal proceedings they may initiate;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Accelsius’ cooling products may be subject to increased regulatory scrutiny due to their use of working fluid refrigerants that contain fluorine.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including customers and potential investors, may be skeptical of the viability and benefits of Accelsius’ and Refinity’s products and processes because they are based on relatively novel and complex technology.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57508x2_424b3_106-risk_pg7"/>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AFX is early in the development of its commercial production capacity and has not yet fully diversified suppliers for critical raw materials, specifically its film.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fourth quarter of 2025. AFX intends to continue to work towards further diversifying its supplier base as product demand grows and multiple suppliers are needed to support business continuity, though there is no guaranty that such diversification will be successful.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use of AFX’s products in food grade applications is subject to regulation by the U.S. Food and Drug Administration (“FDA”). The FDA has established certain guidelines for the use of recycled plastics in food packaging, as set forth in the “Guidance for Industry - Use of Recycled Plastics in Food Packaging: Chemistry Considerations (August 2006).” In order for AFX’s products to be used in food grade applications, AFX will be required to partner with customers or third-party co-manufacturers that possess the required food certifications to do the filling of AFX’s package.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57508x2_424b3_106-risk_pg8"/>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Common Stock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our Common Stock is likely to be highly volatile, and you may lose some or all of your investment.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may fluctuate significantly due to a number of factors, some of which may be beyond our control, including those factors discussed in this “Risk Factors” section and many others,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Innventure’s financial condition and operating results, including fluctuations in its quarterly and annual results;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involving Innventure’s competitors;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and regulations affecting Innventure’s business;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Innventure’s operating performance and the performance of its competitors in general;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public’s reaction to Innventure’s press releases, its other public announcements and its filings with the SEC; </w:t>
            </w:r>
          </w:p>
        </w:tc>
      </w:tr>
    </w:tbl>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and departures of key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of significant acquisitions, strategic partnerships, joint ventures or capital commitments by Innventure or its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failure to meet the estimates and projections of the investment community or that it may otherwise provide to the public;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publication of research reports about Innventure’s industry, or positive or negative recommendations or withdrawal of research coverage by securities analysts;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market valuations of similar companies; </w:t>
            </w:r>
          </w:p>
        </w:tc>
      </w:tr>
    </w:tbl>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 performance of the equity markets;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the Common Stock or preferred stock by Innventure or its stockholders in the future;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trading volume of the Common Stock;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lawsuits, including shareholder litigation;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comply with the requirements of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industry and market conditions other events or factors, many of which are beyond Innventure’s control; and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accounting standards, policies, guidelines, interpretations or principles.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Volatility in Innventure’s share price could subject Innventure to securities class action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securities or industry analysts do not publish research or reports about Innventure, or publish negative reports, then Innventure’s stock price and trading volume could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57508x2_424b3_106-risk_pg9"/>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does not currently intend to pay dividends on its Common Stock, and, consequently, your ability to achieve a return on your investment will depend on appreciation, if any, in the price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of shares of our Common Stock or other equity may depress its stock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Business Combination Agreement, certain insiders of Innventure LLC (each, a “Lock-Up Party”) entered into lock-up agreements (the “Lock-Up Agreements”) with the Company. Subject to certain exceptions, the Lock-Up Agreements provided for certain restrictions on transfer with respect to Common Stock held by certain stockholders of Innventure. Such restriction began upon the Closing Date and ended on October 2, 2025, the expiration of one year after the Closing of the Business Combination and the other transactions contemplated (the “Transactions”) by the Business Combination Agreement, on which date the restrictions set forth in the Lock-Up Agreements lapsed with respect to the shares of Common Stock held by the Lock-Up Parties. Additionally, certain other stockholders of Innventure were subject to lock-ups which also provided for certain restrictions on transfer with respect to the Common Stock held by such stockholders and such lock-ups also expired on October 2,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expiration of the applicable lock-up periods, such equity holders are not restricted from selling shares of Common Stock held by them, other than by applicable securities laws and certain Innventure policies.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previously restricted shares sell them or are perceived by the market as intending to sell them.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Provisions in the A&amp;R Certificate of Incorporation and under Delaware law could discourage a takeover that stockholders may consider favorable and may lead to entrenchment of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The provisions in Innventure’s charter documents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with three-year staggered terms, which may delay the ability of stockholders to change the membership of a majority of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cumulative voting in the election of directors, which limits the ability of minority stockholders to elect director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removal of directors without cause;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57508x2_424b3_106-risk_pg10"/>
        <w:bookmarkEnd w:id="34"/>
        <w:r>
          <w:rPr>
            <w:rStyle w:val="InternetLink"/>
            <w:rFonts w:ascii="Times New Roman;Times;Serif" w:hAnsi="Times New Roman;Times;Serif"/>
            <w:b/>
            <w:caps w:val="false"/>
            <w:smallCaps w:val="false"/>
            <w:color w:val="000000"/>
            <w:sz w:val="16"/>
          </w:rPr>
          <w:t>TABLE OF CONTENTS</w:t>
        </w:r>
      </w:hyperlink>
    </w:p>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alter the Bylaws without obtaining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required approval of at least 2/3 of the shares entitled to vote to amend or repeal the Bylaws or amend, alter or repeal certain provisions of the A&amp;R Certificate of Incorporation;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prohibition on stockholder action by written consent, which forces stockholder action to be taken at an annual or special meeting of Innventure’s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exclusive forum provision providing that the Court of Chancery of the State of Delaware (the “Delaware Court”) will be the exclusive forum for certain actions and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exclusive forum clause set forth in the Warrant Agreement may have the effect of limiting an investor’s rights to bring legal action against Innventure and could limit the investor’s ability to obtain a favorable judicial forum for disputes with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“Warrant Agreement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Warrant Agreement Foreign Action as agent for such warrant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57508x2_424b3_106-risk_pg1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are an emerging growth company and smaller reporting company, and we cannot be certain if the reduced reporting requirements applicable to emerging growth companies and smaller reporting companies will make our Common Stock less attractive to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offerings of debt or offerings or issuances of equity securities by Innventure may adversely affect the market price of the Common Stock or otherwise dilute all other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57508x2_424b3_106-risk_pg12"/>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Innventure’s estimates or judgments relating to its critical accounting estimates prove to be incorrect or financial reporting standards or interpretations change, Innventure’s results of operations could be adversely affected.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Generally Accepted Accounting Principles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exclusive forum provision in the A&amp;R Certificate of Incorporation could limit Innventure’s stockholders’ ability to choose their preferred judicial forum for disputes with Innventure or its directors, officers, or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provides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 exclusive forum provision of the A&amp;R Certificate of Incorporation does not apply to actions arising under federal securities laws including suits brought to enforce any liability or duty created by the Securities Act, the Exchange Act or any other claim for which the federal courts have exclusive jurisdiction. To the extent that this provision of the A&amp;R Certificate of Incorporation limits a current or former stockholder’s ability to select a judicial forum other than the Delaware Court, it might discourage the specified legal actions, might cause current or former stockholders to incur additional litigation-related expenses, and might result in outcomes unfavorable to current or former stockholders. A court might determine that this provision of the A&amp;R Certificate of Incorporation is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57508x2_424b3_106-risk_pg13"/>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Innventure is deemed to be an investment company under the Investment Company Act, it may be required to institute burdensome compliance requirements and its activities may be restricted, which may make it difficult to operate or to execute its growth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Innventure is deemed to be an investment company under the Investment Company Act, it will be subject to additional regulatory requirements and its activities may be restricted, including: </w:t>
      </w:r>
    </w:p>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nature of its investments;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limitations on its ability to borrow;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prohibitions on transactions with affiliates; and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issuance of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these may make it difficult for Innventure to run its business. In addition, the law may impose upon Innventure burdensome requirements, including: </w:t>
      </w:r>
    </w:p>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registration as an investment company and subsequent regulation as an investment company;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adoption of a specific form of corporate structure; and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reporting, record keeping, voting, proxy and disclosure requirements and other rules and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intends to conduct its operations so that it is not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as defined in the Investment Company Act, that are not themselves investment companies and are not relying on the exemption from the definition of investment company set forth in Section 3(c)(1) or Section 3(c)(7) of the Investment Company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57508x2_424b3_106-risk_pg1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if Innventure were to operate its Operating Companies primarily for the purpose of making a profit in the sale of its Operating Companies’ securities rather than retaining majority ownership, as defined in the Investment Company Act, or control of such companies, it may increase the likelihood that Innventure could be deemed an investment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financing transactions by the Operating Companies could impact your rights as a stockholder of Innventure.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Operating Companies expect to require additional financing to fund their operations or growth. These additional financing transactions could include transactions at the Operating Company level, such as Innventure’s sale of Operating Company equity—similar to Accelsius’s recent sale of Series B-1 Units to JCI—or the Operating Companies’ issuance of new equity or debt convertible into new equity. The issuance of new equity securities or convertible debt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57508x2_424b3_106-risk_pg15"/>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the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example, pursuant to Accelsius’s recent sale of Series B-1 Units to JCI, JCI received certain management rights, preemptive rights; rights of first refusal; rights of co-sale; information rights and inspection and registration rights; which, in the case of the management rights, provide JCI’s designee to the Board of Accelsius with the ability to determine if certain actions at the Accelsius level or taken or not, as they require approval of the JCI designee. See “</w:t>
      </w:r>
      <w:r>
        <w:rPr>
          <w:rFonts w:ascii="Times New Roman;Times;serif" w:hAnsi="Times New Roman;Times;serif"/>
          <w:i/>
          <w:color w:val="000000"/>
          <w:sz w:val="20"/>
        </w:rPr>
        <w:t>Prospectus Summary – Recent Developments -- JCI Investment in Accelsius</w:t>
      </w:r>
      <w:r>
        <w:rPr>
          <w:rFonts w:ascii="Times New Roman;Times;serif" w:hAnsi="Times New Roman;Times;serif"/>
          <w:color w:val="000000"/>
          <w:sz w:val="20"/>
        </w:rPr>
        <w:t xml:space="preserve">” for more information.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Intellectual Property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may be unable to sufficiently protect the IP rights of itself and the Innventure Companies and may encounter disputes from time to time relating to its use of the IP of third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or the Innventure Companies also may encounter disputes from time to time concerning IP rights of others, and it may not prevail in these disputes. Third parties may raise claims against Innventure alleging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57508x2_424b3_106-risk_pg16"/>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 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Risk Factors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U.S. or foreign trade policies, including additional tariffs or global trade conflicts, may adversely impact our business and operating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57508x2_424b3_106-risk_pg17"/>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 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the Innventure Companies, and their MNC partners face risks and uncertainties related to litigation, regulatory actions and investigations.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Cyber-attacks or a failure in Innventure’s information technology and data security infrastructure could adversely affect Innventure’s business and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may face particular data protection and privacy risks in connection with the European Union’s Global Data Protection Regulation, the California Consumer Privacy Act and other privacy laws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57508x2_424b3_106-risk_pg18"/>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artificial intelligence (“AI”) systems. The changes introduced by these 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AI technologies could present business, compliance and reputational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Expectations relating to ESG considerations expose Innventure to potential liabilities, increased costs, reputational harm and other adverse effects on Innventure’s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governments, regulators, investors, employees, customers and other stakeholders are increasingly focused on environmental, social and governance (“ESG”) and sustainability considerations relating to businesses, including climate change and greenhouse gas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 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57508x2_424b3_106-risk_pg19"/>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Climate change, or legal, regulatory or market measures to address climate change may materially adversely affect Innventure’s financial condition and business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could adversely affect Innventure and the Innventure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 For example, the Organisation for Economic Cooperation and Development (the “OECD”) has introduced a global minimum tax framework (“Pillar Two”) that establishes a global minimum tax rate of 15%, such that multinational enterprises with an effective tax rate in a jurisdiction below this minimum rate will need to pay additional tax. Several countries have enacted legislation to implement the OECD’s Pillar Two global minimum tax framework, and additional countries are expected to do so in the near future. On June 28, 2025, the G7 released a joint statement announcing an understanding regarding a proposed “side-by-side” solution that would exempt U.S.-parented multinational businesses from certain provisions of Pillar Two; however, no agreement regarding implementation of the proposal has yet been reached. The implementation of these rules could increase our effective tax rate and result in additional tax compliance obligations.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57508x2_424b3_107-use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UOP"/>
      <w:bookmarkEnd w:id="45"/>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receive any of the proceeds from such sales of the shares of our Common Stock by the Selling Stockholders. However, we may receive (i) up to approximately $67.0 million in remaining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We will bear all costs, expenses and fees in connection with the registration of our Common Stock. The Selling Stockholders will bear all commissions, discounts and certain other limited expenses, if any, attributable to its sales of our Common Stock.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receive any proceeds from the exercise of Series A Warrants on a cashless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inform you otherwise in a prospectus supplement or free writing prospectus, we intend to use the net proceeds from the issuance of shares to Yorkville pursuant to the SEPA and from the exercise of the Series A Warrants for general corporate purposes, which may include acquisitions or other strategic investments or repayment of outstanding indebtedness, subject to certain conditions and restrictions in the Purchase Agreements relating to the access and use of proceeds from issuances pursuant to the SEPA.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57508x2_424b3_108-mda_pg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7" w:name="tMDA"/>
      <w:bookmarkEnd w:id="47"/>
      <w:r>
        <w:rPr>
          <w:rFonts w:ascii="Times New Roman;Times;serif" w:hAnsi="Times New Roman;Times;serif"/>
          <w:b/>
          <w:color w:val="000000"/>
          <w:sz w:val="20"/>
        </w:rPr>
        <w:t>MANAGEMENT’S DISCUSSION AND ANALYSIS OF FINANCIAL CONDITION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the section entitled “</w:t>
      </w:r>
      <w:r>
        <w:rPr>
          <w:rFonts w:ascii="Times New Roman;Times;serif" w:hAnsi="Times New Roman;Times;serif"/>
          <w:i/>
          <w:color w:val="000000"/>
          <w:sz w:val="20"/>
        </w:rPr>
        <w:t>Business</w:t>
      </w:r>
      <w:r>
        <w:rPr>
          <w:rFonts w:ascii="Times New Roman;Times;serif" w:hAnsi="Times New Roman;Times;serif"/>
          <w:color w:val="000000"/>
          <w:sz w:val="20"/>
        </w:rPr>
        <w:t xml:space="preserve">” elsewhere in this prospectus for a detailed discussion of our business activities.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Segments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allocation of resources and assessment of financial performance by our Chief Executive Officer (“CEO”) (who has been determined to be our Chief Operating Decision Maker), we have identified one reportable segment: Technology (the “Technology segment”). The Company’s remaining operations are not reportable segments and are classified as “Other”. “Other” primarily includes the Company’s remaining operations consisting of Innventure’s original platform business, service activities, Refinity and equity method investment activities.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Business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Closing Date, Learn CW and Innventure LLC consummated the Business Combination pursuant to the terms of the Business Combination Agreement previously entered into on October 24, 2023. Following the Closing, both Learn CW and Innventure LLC became subsidiaries of HoldCo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results of consolidated operations and financial position may not be comparable to historical results as a result of the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57508x2_424b3_108-mda_pg2"/>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for the six months ended June 30, 2025 (Successor) and three and six months ended June 30, 2024 (Predecessor) (in thousands, except as otherwise noted)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reflect the application of different bases of accounting as a result of the Business Combination, the tables provided below separate the Company’s results via a black line into two distinct periods as follows: (1) six months ended June 30, 2024 (labeled “Predecessor”) and (2) six months ended June 30, 2025 (labeled “Successor”). </w:t>
      </w:r>
    </w:p>
    <w:tbl>
      <w:tblPr>
        <w:tblW w:w="10205" w:type="dxa"/>
        <w:jc w:val="left"/>
        <w:tblInd w:w="0" w:type="dxa"/>
        <w:tblLayout w:type="fixed"/>
        <w:tblCellMar>
          <w:top w:w="0" w:type="dxa"/>
          <w:left w:w="0" w:type="dxa"/>
          <w:bottom w:w="0" w:type="dxa"/>
          <w:right w:w="0" w:type="dxa"/>
        </w:tblCellMar>
      </w:tblPr>
      <w:tblGrid>
        <w:gridCol w:w="5160"/>
        <w:gridCol w:w="140"/>
        <w:gridCol w:w="140"/>
        <w:gridCol w:w="1085"/>
        <w:gridCol w:w="140"/>
        <w:gridCol w:w="140"/>
        <w:gridCol w:w="1092"/>
        <w:gridCol w:w="140"/>
        <w:gridCol w:w="140"/>
        <w:gridCol w:w="892"/>
        <w:gridCol w:w="140"/>
        <w:gridCol w:w="140"/>
        <w:gridCol w:w="856"/>
      </w:tblGrid>
      <w:tr>
        <w:trPr/>
        <w:tc>
          <w:tcPr>
            <w:tcW w:w="5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pPr>
            <w:r>
              <w:rPr/>
              <w:t>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color w:val="000000"/>
              </w:rPr>
            </w:pPr>
            <w:r>
              <w:rPr>
                <w:color w:val="000000"/>
              </w:rPr>
              <w:t>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38,245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16,283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134.9%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4,304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2,549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12,321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258.9%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404,472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382,207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1,716.6</w:t>
            </w:r>
            <w:r>
              <w:rPr>
                <w:rFonts w:ascii="Times New Roman;Times;serif" w:hAnsi="Times New Roman;Times;serif"/>
                <w:b/>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(403,772)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(21,818)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(381,954)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1,750.6%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Non-operating (Expense) and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834.2%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gain (loss) on investments –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(5,038.3)%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(1,207.1)% </w:t>
            </w:r>
          </w:p>
        </w:tc>
      </w:tr>
      <w:tr>
        <w:trPr/>
        <w:tc>
          <w:tcPr>
            <w:tcW w:w="516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5,204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2,978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74.7%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(376,109)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1,996.3% </w:t>
            </w:r>
          </w:p>
        </w:tc>
      </w:tr>
      <w:tr>
        <w:trPr/>
        <w:tc>
          <w:tcPr>
            <w:tcW w:w="516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(161,392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2,548.4</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(227,224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(12,507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(214,717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1,716.8</w:t>
            </w:r>
            <w:r>
              <w:rPr>
                <w:rFonts w:ascii="Times New Roman;Times;serif" w:hAnsi="Times New Roman;Times;serif"/>
                <w:b/>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comprehensive income,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 sale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realized gain on conversion of available for sale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(1,507</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(1,507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nm</w:t>
            </w:r>
            <w:r>
              <w:rPr>
                <w:rFonts w:ascii="Times New Roman;Times;serif" w:hAnsi="Times New Roman;Times;serif"/>
                <w:b/>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(397,147)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(378,307)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2,008.0% </w:t>
            </w:r>
          </w:p>
        </w:tc>
      </w:tr>
      <w:tr>
        <w:trPr/>
        <w:tc>
          <w:tcPr>
            <w:tcW w:w="516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(161,392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2,548.4</w:t>
            </w:r>
            <w:r>
              <w:rPr>
                <w:rFonts w:ascii="Times New Roman;Times;serif" w:hAnsi="Times New Roman;Times;serif"/>
                <w:color w:val="000000"/>
                <w:sz w:val="20"/>
              </w:rPr>
              <w:t xml:space="preserve">% </w:t>
            </w:r>
          </w:p>
        </w:tc>
      </w:tr>
      <w:tr>
        <w:trPr/>
        <w:tc>
          <w:tcPr>
            <w:tcW w:w="516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$(229,422</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$(12,507</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$(216,915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1,734.3</w:t>
            </w:r>
            <w:r>
              <w:rPr>
                <w:rFonts w:ascii="Times New Roman;Times;serif" w:hAnsi="Times New Roman;Times;serif"/>
                <w:b/>
                <w:color w:val="000000"/>
                <w:sz w:val="20"/>
              </w:rPr>
              <w:t>%</w:t>
            </w:r>
          </w:p>
        </w:tc>
      </w:tr>
      <w:tr>
        <w:trPr/>
        <w:tc>
          <w:tcPr>
            <w:tcW w:w="5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not meaningful</w:t>
            </w:r>
            <w:r>
              <w:rPr>
                <w:rFonts w:ascii="Times New Roman;Times;serif" w:hAnsi="Times New Roman;Times;serif"/>
                <w:color w:val="000000"/>
                <w:sz w:val="16"/>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57508x2_424b3_108-mda_pg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 was $700 for the six months ended June 30, 2025 (Successor) and $447 for the six months ended June 30, 2024 (Predecessor), an increase of $253, or 56.6%. Management fee revenues were consistent period over period, with the increase driven by $255 of product sales in the Technology segment.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sales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Cost of sales was $3,045 for the six months ended June 30, 2025 (Successor) and nil for the six months ended June 30, 2024 (Predecessor), an increase of $3,045. The increase relates to the generation of revenue at the Technology segment resulting in an increase in amortization of intangible assets of $1,612, employee costs of $987 and costs related to material costs and supplies amounting to $631.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 was $38,245 for the six months ended June 30, 2025 (Successor) and $16,283 for the six months ended June 30, 2024 (Predecessor), an increase of $21,962, or 134.9%. The increase in expenditure was attributed to increased stock-based compensation costs of $14,324, increased intangible asset amortization of $2,902 and increased professional and legal fees of $2,800.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Sales and marketing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and marketing expense was $4,304 for the six months ended June 30, 2025 (Successor) and $2,549 for the six months ended June 30, 2024 (Predecessor), an increase of $1,755, or 68.9%. The increase was due to increased employee costs of $1,076 and increased advertising and marketing-related events and expenses associated with the commercialization phase of the Technology segment of $675.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 was $12,321 for the six months ended June 30, 2025 (Successor) and $3,433 for the six months ended June 30, 2024 (Predecessor), an increase of $8,888, or 258.9%. The increase was due to amortization of intangible assets of $6,289, an increase in employee costs of $1,531, and an increase in supplies and materials samples expenses of $1,100.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Goodwill impairment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Goodwill impairment, was $346,557 for the six months ended June 30, 2025 (Successor) and nil for the six months ended June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The Company’s stock price had not yet recovered as of June 30, 2025.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expense, 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net was $4,185 for the six months ended June 30, 2025 (Successor) and $448 for the six months ended June 30, 2024 (Predecessor), an increase of $3,737, or 834.2%. The increase was due to amortization of issuance costs on the convertible debentures (“Existing Convertible Debentures”) with an aggregate principal amount of up to $30,000 issued and sold pursuant to the Existing Debenture Agreement that the Company entered into with a third party on March 25, 2025 of $1,701, an increase in contractual interest expense for the term loan entered into on October 22, 2024 by and among the Company and WTI Fund X, Inc. and WTI Fund XI, Inc., (collectively, “WTI Lenders”), which provides for a term loan facility in the aggregate principal amount of up to $50,000 (the “WTI Facility”), of $1,358, amortization of issuance costs on the WTI Facility of $856, partially offset by a decrease in interest expense of $134 related to convertible promissory notes that were converted in March 2024.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gain (loss) on investments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gain on investments was nil for the six months ended June 30, 2025 (Successor) and $4,399 for the six months ended June 30, 2024 (Predecessor), a decrease of $4,399. The decrease was due to the gain on investment in PureCycle Technologies, Inc. (“PCT”) owned stock via Class PCTA units during the six months ended June 30, 2024 (Predecessor), which is no longer consolidated in the Company’s condensed consolidated financial statements as a result of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57508x2_424b3_108-mda_pg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gain (loss) on investments – due to related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loss on investments – due to related parties was nil for the six months ended June 30, 2025 (Successor) and $160 for the six months ended June 30, 2024 (Predecessor), a decrease of $160. The decrease was due to an increase in the fair value of the liability of PCT stock owed to other parties for the six months ended June 30, 2024 (Predecessor). The Class PCTA associated liabilities are no longer consolidated in the Company’s condensed consolidated financial statements as a result of the Business Combination.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 in fair value of financial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financial liabilities decreased by $23,605 for the six months ended June 30, 2025 (Successor) and increased by $478 for the six months ended June 30, 2024 (Predecessor), an increase to income of $24,083, or 5,038.3%. The increase to income was due to decreases in fair value for warrants of $14,117 and earnout liabilities of $9,509.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method investment (loss)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Equity method investment loss was $8,680 for the six months ended June 30, 2025 (Successor) and equity method investment gain was $784 for the six months ended June 30, 2024 (Predecessor), a change of $9,464, or 1,207.1%. The loss during the six months ended June 30, 2025 (Successor) is related to losses from the Company’s equity method investment in AeroFlexx of $8,611. The gain during the six months ended June 30, 2024 (Predecessor) was due to an allocated gain from the Innventus ESG Fund I, L.P. (the “ESG Fund”) ESG Fund of $1,342 offset by an allocated loss from investment in AeroFlexx of $559.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Realized gain on conversion of available for sale investment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Realized gain on conversion of available for sale investment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on extinguishment of related party debt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on extinguishment of related party debt was $3,538 for the six months ended June 30, 2025 (Successor) and nil for the six months ended June 30, 2024 (Predecessor), an increase of $3,538. The increase was due to the extinguishment of the related party loans by additional issuances of Series C Preferred Stock (as defined below) during the six months ended June 30, 2025 (Successor). There was no gain or loss on extinguishment of related party debt for the six months ended June 30, 2024 (Predecessor).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on extinguishment of debt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on extinguishment of debt was $3,462 for the six months ended June 30, 2025 (Successor) and nil for the six months ended June 30, 2024 (Predecessor), an increase of $3,462. The increase was due to the modification of the WTI Facility in connection with the issuance of the first tranche of the Existing Convertible Debentures to Yorkville (as defined below), which was accounted for as an extinguishment though the WTI Facility remains outstanding. During the six months ended June 30,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WTI Fund X, LLC and WTI Fund XI, LLC (the “WTI Holders”). Each of the 2025 WTI Warrants is exercisable through March 31, 2035. The 2025 WTI Warrants were issued to the WTI Holders as consideration for the WTI Holders and other parties entering into a consent with the Company and Innventure LLC (the “Consent”) in connection with the issuance of the first tranche of the Existing Convertible Debentures to Yorkville under the Existing Debenture Agreement. The 2025 WTI Warrants are subject to certain future adjustments in accordance with the terms of the 2025 WTI Warrants. There was no gain or loss on extinguishment of debt for the six months ended June 30, 2024 (Predecessor).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on conversion of promissory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on conversion of promissory notes was nil for the six months ended June 30, 2025 (Successor) and $1,119 for the six months ended June 30, 2024 (Predecessor), a decrease of $1,119. This was due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57508x2_424b3_108-mda_pg5"/>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automatic conversion of promissory notes during the six months ended June 30, 2024 (Predecessor) into equity instruments which was treated as an extinguishment thereby generating a loss. There was no equivalent transaction for the six months ended June 30, 2025 (Successor).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Unrealized gain (loss) on available for sale debt securities - related 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Unrealized loss on available for sale debt securities - related party was $691 for the six months ended June 30, 2025 (Successor) and nil for the six months ended June 30, 2024 (Predecessor), a decrease of $691. The decrease was due to the fair value adjustment to investments in debt securities which are classified as available for sale.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Reclassification of realized gain on conversion of available for sale investments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Reclassification of realized gain on conversion of available for sale investments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attributable to Non-redeemable non-controlling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attributable to non-redeemable non-controlling interests was $167,725 for the six months ended June 30, 2025 (Successor) and $6,333 for the six months ended June 30, 2024 (Predecessor), an increase of $161,392, or 2,548.4%. This was due to the increase in the Technology segment net loss as a result of goodwill impairment during the six months ended June 30, 2025 (Successor) as compared to the six months ended June 30, 2024 (Predecessor).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Non-GAAP Financial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use certain financial measures that are not calculated in accordance with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57508x2_424b3_108-mda_pg6"/>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reconciliation from Net Loss to EBITDA and Adjusted EBITDA for the specified periods: </w:t>
      </w:r>
    </w:p>
    <w:tbl>
      <w:tblPr>
        <w:tblW w:w="9365" w:type="dxa"/>
        <w:jc w:val="left"/>
        <w:tblInd w:w="0" w:type="dxa"/>
        <w:tblLayout w:type="fixed"/>
        <w:tblCellMar>
          <w:top w:w="0" w:type="dxa"/>
          <w:left w:w="0" w:type="dxa"/>
          <w:bottom w:w="0" w:type="dxa"/>
          <w:right w:w="0" w:type="dxa"/>
        </w:tblCellMar>
      </w:tblPr>
      <w:tblGrid>
        <w:gridCol w:w="3890"/>
        <w:gridCol w:w="140"/>
        <w:gridCol w:w="140"/>
        <w:gridCol w:w="1085"/>
        <w:gridCol w:w="140"/>
        <w:gridCol w:w="140"/>
        <w:gridCol w:w="1085"/>
        <w:gridCol w:w="140"/>
        <w:gridCol w:w="140"/>
        <w:gridCol w:w="1085"/>
        <w:gridCol w:w="140"/>
        <w:gridCol w:w="140"/>
        <w:gridCol w:w="1100"/>
      </w:tblGrid>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$(141,275)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$(18,840) </w:t>
            </w:r>
          </w:p>
        </w:tc>
      </w:tr>
      <w:tr>
        <w:trPr/>
        <w:tc>
          <w:tcPr>
            <w:tcW w:w="3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2,647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448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5,634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11,182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(2,220</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(135,214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(11,207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(383,201</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(18,323</w:t>
            </w:r>
            <w:r>
              <w:rPr>
                <w:rFonts w:ascii="Times New Roman;Times;serif" w:hAnsi="Times New Roman;Times;serif"/>
                <w:b/>
                <w:color w:val="000000"/>
                <w:sz w:val="20"/>
              </w:rPr>
              <w:t xml:space="preserve">) </w:t>
            </w:r>
          </w:p>
        </w:tc>
      </w:tr>
      <w:tr>
        <w:trPr/>
        <w:tc>
          <w:tcPr>
            <w:tcW w:w="3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other related costs(2)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2,769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6,041 </w:t>
            </w:r>
          </w:p>
        </w:tc>
      </w:tr>
      <w:tr>
        <w:trPr/>
        <w:tc>
          <w:tcPr>
            <w:tcW w:w="38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(7,176)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 </w:t>
            </w:r>
          </w:p>
        </w:tc>
      </w:tr>
      <w:tr>
        <w:trPr/>
        <w:tc>
          <w:tcPr>
            <w:tcW w:w="3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9,406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15,247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 </w:t>
            </w:r>
          </w:p>
        </w:tc>
      </w:tr>
      <w:tr>
        <w:trPr/>
        <w:tc>
          <w:tcPr>
            <w:tcW w:w="38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113,344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3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38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$(16,178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$(8,145</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$(38,002</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$(9,996</w:t>
            </w:r>
            <w:r>
              <w:rPr>
                <w:rFonts w:ascii="Times New Roman;Times;serif" w:hAnsi="Times New Roman;Times;serif"/>
                <w:b/>
                <w:color w:val="000000"/>
                <w:sz w:val="20"/>
              </w:rPr>
              <w:t>)</w:t>
            </w:r>
          </w:p>
        </w:tc>
      </w:tr>
      <w:tr>
        <w:trPr/>
        <w:tc>
          <w:tcPr>
            <w:tcW w:w="3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tbl>
      <w:tblPr>
        <w:tblW w:w="9070" w:type="dxa"/>
        <w:jc w:val="left"/>
        <w:tblInd w:w="0" w:type="dxa"/>
        <w:tblLayout w:type="fixed"/>
        <w:tblCellMar>
          <w:top w:w="0" w:type="dxa"/>
          <w:left w:w="0" w:type="dxa"/>
          <w:bottom w:w="0" w:type="dxa"/>
          <w:right w:w="0" w:type="dxa"/>
        </w:tblCellMar>
      </w:tblPr>
      <w:tblGrid>
        <w:gridCol w:w="230"/>
        <w:gridCol w:w="88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8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net, includes interest incurred on our various borrowing facilities and the amortization of debt issuance costs.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Transaction and other related costs – For the three and six months ended June 30, 2024 (Predecessor), this is comprised of consulting, legal, and other professional fees related to the Business Combination.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Change in fair value of financial liabilities – For the three and six months ended June 30, 2025 (Successor), the change in fair value of financial liabilities primarily consists of the change in fair value of the warrant liability and the earnout liability. For the three and six months ended June 30, 2024 (Predecessor), this is comprised entirely of the change in fair value of the embedded derivative associated with the convertible notes.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based compensation – For the three and six months ended June 30, 2025 (Successor), stock based compensation primarily consisted of awards in the 2024 Equity and Incentive Plan entered into on October 2, 2024 subsequent to the Business Combination. These awards consisted of Stock Options, Restricted Stock Units (“RSUs”), and Stock Appreciation Rights. Further, a portion of this expense was related to share-based payment employee incentive plans in existence at Innventure LLC and other subsidiaries. Additional Stock Options were granted in February 2025 and additional RSUs were granted in June 2025 which are included in the stock-based compensation caption for their respective periods. For the three and six months ended June 30, 2024 (Predecessor), stock-based compensation was comprised wholly of share-based payment employee incentive plans in existence at Innventure LLC and other subsidiaries.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Goodwill impairment - For the three and six months ended June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There was no similar goodwill impairment charge for the three and six months ended June 30, 2024 (Predecessor).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debt - For the three and six months ended June 30, 2025 (Successor), the Company modified the WTI Facility, and such modification was accounted for as a debt extinguishment while no debt was repaid. There was no loss on extinguishment of debt for the three and six months ended June 30, 2024 (Predecessor).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related party debt - For the three and six months ended June 30, 2025 (Successor), the Company extinguished certain related party debts by issuing Series C Preferred Stock. There was no loss on extinguishment of related party debt for the three and six months ended June 30, 2024 (Predecessor).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for the Years Ended December 31, 2024 and 2023 (in thousands, except as otherwise noted)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57508x2_424b3_108-mda_pg7"/>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 </w:t>
      </w:r>
    </w:p>
    <w:tbl>
      <w:tblPr>
        <w:tblW w:w="10205" w:type="dxa"/>
        <w:jc w:val="left"/>
        <w:tblInd w:w="0" w:type="dxa"/>
        <w:tblLayout w:type="fixed"/>
        <w:tblCellMar>
          <w:top w:w="0" w:type="dxa"/>
          <w:left w:w="0" w:type="dxa"/>
          <w:bottom w:w="0" w:type="dxa"/>
          <w:right w:w="0" w:type="dxa"/>
        </w:tblCellMar>
      </w:tblPr>
      <w:tblGrid>
        <w:gridCol w:w="3136"/>
        <w:gridCol w:w="140"/>
        <w:gridCol w:w="140"/>
        <w:gridCol w:w="994"/>
        <w:gridCol w:w="140"/>
        <w:gridCol w:w="140"/>
        <w:gridCol w:w="899"/>
        <w:gridCol w:w="140"/>
        <w:gridCol w:w="140"/>
        <w:gridCol w:w="1003"/>
        <w:gridCol w:w="140"/>
        <w:gridCol w:w="140"/>
        <w:gridCol w:w="994"/>
        <w:gridCol w:w="140"/>
        <w:gridCol w:w="140"/>
        <w:gridCol w:w="669"/>
        <w:gridCol w:w="140"/>
        <w:gridCol w:w="140"/>
        <w:gridCol w:w="830"/>
      </w:tblGrid>
      <w:tr>
        <w:trPr/>
        <w:tc>
          <w:tcPr>
            <w:tcW w:w="3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vAlign w:val="center"/>
          </w:tcPr>
          <w:p>
            <w:pPr>
              <w:pStyle w:val="TableContents"/>
              <w:bidi w:val="0"/>
              <w:spacing w:before="0" w:after="0"/>
              <w:jc w:val="left"/>
              <w:rPr/>
            </w:pPr>
            <w:r>
              <w:rPr/>
              <w:t>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Non-GAAP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vs 2023 Changes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3,752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4,529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4,529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29,652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26,608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56,260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17,589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38,671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4,178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6,187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93.0%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182.9</w:t>
            </w:r>
            <w:r>
              <w:rPr>
                <w:rFonts w:ascii="Times New Roman;Times;serif" w:hAnsi="Times New Roman;Times;serif"/>
                <w:color w:val="000000"/>
                <w:sz w:val="20"/>
              </w:rPr>
              <w:t xml:space="preserve">%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40,753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37,541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78,294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24,795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215.8</w:t>
            </w:r>
            <w:r>
              <w:rPr>
                <w:rFonts w:ascii="Times New Roman;Times;serif" w:hAnsi="Times New Roman;Times;serif"/>
                <w:b/>
                <w:color w:val="000000"/>
                <w:sz w:val="20"/>
              </w:rPr>
              <w:t xml:space="preserve">% </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(40,297)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(36,777)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(77,074)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(23,678)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(53,396)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225.5%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Non-operating (Expense) and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(1,132)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98.7%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from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17,995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279.1%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(loss) gain on investments - due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(301.7)% </w:t>
            </w:r>
          </w:p>
        </w:tc>
      </w:tr>
      <w:tr>
        <w:trPr/>
        <w:tc>
          <w:tcPr>
            <w:tcW w:w="313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(22,190)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(2,896.9)%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623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 </w:t>
            </w:r>
          </w:p>
        </w:tc>
      </w:tr>
      <w:tr>
        <w:trPr/>
        <w:tc>
          <w:tcPr>
            <w:tcW w:w="313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313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(33,078)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9,011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(24,067)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(7,306)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(16,761)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229.4%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(3,282</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$(98,291)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(67,307)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217.2% </w:t>
            </w:r>
          </w:p>
        </w:tc>
      </w:tr>
      <w:tr>
        <w:trPr/>
        <w:tc>
          <w:tcPr>
            <w:tcW w:w="313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(8,339)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$(20,101)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(19,962)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14,361.2% </w:t>
            </w:r>
          </w:p>
        </w:tc>
      </w:tr>
      <w:tr>
        <w:trPr/>
        <w:tc>
          <w:tcPr>
            <w:tcW w:w="313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(61,754</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(16,436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(78,190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(30,845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(47,345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153.5</w:t>
            </w:r>
            <w:r>
              <w:rPr>
                <w:rFonts w:ascii="Times New Roman;Times;serif" w:hAnsi="Times New Roman;Times;serif"/>
                <w:b/>
                <w:color w:val="000000"/>
                <w:sz w:val="20"/>
              </w:rPr>
              <w:t xml:space="preserve">% </w:t>
            </w:r>
          </w:p>
        </w:tc>
      </w:tr>
      <w:tr>
        <w:trPr/>
        <w:tc>
          <w:tcPr>
            <w:tcW w:w="3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57508x2_424b3_108-mda_pg8"/>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78"/>
        <w:gridCol w:w="140"/>
        <w:gridCol w:w="140"/>
        <w:gridCol w:w="988"/>
        <w:gridCol w:w="140"/>
        <w:gridCol w:w="140"/>
        <w:gridCol w:w="894"/>
        <w:gridCol w:w="140"/>
        <w:gridCol w:w="140"/>
        <w:gridCol w:w="996"/>
        <w:gridCol w:w="140"/>
        <w:gridCol w:w="140"/>
        <w:gridCol w:w="988"/>
        <w:gridCol w:w="140"/>
        <w:gridCol w:w="140"/>
        <w:gridCol w:w="665"/>
        <w:gridCol w:w="140"/>
        <w:gridCol w:w="140"/>
        <w:gridCol w:w="816"/>
      </w:tblGrid>
      <w:tr>
        <w:trPr/>
        <w:tc>
          <w:tcPr>
            <w:tcW w:w="3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vAlign w:val="center"/>
          </w:tcPr>
          <w:p>
            <w:pPr>
              <w:pStyle w:val="TableContents"/>
              <w:bidi w:val="0"/>
              <w:spacing w:before="0" w:after="0"/>
              <w:jc w:val="left"/>
              <w:rPr/>
            </w:pPr>
            <w:r>
              <w:rPr/>
              <w:t>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Non-GAAP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vs 2023 Changes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0"/>
              <w:jc w:val="center"/>
              <w:rPr>
                <w:color w:val="000000"/>
              </w:rPr>
            </w:pPr>
            <w:r>
              <w:rPr>
                <w:color w:val="000000"/>
              </w:rPr>
              <w:t> </w:t>
            </w:r>
          </w:p>
        </w:tc>
      </w:tr>
      <w:tr>
        <w:trPr/>
        <w:tc>
          <w:tcPr>
            <w:tcW w:w="31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available-for-sale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nil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other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nil </w:t>
            </w:r>
          </w:p>
        </w:tc>
      </w:tr>
      <w:tr>
        <w:trPr/>
        <w:tc>
          <w:tcPr>
            <w:tcW w:w="3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(69,184)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(28,136)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(97,320)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both"/>
              <w:rPr>
                <w:rFonts w:ascii="Times New Roman;Times;serif" w:hAnsi="Times New Roman;Times;serif"/>
                <w:b/>
                <w:color w:val="000000"/>
                <w:sz w:val="20"/>
              </w:rPr>
            </w:pPr>
            <w:r>
              <w:rPr>
                <w:rFonts w:ascii="Times New Roman;Times;serif" w:hAnsi="Times New Roman;Times;serif"/>
                <w:b/>
                <w:color w:val="000000"/>
                <w:sz w:val="20"/>
              </w:rPr>
              <w:t>(66,336)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214.1%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income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(8,339</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(20,101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1"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(19,962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14,361.2</w:t>
            </w:r>
            <w:r>
              <w:rPr>
                <w:rFonts w:ascii="Times New Roman;Times;serif" w:hAnsi="Times New Roman;Times;serif"/>
                <w:color w:val="000000"/>
                <w:sz w:val="20"/>
              </w:rPr>
              <w:t xml:space="preserve">% </w:t>
            </w:r>
          </w:p>
        </w:tc>
      </w:tr>
      <w:tr>
        <w:trPr/>
        <w:tc>
          <w:tcPr>
            <w:tcW w:w="3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(60,845</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(16,374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(77,219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(30,845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(46,374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150.3</w:t>
            </w:r>
            <w:r>
              <w:rPr>
                <w:rFonts w:ascii="Times New Roman;Times;serif" w:hAnsi="Times New Roman;Times;serif"/>
                <w:b/>
                <w:color w:val="000000"/>
                <w:sz w:val="20"/>
              </w:rPr>
              <w:t>%</w:t>
            </w:r>
          </w:p>
        </w:tc>
      </w:tr>
      <w:tr>
        <w:trPr/>
        <w:tc>
          <w:tcPr>
            <w:tcW w:w="3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left"/>
              <w:rPr/>
            </w:pPr>
            <w:r>
              <w:rPr/>
              <w:t> </w:t>
            </w:r>
          </w:p>
        </w:tc>
      </w:tr>
    </w:tbl>
    <w:tbl>
      <w:tblPr>
        <w:tblW w:w="1240" w:type="dxa"/>
        <w:jc w:val="left"/>
        <w:tblInd w:w="0" w:type="dxa"/>
        <w:tblLayout w:type="fixed"/>
        <w:tblCellMar>
          <w:top w:w="0" w:type="dxa"/>
          <w:left w:w="0" w:type="dxa"/>
          <w:bottom w:w="0" w:type="dxa"/>
          <w:right w:w="0" w:type="dxa"/>
        </w:tblCellMar>
      </w:tblPr>
      <w:tblGrid>
        <w:gridCol w:w="110"/>
        <w:gridCol w:w="113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not meaningful </w:t>
            </w:r>
          </w:p>
        </w:tc>
      </w:tr>
    </w:tbl>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 was $456 for the Successor period from October 2, 2024 through December 31, 2024, $764 for Predecessor period from January 1, 2024 through October 1, 2024 and $1,117 for the Predecessor year ended December 31, 2023. Revenue for the combined twelve months ended December 31, 2024 was $1,220, an increase of $103,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sales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57508x2_424b3_108-mda_pg9"/>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an increase in professional services, legal fees and consulting fees related to the Business Combination of $17,600. The remaining increase in expenditure was due to increased employee costs associated with increased bonuses and stock based compensation grants.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Sales and marketing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(“R&amp;D”) expense was $5,340 for the Successor period from October 2, 2024 through December 31, 2024, $5,978 for Predecessor period from January 1, 2024 through October 1, 2024 and $4,001 for the Predecessor year ended December 31, 2023. R&amp;D expense for the combined twelve months ended December 31, 2024 was $11,318, an increase of $7,317, or 182.9%, over the comparable period for the Predecessor year ended December 31, 2023. The increase was primarily due to an increase in employee-related costs in the Technology segment and an increase in new product development costs.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expense, 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net was $1,132 for the Successor period from October 2, 2024 through December 31, 2024, $1,300 for Predecessor period from January 1, 2024 through October 1, 2024 and $1,224 for the Predecessor year ended 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gain (loss) from investments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gain on investments was nil for the Successor period from October 2, 2024 through December 31, 2024, $11,547 for Predecessor period from January 1, 2024 through October 1, 2024 and net loss on investments was $6,448 for the Predecessor year ended December 31, 2023. Net gain on investments for the combined twelve months ended December 31, 2024 was $11,547, an increase of $17,995, or 279.1%, over the comparable period for the Predecessor year ended December 31, 2023. The increase was due to the unrealized gain on investment in PCT owned stock via Class PCTA Units (as defined below) for the year ended December 31, 2024. The PCTA associated assets were not recognized as part of the Business Combination.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(loss) gain on investments - due to related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 in fair value of financial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57508x2_424b3_108-mda_pg10"/>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method investment (loss)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on conversion of promissory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Write-off of loan commitment fee asset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 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Loss attributable to non-redeemable non-controlling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Loss attributable to non-redeemable non-controlling interests was $8,339 for the Successor period from October 2, 2024 through December 31, 2024, $11,762 for Predecessor period January 1, 2024 through October 1, 2024 and $139 for the Predecessor year ended December 31, 2023. Loss attributable to non-redeemable non-controlling interests for the combined twelve months ended December 31, 2024 was $20,101, an increase of $19,962, or 14,361.2%, over the comparable period for the Predecessor year ended December 31, 2023. This was due to the increase in Accelsius loss subject to allocable percentage during the year ended December 31, 2024 as compared to the year ended December 31, 2023.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Unrealized gain on available-for-sale debt securities - related 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Non-GAAP Financial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noted above, 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57508x2_424b3_108-mda_pg1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reconciliation from Net Loss to EBITDA and Adjusted EBITDA for the specified periods: </w:t>
      </w:r>
    </w:p>
    <w:tbl>
      <w:tblPr>
        <w:tblW w:w="9095" w:type="dxa"/>
        <w:jc w:val="left"/>
        <w:tblInd w:w="0" w:type="dxa"/>
        <w:tblLayout w:type="fixed"/>
        <w:tblCellMar>
          <w:top w:w="0" w:type="dxa"/>
          <w:left w:w="0" w:type="dxa"/>
          <w:bottom w:w="0" w:type="dxa"/>
          <w:right w:w="0" w:type="dxa"/>
        </w:tblCellMar>
      </w:tblPr>
      <w:tblGrid>
        <w:gridCol w:w="3710"/>
        <w:gridCol w:w="140"/>
        <w:gridCol w:w="140"/>
        <w:gridCol w:w="1055"/>
        <w:gridCol w:w="140"/>
        <w:gridCol w:w="140"/>
        <w:gridCol w:w="1055"/>
        <w:gridCol w:w="140"/>
        <w:gridCol w:w="140"/>
        <w:gridCol w:w="1085"/>
        <w:gridCol w:w="140"/>
        <w:gridCol w:w="140"/>
        <w:gridCol w:w="1070"/>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(70,093)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(28,198)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(98,291)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37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11,173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12,473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5,455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5,601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 xml:space="preserve">—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(50,183</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(27,184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(77,367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(29,752</w:t>
            </w:r>
            <w:r>
              <w:rPr>
                <w:rFonts w:ascii="Times New Roman;Times;serif" w:hAnsi="Times New Roman;Times;serif"/>
                <w:color w:val="000000"/>
                <w:sz w:val="20"/>
              </w:rPr>
              <w:t xml:space="preserve">) </w:t>
            </w:r>
          </w:p>
        </w:tc>
      </w:tr>
      <w:tr>
        <w:trPr/>
        <w:tc>
          <w:tcPr>
            <w:tcW w:w="37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other related costs(2)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9,414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11,723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3,452 </w:t>
            </w:r>
          </w:p>
        </w:tc>
      </w:tr>
      <w:tr>
        <w:trPr/>
        <w:tc>
          <w:tcPr>
            <w:tcW w:w="37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21,424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37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based compensation(4)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16,338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910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(10,590</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(16,236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(26,826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(26,156</w:t>
            </w:r>
            <w:r>
              <w:rPr>
                <w:rFonts w:ascii="Times New Roman;Times;serif" w:hAnsi="Times New Roman;Times;serif"/>
                <w:color w:val="000000"/>
                <w:sz w:val="20"/>
              </w:rPr>
              <w:t>)</w:t>
            </w:r>
          </w:p>
        </w:tc>
      </w:tr>
      <w:tr>
        <w:trPr/>
        <w:tc>
          <w:tcPr>
            <w:tcW w:w="3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Transaction and other related costs – For the combined twelve months ended December 31, 2024 and for the Predecessor year ended December 31, 2023 this is comprised entirely of consulting, legal, and other professional fees related to the “Business Combination”.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57508x2_424b3_108-mda_pg12"/>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(in thousands, except as otherwise noted)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Sources of Liquidity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components of our liquidity as of June 30, 2025 and December 31, 2024: </w:t>
      </w:r>
    </w:p>
    <w:tbl>
      <w:tblPr>
        <w:tblW w:w="5255" w:type="dxa"/>
        <w:jc w:val="left"/>
        <w:tblInd w:w="0" w:type="dxa"/>
        <w:tblLayout w:type="fixed"/>
        <w:tblCellMar>
          <w:top w:w="0" w:type="dxa"/>
          <w:left w:w="0" w:type="dxa"/>
          <w:bottom w:w="0" w:type="dxa"/>
          <w:right w:w="0" w:type="dxa"/>
        </w:tblCellMar>
      </w:tblPr>
      <w:tblGrid>
        <w:gridCol w:w="2180"/>
        <w:gridCol w:w="140"/>
        <w:gridCol w:w="140"/>
        <w:gridCol w:w="1040"/>
        <w:gridCol w:w="140"/>
        <w:gridCol w:w="140"/>
        <w:gridCol w:w="1475"/>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11,119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Working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(51,188)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(45,061)</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satisfy our liquidity requirements through cash on hand, cash generated from the operations of our Operating Companies and the SEPA with Yorkville (maximum remaining availability of approximately $70,000 as of June 30, 2025), subject to certain conditions and limitations, as well as proceeds from additional financings completed by us or our Operating Companies. During the three and six months ended June 30, 2025 (Successor), the Technology segment raised approximately $460 and $5,610 of additional equity financing, respectively, in comparison to approximately $7,438 and $11,293 during the three and six months ended June 30, 2024 (Predecessor), respectively. </w:t>
      </w:r>
    </w:p>
    <w:p>
      <w:pPr>
        <w:pStyle w:val="TextBody"/>
        <w:bidi w:val="0"/>
        <w:spacing w:before="40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Bridge Financing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57508x2_424b3_108-mda_pg1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20, 2025, the Company entered into agreements to convert and repay the aggregate principal amount of these unsecured promissory notes with the two related parties and, on March 24, 2025, issued shares of the Company’s Series C preferred stock, par value $0.0001 per share (the “Series C Preferred Stock”) and paid cash to settle these unsecured promissory notes with the two unrelated parties. See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 xml:space="preserve"> for more information. </w:t>
      </w:r>
    </w:p>
    <w:p>
      <w:pPr>
        <w:pStyle w:val="TextBody"/>
        <w:bidi w:val="0"/>
        <w:spacing w:before="29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Series B 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25,000,000 shares of preferred stock with a par value of $0.0001 per share, of which, 3,000,000 of the shares of preferred stock are designated as Series B Preferred Stock. Series B Preferred Stock is entitled to an 8% annual rate dividend. Immediately following the Business Combination, Innventure issued 1,102,000 of Series B Preferred Stock at a purchase price of $10.00 per share (the “Original Issue Price”) for a total amount of $11,020.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See further discussion of the Series B Preferred Stock in Note 13. Stockholders’ Equity within the notes to the consolidated financial statements. </w:t>
      </w:r>
    </w:p>
    <w:p>
      <w:pPr>
        <w:pStyle w:val="TextBody"/>
        <w:bidi w:val="0"/>
        <w:spacing w:before="29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Series C 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 (the “Series C Purchasers”).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 </w:t>
      </w:r>
    </w:p>
    <w:p>
      <w:pPr>
        <w:pStyle w:val="TextBody"/>
        <w:bidi w:val="0"/>
        <w:spacing w:before="30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Standby Equity Purchase Agreement</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the SEPA with Yorkville. This agreement became effective concurrently with the Business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SEPA, the Company shall have the right, but not the obligation, to sell to Yorkville up to $75,000 of Common Stock at the Company’s request during the commitment period commencing on the Closing and continuing for a term of 3 years, subject to certain conditions and limitations. See the section entitled “</w:t>
      </w:r>
      <w:r>
        <w:rPr>
          <w:rFonts w:ascii="Times New Roman;Times;serif" w:hAnsi="Times New Roman;Times;serif"/>
          <w:i/>
          <w:color w:val="000000"/>
          <w:sz w:val="20"/>
        </w:rPr>
        <w:t>Prospectus Summary—Background—Standby Equity Purchase Agreement</w:t>
      </w:r>
      <w:r>
        <w:rPr>
          <w:rFonts w:ascii="Times New Roman;Times;serif" w:hAnsi="Times New Roman;Times;serif"/>
          <w:color w:val="000000"/>
          <w:sz w:val="20"/>
        </w:rPr>
        <w:t xml:space="preserve">”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30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Convertible Debentures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25, 2025, the Company entered into the Existing Debenture Agreement for the issuance and sale of the Existing Convertible Debentures. These Existing Convertible Debentures will be convertible into the Existing Conversion Shares. The Company issued the aggregate principal amount of Existing Convertible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57508x2_424b3_108-mda_pg1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Debentures in two tranches tied to separate reporting and filing requirements. On April 14, 2025 and May 15, 2025, the Company issued the first and second tranches of Existing Convertible Debentures with aggregate principal amounts of $20,000 and $10,000, respectively, and received gross proceeds of $18,000 and $9,000, respectively. In connection with the issuance of the Existing Convertible Debentures, also 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The 2025 WTI Warrants were issued to the WTI Holders as consideration for the WTI Holders and other parties entering into the Consent in connection with the issuance of the first tranche of Existing Convertible Debentures to Yorkville under the Existing Debenture Agreement. See further discussion in Note 21. Subsequent Events within the notes to the consolidated financial statements. </w:t>
      </w:r>
    </w:p>
    <w:p>
      <w:pPr>
        <w:pStyle w:val="TextBody"/>
        <w:bidi w:val="0"/>
        <w:spacing w:before="41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Term Convertible Notes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 Accelsius applied the proceeds from the issuance of the Term Convertible Notes to repay (together with the repayment from the proceeds of the Related Party Term Convertible Notes defined below the “Repayment”) borrowings under the Loan and Security Agreement between Innventure LLC and Accelsius, dated as of March 30, 2023 (the “Innventure Convertible Line of Credit”).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Convertible Notes, which are subordinated to the WTI Facility, are convertible at the option of the lenders, starting January 2, 2026, for all amounts due under the notes at the time of conversion, into Accelsius’ Series A Units at a price per unit equal to $12.175. The lenders will not demand payment related to this Term Convertible Notes, unless they convert the debt into equity. </w:t>
      </w:r>
    </w:p>
    <w:p>
      <w:pPr>
        <w:pStyle w:val="TextBody"/>
        <w:bidi w:val="0"/>
        <w:spacing w:before="41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Related Party Convertible Notes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the Innventure Convertible Line of Credit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 published by the Internal Revenue Service. Accelsius applied the proceeds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57508x2_424b3_108-mda_pg15"/>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issuance of the Related Party Term Convertible Notes to repay borrowings under the Innventure Convertible Line of Credit. As a result of the Repayment, the Company’s indirect beneficial holdings, through Innventure LLC, of Accelsius may be reduced in the event that the Term Convertible Notes are converted into Series A Units of Accelsius.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associated with operating, investing and financing activities for the six months ended June 30, 2025 (Successor) and six months ended June 30, 2024 (Predecessor) are summarized as follows: </w:t>
      </w:r>
    </w:p>
    <w:tbl>
      <w:tblPr>
        <w:tblW w:w="10205" w:type="dxa"/>
        <w:jc w:val="left"/>
        <w:tblInd w:w="0" w:type="dxa"/>
        <w:tblLayout w:type="fixed"/>
        <w:tblCellMar>
          <w:top w:w="0" w:type="dxa"/>
          <w:left w:w="0" w:type="dxa"/>
          <w:bottom w:w="0" w:type="dxa"/>
          <w:right w:w="0" w:type="dxa"/>
        </w:tblCellMar>
      </w:tblPr>
      <w:tblGrid>
        <w:gridCol w:w="5807"/>
        <w:gridCol w:w="140"/>
        <w:gridCol w:w="140"/>
        <w:gridCol w:w="870"/>
        <w:gridCol w:w="140"/>
        <w:gridCol w:w="140"/>
        <w:gridCol w:w="875"/>
        <w:gridCol w:w="140"/>
        <w:gridCol w:w="140"/>
        <w:gridCol w:w="812"/>
        <w:gridCol w:w="140"/>
        <w:gridCol w:w="140"/>
        <w:gridCol w:w="721"/>
      </w:tblGrid>
      <w:tr>
        <w:trPr/>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3" w:type="dxa"/>
            <w:gridSpan w:val="4"/>
            <w:tcBorders/>
            <w:vAlign w:val="center"/>
          </w:tcPr>
          <w:p>
            <w:pPr>
              <w:pStyle w:val="TableContents"/>
              <w:bidi w:val="0"/>
              <w:spacing w:before="0" w:after="0"/>
              <w:jc w:val="left"/>
              <w:rPr/>
            </w:pPr>
            <w:r>
              <w:rPr/>
              <w:t> </w:t>
            </w:r>
          </w:p>
        </w:tc>
      </w:tr>
      <w:tr>
        <w:trPr/>
        <w:tc>
          <w:tcPr>
            <w:tcW w:w="58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8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$(36,754)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$(16,391)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124.2% </w:t>
            </w:r>
          </w:p>
        </w:tc>
      </w:tr>
      <w:tr>
        <w:trPr/>
        <w:tc>
          <w:tcPr>
            <w:tcW w:w="58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(3,640)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(4,377)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 </w:t>
            </w:r>
          </w:p>
        </w:tc>
      </w:tr>
      <w:tr>
        <w:trPr/>
        <w:tc>
          <w:tcPr>
            <w:tcW w:w="5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103.4</w:t>
            </w:r>
            <w:r>
              <w:rPr>
                <w:rFonts w:ascii="Times New Roman;Times;serif" w:hAnsi="Times New Roman;Times;serif"/>
                <w:color w:val="000000"/>
                <w:sz w:val="20"/>
              </w:rPr>
              <w:t xml:space="preserve">% </w:t>
            </w:r>
          </w:p>
        </w:tc>
      </w:tr>
      <w:tr>
        <w:trPr/>
        <w:tc>
          <w:tcPr>
            <w:tcW w:w="580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Net (Decrease) Increase in Cash, Cash Equivalents and 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64"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$(494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271.3</w:t>
            </w:r>
            <w:r>
              <w:rPr>
                <w:rFonts w:ascii="Times New Roman;Times;serif" w:hAnsi="Times New Roman;Times;serif"/>
                <w:b/>
                <w:color w:val="000000"/>
                <w:sz w:val="20"/>
              </w:rPr>
              <w:t>%</w:t>
            </w:r>
          </w:p>
        </w:tc>
      </w:tr>
      <w:tr>
        <w:trPr/>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associated with operating, investing and financing activities for the years ended December 31, 2024 and 2023 are summarized as follows: </w:t>
      </w:r>
    </w:p>
    <w:tbl>
      <w:tblPr>
        <w:tblW w:w="10205" w:type="dxa"/>
        <w:jc w:val="left"/>
        <w:tblInd w:w="0" w:type="dxa"/>
        <w:tblLayout w:type="fixed"/>
        <w:tblCellMar>
          <w:top w:w="0" w:type="dxa"/>
          <w:left w:w="0" w:type="dxa"/>
          <w:bottom w:w="0" w:type="dxa"/>
          <w:right w:w="0" w:type="dxa"/>
        </w:tblCellMar>
      </w:tblPr>
      <w:tblGrid>
        <w:gridCol w:w="3162"/>
        <w:gridCol w:w="140"/>
        <w:gridCol w:w="140"/>
        <w:gridCol w:w="1007"/>
        <w:gridCol w:w="140"/>
        <w:gridCol w:w="140"/>
        <w:gridCol w:w="875"/>
        <w:gridCol w:w="140"/>
        <w:gridCol w:w="140"/>
        <w:gridCol w:w="1007"/>
        <w:gridCol w:w="140"/>
        <w:gridCol w:w="140"/>
        <w:gridCol w:w="1007"/>
        <w:gridCol w:w="140"/>
        <w:gridCol w:w="140"/>
        <w:gridCol w:w="783"/>
        <w:gridCol w:w="140"/>
        <w:gridCol w:w="140"/>
        <w:gridCol w:w="684"/>
      </w:tblGrid>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7" w:type="dxa"/>
            <w:gridSpan w:val="4"/>
            <w:tcBorders/>
            <w:vAlign w:val="center"/>
          </w:tcPr>
          <w:p>
            <w:pPr>
              <w:pStyle w:val="TableContents"/>
              <w:bidi w:val="0"/>
              <w:spacing w:before="0" w:after="0"/>
              <w:jc w:val="left"/>
              <w:rPr/>
            </w:pPr>
            <w:r>
              <w:rPr/>
              <w:t> </w:t>
            </w:r>
          </w:p>
        </w:tc>
      </w:tr>
      <w:tr>
        <w:trPr/>
        <w:tc>
          <w:tcPr>
            <w:tcW w:w="3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1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$(29,214)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$(18,848)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$(48,062)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$(19,476)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146.8% </w:t>
            </w:r>
          </w:p>
        </w:tc>
      </w:tr>
      <w:tr>
        <w:trPr/>
        <w:tc>
          <w:tcPr>
            <w:tcW w:w="316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6,822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(5,957)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865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118.5% </w:t>
            </w:r>
          </w:p>
        </w:tc>
      </w:tr>
      <w:tr>
        <w:trPr/>
        <w:tc>
          <w:tcPr>
            <w:tcW w:w="316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33,466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52,733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275.0</w:t>
            </w:r>
            <w:r>
              <w:rPr>
                <w:rFonts w:ascii="Times New Roman;Times;serif" w:hAnsi="Times New Roman;Times;serif"/>
                <w:color w:val="000000"/>
                <w:sz w:val="20"/>
              </w:rPr>
              <w:t xml:space="preserve">% </w:t>
            </w:r>
          </w:p>
        </w:tc>
      </w:tr>
      <w:tr>
        <w:trPr/>
        <w:tc>
          <w:tcPr>
            <w:tcW w:w="316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4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$(4,969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$29,679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(597.3</w:t>
            </w:r>
            <w:r>
              <w:rPr>
                <w:rFonts w:ascii="Times New Roman;Times;serif" w:hAnsi="Times New Roman;Times;serif"/>
                <w:color w:val="000000"/>
                <w:sz w:val="20"/>
              </w:rPr>
              <w:t>)%</w:t>
            </w:r>
          </w:p>
        </w:tc>
      </w:tr>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Net Cash Used in Operating Activities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used in operating activities were $36,754 for the six months ended June 30, 2025 (Successor), as compared to $16,391 for the six months ended June 30, 2024 (Predecessor), an increase of $20,363, or 124.2%. The increase is primarily related to an increase in the Company’s operating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used in operating activities were $48,062 for the combined twelve months ended December 31, 2024, as compared to $19,476 for the year ended December 31, 2023, an increase of $28,586, or 146.8%. The increase is primarily related to change additional costs incurred in connection with the Business Combination, increased employee compensation costs associated with increased headcount. In addition, there was an increase in R&amp;D costs at the Technology segment.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Net Cash Provided (Used in) by Investing Activities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used in investing activities were $3,640 for the six months ended June 30, 2025 (Successor), as compared to $4,377 for the six months ended June 30, 2024 (Predecessor), a decrease of $737 or 16.8%.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57508x2_424b3_108-mda_pg16"/>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decrease is primarily related to reduced proceeds from sales of investments and lower advances to an equity method investee, offset by investment in available-for sale debt securities and increased acquisitions of property, plant and equipment.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 </w:t>
      </w:r>
    </w:p>
    <w:p>
      <w:pPr>
        <w:pStyle w:val="TextBody"/>
        <w:bidi w:val="0"/>
        <w:spacing w:before="30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Net Cash Provided by Financing Activities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provided by financing activities were $41,240 for the six months ended June 30, 2025 (Successor), as compared to $20,274 for the six months ended June 30, 2024 (Predecessor), an increase of $20,966 or 103.4%. The increase is primarily related to proceeds from the issuance of additional debt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Cash flows provided by financing activities were $71,907 for the year ended December 31, 2024, as compared to $19,174 for the year ended December 31, 2023, an increase of $52,733 or 275.0%. The increase is primarily related to proceeds from issuance of equity and debt financing, partially offset by increased repayment of debt. </w:t>
      </w:r>
    </w:p>
    <w:p>
      <w:pPr>
        <w:pStyle w:val="TextBody"/>
        <w:bidi w:val="0"/>
        <w:spacing w:before="31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Refer to Note 5. Borrowings to our condensed consolidated financial statements for the six months ended June 30, 2025 (Successor) and six months ended June 30, 2024 (Predecessor) included in the consolidated financial statements included elsewhere in this prospectus for a discussion of our indebtedness. </w:t>
      </w:r>
    </w:p>
    <w:p>
      <w:pPr>
        <w:pStyle w:val="TextBody"/>
        <w:bidi w:val="0"/>
        <w:spacing w:before="31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Contractual Obligations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our contractual obligations, including payments due by period, as of June 30, 2025: </w:t>
      </w:r>
    </w:p>
    <w:tbl>
      <w:tblPr>
        <w:tblW w:w="8675" w:type="dxa"/>
        <w:jc w:val="left"/>
        <w:tblInd w:w="0" w:type="dxa"/>
        <w:tblLayout w:type="fixed"/>
        <w:tblCellMar>
          <w:top w:w="0" w:type="dxa"/>
          <w:left w:w="0" w:type="dxa"/>
          <w:bottom w:w="0" w:type="dxa"/>
          <w:right w:w="0" w:type="dxa"/>
        </w:tblCellMar>
      </w:tblPr>
      <w:tblGrid>
        <w:gridCol w:w="2750"/>
        <w:gridCol w:w="140"/>
        <w:gridCol w:w="140"/>
        <w:gridCol w:w="860"/>
        <w:gridCol w:w="140"/>
        <w:gridCol w:w="140"/>
        <w:gridCol w:w="695"/>
        <w:gridCol w:w="140"/>
        <w:gridCol w:w="140"/>
        <w:gridCol w:w="590"/>
        <w:gridCol w:w="140"/>
        <w:gridCol w:w="140"/>
        <w:gridCol w:w="590"/>
        <w:gridCol w:w="140"/>
        <w:gridCol w:w="140"/>
        <w:gridCol w:w="800"/>
        <w:gridCol w:w="140"/>
        <w:gridCol w:w="140"/>
        <w:gridCol w:w="71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 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1,697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Debt obligations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55,050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future installments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13,075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$30,752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$5,614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$69,822</w:t>
            </w:r>
          </w:p>
        </w:tc>
      </w:tr>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2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Going Concern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experienced recurring losses from operations and negative cash flows from operating activities. In addition, we continue to have an ongoing need to raise significant additional cash from outside sources to sustain our operations and fund our growth plans. 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elsewhere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We can make no assurances that required financings will be available for the amounts needed, or on terms commercially acceptable to us, if at all. If subsequent capital raises or revenues from operations at the Innventure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57508x2_424b3_108-mda_pg1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 </w:t>
      </w:r>
      <w:r>
        <w:rPr>
          <w:rFonts w:ascii="Times New Roman;Times;serif" w:hAnsi="Times New Roman;Times;serif"/>
          <w:i/>
          <w:color w:val="000000"/>
          <w:sz w:val="20"/>
        </w:rPr>
        <w:t>Risks Related to Innventure’s Business</w:t>
      </w:r>
      <w:r>
        <w:rPr>
          <w:rFonts w:ascii="Times New Roman;Times;serif" w:hAnsi="Times New Roman;Times;serif"/>
          <w:color w:val="000000"/>
          <w:sz w:val="20"/>
        </w:rPr>
        <w:t xml:space="preserve"> – There is uncertainty regarding Innventure’s ability to maintain liquidity sufficient to operate its business effectively, which raises substantial doubt about its ability to continue as a going concern.”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Use of Estimates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Refer to Note 2. Accounting Policies to our consolidated financial statements for the years ended December 31, 2024 and 2023 included elsewhere in this prospectus for a discussion of our critical accounting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57508x2_424b3_109-bus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BUS"/>
      <w:bookmarkEnd w:id="65"/>
      <w:r>
        <w:rPr>
          <w:rFonts w:ascii="Times New Roman;Times;serif" w:hAnsi="Times New Roman;Times;serif"/>
          <w:b/>
          <w:color w:val="000000"/>
          <w:sz w:val="20"/>
        </w:rPr>
        <w:t xml:space="preserve">BUSINESS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in late 2015 (technology initially sourced from P&amp;G), AeroFlexx in 2018 (technology sourced from P&amp;G), and Accelsius in 2022 (technology initially sourced from the Nokia), and Refinity in 2024 (technology initially sourced from the VTT; collaboration agreement with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DownSelect process consists of four separate phases, with successive phases building on work done in the previous phases and deepening the level of analyses done as opportunities progress through the process.</w:t>
      </w:r>
    </w:p>
    <w:p>
      <w:pPr>
        <w:pStyle w:val="TextBody"/>
        <w:bidi w:val="0"/>
        <w:spacing w:before="305" w:after="283"/>
        <w:jc w:val="center"/>
        <w:rPr>
          <w:color w:val="000000"/>
        </w:rPr>
      </w:pPr>
      <w:r>
        <w:rPr>
          <w:color w:val="000000"/>
        </w:rPr>
        <w:drawing>
          <wp:inline distT="0" distB="0" distL="0" distR="0">
            <wp:extent cx="5600700" cy="1657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00700" cy="1657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57508x2_424b3_109-bus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Phase 1 – Opportunity Screen</w:t>
      </w:r>
      <w:r>
        <w:rPr>
          <w:rFonts w:ascii="Times New Roman;Times;serif" w:hAnsi="Times New Roman;Times;serif"/>
          <w:i w:val="false"/>
          <w:caps w:val="false"/>
          <w:smallCaps w:val="false"/>
          <w:color w:val="000000"/>
          <w:sz w:val="20"/>
        </w:rPr>
        <w:t xml:space="preserve">: Innventure’s team screens opportunities that are reflective of the four dimensions of the DownSelect Process; (1) technology developed by an MNC or other technology innovator, (2) significant market need, (3) transformative solution and (4) strategic execution. We analyze high level business, financial, and technology issues to determine if the opportunity meets our key success criteria.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Phase 2 – Critical Factor Assessment</w:t>
      </w:r>
      <w:r>
        <w:rPr>
          <w:rFonts w:ascii="Times New Roman;Times;serif" w:hAnsi="Times New Roman;Times;serif"/>
          <w:i w:val="false"/>
          <w:caps w:val="false"/>
          <w:smallCaps w:val="false"/>
          <w:color w:val="000000"/>
          <w:sz w:val="20"/>
        </w:rPr>
        <w:t xml:space="preserve">: We identify, assess, and prioritize an opportunity’s critical success and risk factors and develop a plan (to be 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Phase 3 – Comprehensive Quantification</w:t>
      </w:r>
      <w:r>
        <w:rPr>
          <w:rFonts w:ascii="Times New Roman;Times;serif" w:hAnsi="Times New Roman;Times;serif"/>
          <w:i w:val="false"/>
          <w:caps w:val="false"/>
          <w:smallCaps w:val="false"/>
          <w:color w:val="000000"/>
          <w:sz w:val="20"/>
        </w:rPr>
        <w:t xml:space="preserve">: The Innventure team conducts a comprehensive review across all DownSelect dimensions. A core focus is on 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an opportunity that successfully passes through Phase 3, the DownSelect team, in collaboration with Innventure senior leadership, recommends to the Board that the opportunity move to Phase 4 and proceed to create a new Innventure Company.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Phase 4 – Strategy &amp; Formation</w:t>
      </w:r>
      <w:r>
        <w:rPr>
          <w:rFonts w:ascii="Times New Roman;Times;serif" w:hAnsi="Times New Roman;Times;serif"/>
          <w:i w:val="false"/>
          <w:caps w:val="false"/>
          <w:smallCaps w:val="false"/>
          <w:color w:val="000000"/>
          <w:sz w:val="20"/>
        </w:rPr>
        <w:t xml:space="preserve">: We set the initial strategy, including go-to-market strategies and initial business plan, for the Innventure Company, secure control of the technology via licensing or ownership, and create the new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 Conglomerate Model,” Innventure intends to retain control. We believe that exercising majority ownership or control over companies allows those companies to mature further and gives us the opportunity to derive greater value from those companies as we operate them over the long term. We are currently deploying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57508x2_424b3_109-bus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model for Accelsius and Refinity. While an opportunistic sale or other disposition of one or more of our Operating Companies could occur in the future, exit transactions are not expected to be a factor in the business plans for Accelsius or Refinity or for future Operating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prospectus and should not be considered a part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led by Gregory W. (Bill) Haskell, our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21, 2025, Innventure LLC owns 37.14% of AeroFlexx, and the remainder of AeroFlexx is collectively owned by Innventure and AeroFlexx directors, officers and employees (11.29%); Innventus ESG Fund I, L.P. (the “ESG Fund”) (33.99%); and investors external to Innventure and AeroFlexx (17.58%). Further, as of October 21, 2025, Innventure LLC owns 44.3% of Accelsius, and the remainder of Accelsius is collectively owned by Innventure and Accelsius directors, officers, and employees (31.1%), the ESG Fund (0.5%), and investors external to Innventure and Accelsius (24.1%). As of October 21, 2025, Innventure LLC owns 68.2% of Refinity Holdings, LLC (“Refinity Holdings”), an affiliate of Dow is expected to own 5.3%, and the remainder of Refinity Holdings is collectively owned by Innventure and Refinity Holdings directors, officers, and employees (26.5%). Refinity Holdings owns 100% of Refinity. Innventure, through Innventure LLC as its subsidiary, economically owns 37.1%, 44.3% and 68.2% of AeroFlexx, Accelsius and Refinity Holdings, respectively, and exercises voting control over 42.3%, 64.3%, and 92.9% of AeroFlexx, Accelsius and Refinity Holdings, respectively. All the foregoing percentages are calculated using outstanding equity for each of AeroFlexx, Accelsius and Refinity Holdings as of October 21,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Business Combination, the Class PCTA Units and Class I Units (as defined below) remain outstanding and their holders retain the limited voting rights attendant thereto with respect to matters concerning Class PCTA and Class I business. Innventure otherwise owns all of the membership interests in Innventure LLC.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Opportunity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2022 alone, the top 100 companies by R&amp;D expenditure spent over $700 billion on R&amp;D. Many patents fail to be commercialized for various reasons, including misalignment with core business strategies, lack of commercialization resources, and poor timing in the market. While MNCs excel at developing well-protected technologies for their existing businesses, we believe that many MNCs invent additional technologies with significant potential value that may best be realized by a different approach. Our goal is to collaborate with MNCs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57508x2_424b3_109-bus_pg4"/>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Closed Loop Partnership Model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Benefits to Innventure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Access Advantage</w:t>
            </w:r>
            <w:r>
              <w:rPr>
                <w:rFonts w:ascii="Times New Roman;Times;serif" w:hAnsi="Times New Roman;Times;serif"/>
                <w:color w:val="000000"/>
                <w:sz w:val="20"/>
              </w:rPr>
              <w:t xml:space="preserve">: The relationship with an MNC provides unique access to MNC technologies and/or the information needed to help Innventure evaluate a disruptive technology solution in the context of specific unmet market needs. Using both data from the MNC and its own evaluations, Innventure determines if the opportunity should progress to a new Innventure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Developed Technology Solutions</w:t>
            </w:r>
            <w:r>
              <w:rPr>
                <w:rFonts w:ascii="Times New Roman;Times;serif" w:hAnsi="Times New Roman;Times;serif"/>
                <w:color w:val="000000"/>
                <w:sz w:val="20"/>
              </w:rPr>
              <w:t xml:space="preserve">: MNCs invest significant time, money, and technical expertise in developing and protecting innovative technology solutions that satisfy unmet market needs for them and their customers. This all occurs well before Innventure acquires the technology solution. A new Innventure Company that sources the technology solution from an MNC—including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Institutional Data Set</w:t>
            </w:r>
            <w:r>
              <w:rPr>
                <w:rFonts w:ascii="Times New Roman;Times;serif" w:hAnsi="Times New Roman;Times;serif"/>
                <w:color w:val="000000"/>
                <w:sz w:val="20"/>
              </w:rPr>
              <w:t xml:space="preserve">: MNCs also spend significant time and money developing deep, proprietary market knowledge, which is very difficult for a typical new venture to replicate. MNCs are in a position to provide Innventure with highly robust data, including market insights and customer testing, to understand unmet market needs and to assess the technology solution and potential business models.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Early Customer Adoption</w:t>
            </w:r>
            <w:r>
              <w:rPr>
                <w:rFonts w:ascii="Times New Roman;Times;serif" w:hAnsi="Times New Roman;Times;serif"/>
                <w:color w:val="000000"/>
                <w:sz w:val="20"/>
              </w:rPr>
              <w:t xml:space="preserve">: We believe MNCs with which we collaborate will be motivated to catalyze market adoption of a technology solution by becoming early customers and/or providing channel access to facilitate the initial customer base to drive financial and strategic value. When Innventure sources technology from an entity that is not expected to be a channel partner, it seeks to establish a relationship 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57508x2_424b3_109-bus_pg5"/>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Model Today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Business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Sustainability as a Value Driver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PureCycle</w:t>
            </w:r>
            <w:r>
              <w:rPr>
                <w:rFonts w:ascii="Times New Roman;Times;serif" w:hAnsi="Times New Roman;Times;serif"/>
                <w:color w:val="000000"/>
                <w:sz w:val="20"/>
              </w:rPr>
              <w:t xml:space="preserve">: Purifies and recycles post-industrial and post-consumer polypropylene waste back to a like virgin grade polymer, usable across a broad range of applications and markets. PureCycle became a publicly traded company in 2021 and, as of the date of this prospectus, Innventure no longer has an economic interest in PureCycle.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AeroFlexx</w:t>
            </w:r>
            <w:r>
              <w:rPr>
                <w:rFonts w:ascii="Times New Roman;Times;serif" w:hAnsi="Times New Roman;Times;serif"/>
                <w:color w:val="000000"/>
                <w:sz w:val="20"/>
              </w:rPr>
              <w:t xml:space="preserve">: Combines the best attributes of flexible pouches and rigid bottles to provide consumer packaged goods (“CPG”) companies with a novel, curbside recyclable primarily liquid package that uses up to 85% less virgin plastic than standard rigid bottles, significantly simplifies packaging supply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57508x2_424b3_109-bus_pg6"/>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Accelsius</w:t>
            </w:r>
            <w:r>
              <w:rPr>
                <w:rFonts w:ascii="Times New Roman;Times;serif" w:hAnsi="Times New Roman;Times;serif"/>
                <w:color w:val="000000"/>
                <w:sz w:val="20"/>
              </w:rPr>
              <w:t xml:space="preserve">: Delivers a transformative industry solution to thermal management to central processing units (“CPUs”) and graphics processing units (“GPUs”) in datacenter and 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has begun generating revenue.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Refinity</w:t>
            </w:r>
            <w:r>
              <w:rPr>
                <w:rFonts w:ascii="Times New Roman;Times;serif" w:hAnsi="Times New Roman;Times;serif"/>
                <w:color w:val="000000"/>
                <w:sz w:val="20"/>
              </w:rPr>
              <w:t xml:space="preserve">: Intends to commercialize process technologies for converting low cost, abundant plastic waste to drop-in chemicals directly useful in and consumable by the existing petrochemical supply chain.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committed to long-term sustainability and making the planet a better place to live for all, while simultaneously creating significant enterprise value for our shareholders.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view our competition through two frameworks: competition to acquire technologies from MNCs and other technology innovators and competition faced by our Operating Companies.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Technology Acquirers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 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Innventure Company Competition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57508x2_424b3_109-bus_pg7"/>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Human Capital Management </w:t>
      </w:r>
    </w:p>
    <w:p>
      <w:pPr>
        <w:pStyle w:val="TextBody"/>
        <w:bidi w:val="0"/>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Total Compensation and Rewards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Workforce Culture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employees employed by us and contractors engaged across Innventure, AeroFlexx, Accelsius and Refinity as of September 30, 2025 was 169.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 is located at 6900 Tavistock Lakes Blvd, Suite 400, Orlando, Florida 32827. Accelsius leases properties in Austin, Texas that are used for office, manufacturing, and warehouse services. We believe these facilities have sufficient production utilization and are adequate for our current needs and that suitable additional space will be available as needed.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57508x2_424b3_109-bus_pg8"/>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Accelsius </w:t>
      </w:r>
    </w:p>
    <w:p>
      <w:pPr>
        <w:pStyle w:val="TextBody"/>
        <w:bidi w:val="0"/>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provides a direct-to-chip liquid cooling solution for servers (and other computing devices) in data centers and edge computing locations. Accelsius aims to exploit three powerful industry trends that it believes are converging: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exponential predicted increase in the thermal footprint, or thermal design power (“TDP”), of server and GPU chipsets which are now beginning to exceed the capability of the incumbent refrigerated-air cooling systems;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and unpredictable global energy costs;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increased level of commitment to environmental sustainability, including from C-suites and corporate management teams.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Reducing data center power usage is a significant opportunity to meet public ESG commitments, but the predicted increase in TDP of future servers will make this extremely challenging.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 Opportunity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 </w:t>
      </w:r>
    </w:p>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jc w:val="left"/>
              <w:rPr>
                <w:color w:val="000000"/>
              </w:rPr>
            </w:pPr>
            <w:r>
              <w:rPr>
                <w:color w:val="000000"/>
              </w:rPr>
              <w:t>•</w:t>
            </w:r>
          </w:p>
        </w:tc>
        <w:tc>
          <w:tcPr>
            <w:tcW w:w="10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Components</w:t>
            </w:r>
            <w:r>
              <w:rPr>
                <w:rFonts w:ascii="Times New Roman;Times;serif" w:hAnsi="Times New Roman;Times;serif"/>
                <w:color w:val="000000"/>
                <w:sz w:val="20"/>
              </w:rPr>
              <w:t xml:space="preserve">: Increased software stack (including AI) require higher performance processors which increase heat dissipation.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Equipment</w:t>
            </w:r>
            <w:r>
              <w:rPr>
                <w:rFonts w:ascii="Times New Roman;Times;serif" w:hAnsi="Times New Roman;Times;serif"/>
                <w:color w:val="000000"/>
                <w:sz w:val="20"/>
              </w:rPr>
              <w:t xml:space="preserve">: More powerful servers, routers, switches, cell tower base stations, and other computing equipment require improved system level cooling.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Systems</w:t>
            </w:r>
            <w:r>
              <w:rPr>
                <w:rFonts w:ascii="Times New Roman;Times;serif" w:hAnsi="Times New Roman;Times;serif"/>
                <w:color w:val="000000"/>
                <w:sz w:val="20"/>
              </w:rPr>
              <w:t xml:space="preserve">: Denser racks of equipment are dissipating more heat per unit area.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Facilities</w:t>
            </w:r>
            <w:r>
              <w:rPr>
                <w:rFonts w:ascii="Times New Roman;Times;serif" w:hAnsi="Times New Roman;Times;serif"/>
                <w:color w:val="000000"/>
                <w:sz w:val="20"/>
              </w:rPr>
              <w:t xml:space="preserve">: Heat management capacity of data center and telecom facilities are pushing the limits of current air cooling technologies.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Growth</w:t>
            </w:r>
            <w:r>
              <w:rPr>
                <w:rFonts w:ascii="Times New Roman;Times;serif" w:hAnsi="Times New Roman;Times;serif"/>
                <w:color w:val="000000"/>
                <w:sz w:val="20"/>
              </w:rPr>
              <w:t xml:space="preserve">: There are currently 4.1 GW of new data centers planned.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57508x2_424b3_109-bus_pg9"/>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Sustainability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 </w:t>
      </w:r>
    </w:p>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Total Cost of Ownership Savings</w:t>
            </w:r>
            <w:r>
              <w:rPr>
                <w:rFonts w:ascii="Times New Roman;Times;serif" w:hAnsi="Times New Roman;Times;serif"/>
                <w:color w:val="000000"/>
                <w:sz w:val="20"/>
              </w:rPr>
              <w:t xml:space="preserve">: Cooling accounts for approximately 40% of a data center’s energy consumption.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Space Savings</w:t>
            </w:r>
            <w:r>
              <w:rPr>
                <w:rFonts w:ascii="Times New Roman;Times;serif" w:hAnsi="Times New Roman;Times;serif"/>
                <w:color w:val="000000"/>
                <w:sz w:val="20"/>
              </w:rPr>
              <w:t xml:space="preserve">: Accelsius allows data centers to densify, increasing the number of servers per rack, increasing the number of racks per unit area of data center, and increasing revenue for a given data center footprint and reducing costs as less space is used.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Energy Savings</w:t>
            </w:r>
            <w:r>
              <w:rPr>
                <w:rFonts w:ascii="Times New Roman;Times;serif" w:hAnsi="Times New Roman;Times;serif"/>
                <w:color w:val="000000"/>
                <w:sz w:val="20"/>
              </w:rPr>
              <w:t xml:space="preserve">: Eliminates air conditioning needs and costs associated with legacy air-cooling systems.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Water Savings</w:t>
            </w:r>
            <w:r>
              <w:rPr>
                <w:rFonts w:ascii="Times New Roman;Times;serif" w:hAnsi="Times New Roman;Times;serif"/>
                <w:color w:val="000000"/>
                <w:sz w:val="20"/>
              </w:rPr>
              <w:t xml:space="preserve">: Potential to eliminate water use in cooling system. </w:t>
            </w:r>
          </w:p>
        </w:tc>
      </w:tr>
    </w:tbl>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 to Clients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Accelsius solution allows clients to align data center operations with sustainability goals and increasingly competitive commercial requirements: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Enables the adoption of high wattage processors</w:t>
            </w:r>
            <w:r>
              <w:rPr>
                <w:rFonts w:ascii="Times New Roman;Times;serif" w:hAnsi="Times New Roman;Times;serif"/>
                <w:color w:val="000000"/>
                <w:sz w:val="20"/>
              </w:rPr>
              <w:t xml:space="preserve">. The American Society of Heating, Refrigerating and Air-Conditioning Engineers has suggested that the exponential increase of CPU and GPU wattages is expected to soon exceed the capacity of most existing air cooling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Dramatically improves density in the data center</w:t>
            </w:r>
            <w:r>
              <w:rPr>
                <w:rFonts w:ascii="Times New Roman;Times;serif" w:hAnsi="Times New Roman;Times;serif"/>
                <w:color w:val="000000"/>
                <w:sz w:val="20"/>
              </w:rPr>
              <w:t xml:space="preserve">. With Accelsius’ technology, air heat syncs are not required, allowing more processing power in each server. Racks no longer must be depopulated to allow air flow, nor are cold and hot aisles needed.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Allows more power to be allocated to computing rather than cooling</w:t>
            </w:r>
            <w:r>
              <w:rPr>
                <w:rFonts w:ascii="Times New Roman;Times;serif" w:hAnsi="Times New Roman;Times;serif"/>
                <w:color w:val="000000"/>
                <w:sz w:val="20"/>
              </w:rPr>
              <w:t xml:space="preserve">. An average data center allocates around 40% of their power to cooling and other overhead. When power used for cooling is reduced, more incoming power for data centers can be used for computing tasks, and data center capacity can be increased dramatically. We estimate that we can reduce the power allocated to cooling by around 49%.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Is compatible with legacy infrastructure</w:t>
            </w:r>
            <w:r>
              <w:rPr>
                <w:rFonts w:ascii="Times New Roman;Times;serif" w:hAnsi="Times New Roman;Times;serif"/>
                <w:color w:val="000000"/>
                <w:sz w:val="20"/>
              </w:rPr>
              <w:t xml:space="preserve">. Although new data center builds will prioritize liquid cooling, brownfield sites are still actively introducing AI / machine learning and other dense workloads. Accelsius technology can fit in a standard rack and connect to existing facility water loops.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Heat removal head room</w:t>
            </w:r>
            <w:r>
              <w:rPr>
                <w:rFonts w:ascii="Times New Roman;Times;serif" w:hAnsi="Times New Roman;Times;serif"/>
                <w:color w:val="000000"/>
                <w:sz w:val="20"/>
              </w:rPr>
              <w:t xml:space="preserve">. We believe Accelsius technology will be designed to support not just this generation of processors, but many more to come. Standard CPU power consumption is 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 </w:t>
            </w:r>
          </w:p>
        </w:tc>
      </w:tr>
    </w:tbl>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History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 May 27, 2022, which was amended and restated on June 30, 2025,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Status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is an early-stage company that has recently begun revenue-generating operations, including initial shipments of product. Accelsius has been focused on developing and commercializing data center cooling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57508x2_424b3_109-bus_pg10"/>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 manufacturing assets and supply chain infrastructure are anticipated to support market demand through 2026, and additional capacity expansions and/or collaboration with selected contract manufacturers will be staged to meet customer needs as demand is expected to grow.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Customer Landscape and Growth Strategy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liquid cooling solution that Accelsius offers is well positioned compared to many other liquid cooling solutions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two phase direct-to-chip liquid cooling technology is an effective alternative to the limitations posed by other liquid cooling technologies. We summarize below some of the operational issues faced by competitive liquid cooling technologies based on that user feedback: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Single-Phase Immersion: </w:t>
      </w:r>
    </w:p>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Expensive (~$100,000 per tank) and with limited thermal headroom (&lt; 50 KW);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Requires modification (re-layout) of server internals for liquid flow and server warranty is usually void;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Servicing requires removal of servers from sealed liquid cooling baths and is time consuming and expensive;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57508x2_424b3_109-bus_pg11"/>
        <w:bookmarkEnd w:id="75"/>
        <w:r>
          <w:rPr>
            <w:rStyle w:val="InternetLink"/>
            <w:rFonts w:ascii="Times New Roman;Times;Serif" w:hAnsi="Times New Roman;Times;Serif"/>
            <w:b/>
            <w:caps w:val="false"/>
            <w:smallCaps w:val="false"/>
            <w:color w:val="000000"/>
            <w:sz w:val="16"/>
          </w:rPr>
          <w:t>TABLE OF CONTENTS</w:t>
        </w:r>
      </w:hyperlink>
    </w:p>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Forklift upgrade of existing rack infrastructure and inefficient use of real estate; and </w:t>
            </w:r>
          </w:p>
        </w:tc>
      </w:tr>
    </w:tbl>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LiquidStack, Green Revolution Cooling, and TMGCore.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Two-Phase Immersion: In addition to the issues outlined above, two-phase immersion is also: </w:t>
      </w:r>
    </w:p>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Very expensive (~$175,000 per tank);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Vapor can get trapped in the servers causing localized hot spots;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Very few pilot implementations are expanded on because “no one wants tanks full of perfluoroalkyl and polyfluoroalkyl substances coolant in the data center;” and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LiquidStack, TMGCore and Submer.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Single-Phase Direct-to-Chip (e.g., water):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Water leaks that can cause catastrophic failure in servers and are the most significant risk. Users state that water leaks around electronic components have occurred and destroyed the servers: “Not a question of ‘if’ it will leak, but ‘when’ it will leak”;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Bio-fouling (biofilm build up) within pipes and cold plates is a concern;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Cooling higher thermal densities requires large pumps and high pressure/flow rate of water (increasing chance of leaks &amp; electricity use); and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CoolIT Systems and STULZ. </w:t>
            </w:r>
          </w:p>
        </w:tc>
      </w:tr>
    </w:tbl>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AeroFlexx and Refinity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 recycled content and can be curbside recyclable where all plastic bottles are accepted3. Prior to filling, the package is shipped in a freight efficient flat pak format that reduces supply chain cost and complexity.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is headquartered in West Chester, Ohio. The firm’s 27,082 square foot facility currently has all the initial commercial converter lines installed with a nameplate design capacity of over 100 million units per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and other high value products) at yields that Refinity believes are higher than other conversion technologies. Refinity plans to target </w:t>
      </w:r>
    </w:p>
    <w:tbl>
      <w:tblPr>
        <w:tblW w:w="3505" w:type="dxa"/>
        <w:jc w:val="left"/>
        <w:tblInd w:w="0" w:type="dxa"/>
        <w:tblLayout w:type="fixed"/>
        <w:tblCellMar>
          <w:top w:w="0" w:type="dxa"/>
          <w:left w:w="0" w:type="dxa"/>
          <w:bottom w:w="0" w:type="dxa"/>
          <w:right w:w="0" w:type="dxa"/>
        </w:tblCellMar>
      </w:tblPr>
      <w:tblGrid>
        <w:gridCol w:w="80"/>
        <w:gridCol w:w="34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3</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Not recyclable in all communities. Check locally.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57508x2_424b3_109-bus_pg12"/>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 Opportunity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yields that Refinity believes its fluidized bed process will convert plastic waste to drop-in chemicals, 240 million tonnes per year of plastic waste could be converted to hydrocarbon liquids and olefin gases valued at $150-200 billion annually. Further, with increasing consumer demand for more sustainable packaging; regulatory focus on restricting plastic waste exports, landfill, and incineration; and minimum recycled plastic content requirements, all of which could enable premiums for sustainable plastics (including sustainable feedstocks, such as naphtha or light olefins, for polymer and plastic production), the market for plastic recycling is strengthening. The 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Sustainability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 </w:t>
      </w:r>
    </w:p>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Package Circularity</w:t>
            </w:r>
            <w:r>
              <w:rPr>
                <w:rFonts w:ascii="Times New Roman;Times;serif" w:hAnsi="Times New Roman;Times;serif"/>
                <w:color w:val="000000"/>
                <w:sz w:val="20"/>
              </w:rPr>
              <w:t xml:space="preserve">: AeroFlexx packaging can incorporate up to 50% recycled content without compromise.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Life Cycle Analysis</w:t>
            </w:r>
            <w:r>
              <w:rPr>
                <w:rFonts w:ascii="Times New Roman;Times;serif" w:hAnsi="Times New Roman;Times;serif"/>
                <w:color w:val="000000"/>
                <w:sz w:val="20"/>
              </w:rPr>
              <w:t xml:space="preserve">: By considering source reduction, recycled content, recyclability and eliminating excess packaging material in e-commerce, AeroFlexx can deliver up to 83% less waste to landfills, 69% GHG reduction, and 73% less water 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UN Sustainable Goals Alignment</w:t>
            </w:r>
            <w:r>
              <w:rPr>
                <w:rFonts w:ascii="Times New Roman;Times;serif" w:hAnsi="Times New Roman;Times;serif"/>
                <w:color w:val="000000"/>
                <w:sz w:val="20"/>
              </w:rPr>
              <w:t xml:space="preserve">: AeroFlexx can contribute to meeting several of the sustainable development goals outlined by the United Nations, including industry, innovation, and infrastructure; responsible consumption and production; climate action; and life below water.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GHG emissions reduction relative to plastic waste incineration or pyrolysis</w:t>
            </w:r>
            <w:r>
              <w:rPr>
                <w:rFonts w:ascii="Times New Roman;Times;serif" w:hAnsi="Times New Roman;Times;serif"/>
                <w:color w:val="000000"/>
                <w:sz w:val="20"/>
              </w:rPr>
              <w:t xml:space="preserve">: Internal LCA analysis indicated about - 400 kg CO2-eq/tonne plastic waste for the Refinity fluidized bed conversion process compared to 1777 kg CO2-eq/tonne plastic waste for incineration and 739 kg CO2-eq/tonne plastic waste for pyrolysis, so Refinity believes that its process will reduce GHG emissions.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57508x2_424b3_109-bus_pg13"/>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Fossil source reduction</w:t>
            </w:r>
            <w:r>
              <w:rPr>
                <w:rFonts w:ascii="Times New Roman;Times;serif" w:hAnsi="Times New Roman;Times;serif"/>
                <w:color w:val="000000"/>
                <w:sz w:val="20"/>
              </w:rPr>
              <w:t xml:space="preserve">: If all plastic waste from landfill and incineration (240 million tonnes per year) were converted to hydrocarbon liquids (e.g., naphtha substitute) at yields consistent with what Refinity believes are possible in the fluidized bed process, those hydrocarbon liquids could replace up to 80% of fossil naphtha; saving roughly 96 million tonnes per year of CO2-eq emissions. </w:t>
            </w:r>
          </w:p>
        </w:tc>
      </w:tr>
    </w:tbl>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 to Clients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can help drive growth and overall profitability through significant supply chain savings. This is accomplished through several supply chain benefits of the AeroFlexx pak: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Reduces Complexity of Sourcing</w:t>
            </w:r>
            <w:r>
              <w:rPr>
                <w:rFonts w:ascii="Times New Roman;Times;serif" w:hAnsi="Times New Roman;Times;serif"/>
                <w:color w:val="000000"/>
                <w:sz w:val="20"/>
              </w:rPr>
              <w:t xml:space="preserve">: AeroFlexx ships as a flat pak and replaces the bottle, cap and label that customers must procure from multiple sources and destinations.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Reduced Transportation Cost and Footprint</w:t>
            </w:r>
            <w:r>
              <w:rPr>
                <w:rFonts w:ascii="Times New Roman;Times;serif" w:hAnsi="Times New Roman;Times;serif"/>
                <w:color w:val="000000"/>
                <w:sz w:val="20"/>
              </w:rPr>
              <w:t xml:space="preserve">: prior to filling the package, shipping as a flat pak creates a form factor that takes up less than 10% of the space in shipping of an equivalent pre-formed empty rigid bottle, in addition to eliminating the need for cap and label supply chains. This reduces cost and environmental footprint by taking trucks off the road.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Lowers Warehouse Requirements and Inventory Cost</w:t>
            </w:r>
            <w:r>
              <w:rPr>
                <w:rFonts w:ascii="Times New Roman;Times;serif" w:hAnsi="Times New Roman;Times;serif"/>
                <w:color w:val="000000"/>
                <w:sz w:val="20"/>
              </w:rPr>
              <w:t xml:space="preserve">: with the AeroFlexx flat pak replacing pre-formed empty bottles, caps and labels, there is an overall reduction in the need for inventory space and overall cost associated with labor and working capital.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ISTA-6 Amazon Approved</w:t>
            </w:r>
            <w:r>
              <w:rPr>
                <w:rFonts w:ascii="Times New Roman;Times;serif" w:hAnsi="Times New Roman;Times;serif"/>
                <w:color w:val="000000"/>
                <w:sz w:val="20"/>
              </w:rPr>
              <w:t xml:space="preserve">: for shipping liquids via the e-commerce channel, reductions in damages from breakage, leakage and handling can generate significant savings through lower returns or refund rates and reduced overall package and labor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Omni-Channel Ready</w:t>
            </w:r>
            <w:r>
              <w:rPr>
                <w:rFonts w:ascii="Times New Roman;Times;serif" w:hAnsi="Times New Roman;Times;serif"/>
                <w:color w:val="000000"/>
                <w:sz w:val="20"/>
              </w:rPr>
              <w:t xml:space="preserve">: the pak is omni-channel ready as soon as it is filled with liquid product from the AeroFlexx filling machine, which we expect to eliminate stock keeping unit proliferation based on desired sales distribution channel.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New Size/Shape Development Efficiency</w:t>
            </w:r>
            <w:r>
              <w:rPr>
                <w:rFonts w:ascii="Times New Roman;Times;serif" w:hAnsi="Times New Roman;Times;serif"/>
                <w:color w:val="000000"/>
                <w:sz w:val="20"/>
              </w:rPr>
              <w:t xml:space="preserve">: flexible manufacturing eliminates the need for capital intensive molds and tooling costs, which may enable rapid adoption at a much lower cost.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Product Safety</w:t>
            </w:r>
            <w:r>
              <w:rPr>
                <w:rFonts w:ascii="Times New Roman;Times;serif" w:hAnsi="Times New Roman;Times;serif"/>
                <w:color w:val="000000"/>
                <w:sz w:val="20"/>
              </w:rPr>
              <w:t xml:space="preserve">: designed with hygiene in mind with tamper proof packaging that eliminates the use of a discrete closure with AeroFlexx proprietary integrated valve (e.g., no need for a separate cap, pump or package sealing and dispensing device) to help keep products safe and prevent product losses.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Currently, the limitations for Refinity’s clients to fully embrace and scale plastic circularity is economic viability and plastic waste sourcing. Refinity believes that its fluidized bed process provides unique benefits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 higher yield conversion of plastic waste to olefin gases and hydrocarbon liquids</w:t>
            </w:r>
            <w:r>
              <w:rPr>
                <w:rFonts w:ascii="Times New Roman;Times;serif" w:hAnsi="Times New Roman;Times;serif"/>
                <w:color w:val="000000"/>
                <w:sz w:val="20"/>
              </w:rPr>
              <w:t xml:space="preserve">. VTT has demonstrated that the fluidized bed process converts plastic waste to olefin gases at higher yield than conventional pyrolysis processes, potentially enabling two to three times higher productivity when the fluidized bed process feeds olefin gases directly to petrochemical steam cracker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Allow use of low cost, mixed plastic wastes</w:t>
            </w:r>
            <w:r>
              <w:rPr>
                <w:rFonts w:ascii="Times New Roman;Times;serif" w:hAnsi="Times New Roman;Times;serif"/>
                <w:color w:val="000000"/>
                <w:sz w:val="20"/>
              </w:rPr>
              <w:t xml:space="preserve">. Unlike incumbent recycling processes which typically require more sorting and pre-cleaning of plastic wastes, Refinity believes that the fluidized bed process will be more robust to minimally-sorted, mixed plastic waste streams.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 plant site flexibility</w:t>
            </w:r>
            <w:r>
              <w:rPr>
                <w:rFonts w:ascii="Times New Roman;Times;serif" w:hAnsi="Times New Roman;Times;serif"/>
                <w:color w:val="000000"/>
                <w:sz w:val="20"/>
              </w:rPr>
              <w:t xml:space="preserve">. We believe that the Refinity fluidized bed operating conditions can be tuned to allow for production of either olefin (ethylene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57508x2_424b3_109-bus_pg14"/>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History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 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 </w:t>
      </w:r>
    </w:p>
    <w:p>
      <w:pPr>
        <w:pStyle w:val="TextBody"/>
        <w:bidi w:val="0"/>
        <w:spacing w:before="2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Status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late 2023, AeroFlexx installed and commissioned its second converter, and the first to utilize recyclable film, in West Chester, Ohio. All commercial converter lines have now been installed and commissioned.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mid-2025, with additional capacity expansions being staged to meet customer needs as offtake agreements and customer traction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Refinity is an early-stage company that is just beginning operations. Through the third quarter of 2025, Refinity built internal staff and developed capabilities to commercialize the fluidized bed technology licensed from VTT. Refinity is advancing its plastic waste sourcing strategy and has commissioned optimization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2026. Refinity is working both independently and with Dow to identify candidate sites for first commercial demonstration plant and has engaged an Engineering, Procurement, and Construction (EPC) firm and key equipment providers to advance design work for the first plant. Refinity is also progressing both feedstock sourcing and product offtake contracts with key suppliers and customers, respectively.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Customer Landscape and Growth Strategy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Refinity will sell drop-in liquid and gas phase chemicals to petrochemical company customers, including Dow. Other prospective customers include multinationals such as BASF, CP Chem, ExxonMobil, SABIC,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57508x2_424b3_109-bus_pg15"/>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LyondellBasell, and Shell.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 Licella, Eastman Chemical, and ExxonMobil use thermochemical conversion processes to convert plastic waste to hydrocarbon liquids.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 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Refinity has developed a comprehensive IP strategy that builds upon the portfolio of advanced recycling of mixed plastic waste patents and patent applications exclusively licensed from VTT.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Legal Proceedings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(including AeroFlexx, Accelsius and Refinity)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57508x2_424b3_110-management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MGT"/>
      <w:bookmarkEnd w:id="81"/>
      <w:r>
        <w:rPr>
          <w:rFonts w:ascii="Times New Roman;Times;serif" w:hAnsi="Times New Roman;Times;serif"/>
          <w:b/>
          <w:color w:val="000000"/>
          <w:sz w:val="20"/>
        </w:rPr>
        <w:t xml:space="preserve">MANAGEMENT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w:t>
      </w:r>
    </w:p>
    <w:p>
      <w:pPr>
        <w:pStyle w:val="TextBody"/>
        <w:bidi w:val="0"/>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Gregory William (“Bill”) Haskell</w:t>
      </w:r>
      <w:r>
        <w:rPr>
          <w:rFonts w:ascii="Times New Roman;Times;serif" w:hAnsi="Times New Roman;Times;serif"/>
          <w:b w:val="false"/>
          <w:i w:val="false"/>
          <w:caps w:val="false"/>
          <w:smallCaps w:val="false"/>
          <w:color w:val="000000"/>
          <w:sz w:val="20"/>
        </w:rPr>
        <w:t xml:space="preserve">, 68, is Innventure’s CEO and a Class I director. Mr. Haskell previously served as Chief Executive Officer and Manager of Innventure LLC from 2021 until the Closing of the Business Combination in October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Daniel J. Hennessy</w:t>
      </w:r>
      <w:r>
        <w:rPr>
          <w:rFonts w:ascii="Times New Roman;Times;serif" w:hAnsi="Times New Roman;Times;serif"/>
          <w:b w:val="false"/>
          <w:i w:val="false"/>
          <w:caps w:val="false"/>
          <w:smallCaps w:val="false"/>
          <w:color w:val="000000"/>
          <w:sz w:val="20"/>
        </w:rPr>
        <w:t xml:space="preserve">, 67, is a Class I director and Learn CW’s director designee pursuant to the terms of the Business Combination Agreement. Mr. Hennessy currently serves as Chairman and CEO of Hennessy Capital Investment Corp. VII (NASDAQ: HVII), a special purpose acquisition company, as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Michael Amalfitano</w:t>
      </w:r>
      <w:r>
        <w:rPr>
          <w:rFonts w:ascii="Times New Roman;Times;serif" w:hAnsi="Times New Roman;Times;serif"/>
          <w:b w:val="false"/>
          <w:i w:val="false"/>
          <w:caps w:val="false"/>
          <w:smallCaps w:val="false"/>
          <w:color w:val="000000"/>
          <w:sz w:val="20"/>
        </w:rPr>
        <w:t xml:space="preserve">, 64, is a Class I director of Innventure. Mr. Amalfitano has served as the President and CEO 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 Company believes that Mr. Amalfitano is well qualified to serve as a member of the Board due to his years of executive leadership and public company director experience.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57508x2_424b3_110-management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David Yablunosky</w:t>
      </w:r>
      <w:r>
        <w:rPr>
          <w:rFonts w:ascii="Times New Roman;Times;serif" w:hAnsi="Times New Roman;Times;serif"/>
          <w:b w:val="false"/>
          <w:i w:val="false"/>
          <w:caps w:val="false"/>
          <w:smallCaps w:val="false"/>
          <w:color w:val="000000"/>
          <w:sz w:val="20"/>
        </w:rPr>
        <w:t xml:space="preserve">, 63, is Innventure’s CFO and a Class II director. Mr. Yablunosky previously served as CFO of Innventure LLC from 2023 until the Closing of the Business Combination in October 2024. Previously, he was 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James (“Jim”) O. Donnally</w:t>
      </w:r>
      <w:r>
        <w:rPr>
          <w:rFonts w:ascii="Times New Roman;Times;serif" w:hAnsi="Times New Roman;Times;serif"/>
          <w:b w:val="false"/>
          <w:i w:val="false"/>
          <w:caps w:val="false"/>
          <w:smallCaps w:val="false"/>
          <w:color w:val="000000"/>
          <w:sz w:val="20"/>
        </w:rPr>
        <w:t xml:space="preserve">, 61, is a Class II director of Innventure. Mr. Donnally has served as the Managing Member of Bellringer Consulting Group, LLC, a startup consulting company and the General Partner of the Glockner Family Venture Fund, LP, since 2023 and previously served as a Manager of Innventure LLC from 2015 until the Closing of the Business Combination in October 2024.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Bruce Brown</w:t>
      </w:r>
      <w:r>
        <w:rPr>
          <w:rFonts w:ascii="Times New Roman;Times;serif" w:hAnsi="Times New Roman;Times;serif"/>
          <w:b w:val="false"/>
          <w:i w:val="false"/>
          <w:caps w:val="false"/>
          <w:smallCaps w:val="false"/>
          <w:color w:val="000000"/>
          <w:sz w:val="20"/>
        </w:rPr>
        <w:t xml:space="preserve">, 67, is a Class II director of Innventure. Mr. Brown retired from P&amp;G in 2014 after 34 years of 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57508x2_424b3_110-management_pg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Michael (“Mike”) Otworth</w:t>
      </w:r>
      <w:r>
        <w:rPr>
          <w:rFonts w:ascii="Times New Roman;Times;serif" w:hAnsi="Times New Roman;Times;serif"/>
          <w:b w:val="false"/>
          <w:i w:val="false"/>
          <w:caps w:val="false"/>
          <w:smallCaps w:val="false"/>
          <w:color w:val="000000"/>
          <w:sz w:val="20"/>
        </w:rPr>
        <w:t xml:space="preserve">, 63, is Innventure’s Executive Chairman and a Class III director. Mr. Otworth has served as Executive Chairman of Innventure 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Suzanne Niemeyer</w:t>
      </w:r>
      <w:r>
        <w:rPr>
          <w:rFonts w:ascii="Times New Roman;Times;serif" w:hAnsi="Times New Roman;Times;serif"/>
          <w:b w:val="false"/>
          <w:i w:val="false"/>
          <w:caps w:val="false"/>
          <w:smallCaps w:val="false"/>
          <w:color w:val="000000"/>
          <w:sz w:val="20"/>
        </w:rPr>
        <w:t xml:space="preserve">, 55, is Innventure’s General Counsel and a Class III director. She also serves as a director for Refinity Holdings. Ms. Niemeyer 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(“Actua”),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Elizabeth Williams</w:t>
      </w:r>
      <w:r>
        <w:rPr>
          <w:rFonts w:ascii="Times New Roman;Times;serif" w:hAnsi="Times New Roman;Times;serif"/>
          <w:b w:val="false"/>
          <w:i w:val="false"/>
          <w:caps w:val="false"/>
          <w:smallCaps w:val="false"/>
          <w:color w:val="000000"/>
          <w:sz w:val="20"/>
        </w:rPr>
        <w:t xml:space="preserve">, 56, is a Class III director of Innventure. Ms. Williams has served as Managing Partner and 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Mr. Haskell, our CEO, Mr. Yablunosky and our CFO, Mr. Otworth, our Executive Chairman, our executive officers are: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Dr. John Scott</w:t>
      </w:r>
      <w:r>
        <w:rPr>
          <w:rFonts w:ascii="Times New Roman;Times;serif" w:hAnsi="Times New Roman;Times;serif"/>
          <w:b w:val="false"/>
          <w:i w:val="false"/>
          <w:caps w:val="false"/>
          <w:smallCaps w:val="false"/>
          <w:color w:val="000000"/>
          <w:sz w:val="20"/>
        </w:rPr>
        <w:t xml:space="preserve">, 74, is Innventure’s Chief Strategy Officer. Dr. Scott previously served as Chief Strategy Officer at Innventure LLC from 2015 until the Closing of the Business Combination in October 2024. Prior to co-founding Innventure LLC, Dr. Scott served as Founder and CEO of XLTG, where he developed the DownSelect method that Innventure uses today to vet disruptive technologies from top MNCs and their associated business opportunities, from 1993 to 2013. Dr. Scott also served as an academic scientist at numerous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57508x2_424b3_110-management_pg4"/>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Roland Austrup</w:t>
      </w:r>
      <w:r>
        <w:rPr>
          <w:rFonts w:ascii="Times New Roman;Times;serif" w:hAnsi="Times New Roman;Times;serif"/>
          <w:b w:val="false"/>
          <w:i w:val="false"/>
          <w:caps w:val="false"/>
          <w:smallCaps w:val="false"/>
          <w:color w:val="000000"/>
          <w:sz w:val="20"/>
        </w:rPr>
        <w:t xml:space="preserve">, 61, is Innventure’s Chief Growth Officer. Mr. Austrup has served as a member of Innventure’s Executive Committee since 2024 and previously served as Innventure LLC’s Chief Growth Officer from June 2024 and as a member of Innventure LLC’s Executive Committee from 2023 until the Closing of the Business Combination in October 2024.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future series of preferred stock outstanding, directors may be removed only for cause by an affirmative vote of at least two-thirds of the total voting power (which vote shall include the votes of the Series B Preferred Stock holders and Series C Preferred Stock holders voting together with the Common Stock holders as a single class), at a meeting called for that purpose. The authorized number of directors may be changed by resolution of our Board. Vacancies on our Board can be filled by resolution of our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 directors are David Yablunosky, James O. Donnally and Bruce Brown, and their terms will expire at the annual meeting of stockholders to be held in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III directors are Michael Otworth, Suzanne Niemeyer and Elizabeth Williams, and their terms expire at the annual meeting of stockholders to be held in 2027;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 directors are Gregory W. Haskell, Daniel J. Hennessy and Michael Amalfitano, and their terms will expire at the annual meeting of stockholders to be held in 2028.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additional directorships resulting from an increase in the authorized number of directors will be distributed among the three classes so that, as nearly as possible, each class will consist of one-third of our authorized number of directors.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Agreements to Nominate Certain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Hennessy is a director designated by Learn CW pursuant to the Business Combination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57508x2_424b3_110-management_pg5"/>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seven (7) directors, so long as the Founding Investors beneficially own greater than 70%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six (6) directors, so long as the Founding Investors beneficially own more than 50%, but less than 70%,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four (4) directors, so long as the Founding Investors beneficially own at least 40%, but less than 50%,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three (3) directors, so long as the Founding Investors beneficially own at least 20%, but less than 40%, of the outstanding shares of Common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two (2) director, so long as the Founding Investors beneficially own at least 5%, but less than 20%, of the outstanding common shares of the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three (3) Founding Investor Nominees.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Nominations &amp; Filling Vacancies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Article VI of our A&amp;R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57508x2_424b3_110-management_pg6"/>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for so long as Learn CW has the right to select one director to the Board, any vacancy with respect to the Learn CW director may only be filled by Learn CW.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2024, our Board had an Audit Committee, a Compensation Committee, and a N&amp;CG Committee to support the full Board with various risk management governance, and strategic responsibilities. The current members of these committees are described below. </w:t>
      </w:r>
    </w:p>
    <w:tbl>
      <w:tblPr>
        <w:tblW w:w="10205" w:type="dxa"/>
        <w:jc w:val="left"/>
        <w:tblInd w:w="0" w:type="dxa"/>
        <w:tblLayout w:type="fixed"/>
        <w:tblCellMar>
          <w:top w:w="0" w:type="dxa"/>
          <w:left w:w="0" w:type="dxa"/>
          <w:bottom w:w="0" w:type="dxa"/>
          <w:right w:w="0" w:type="dxa"/>
        </w:tblCellMar>
      </w:tblPr>
      <w:tblGrid>
        <w:gridCol w:w="1220"/>
        <w:gridCol w:w="140"/>
        <w:gridCol w:w="140"/>
        <w:gridCol w:w="680"/>
        <w:gridCol w:w="140"/>
        <w:gridCol w:w="140"/>
        <w:gridCol w:w="500"/>
        <w:gridCol w:w="140"/>
        <w:gridCol w:w="140"/>
        <w:gridCol w:w="650"/>
        <w:gridCol w:w="140"/>
        <w:gridCol w:w="140"/>
        <w:gridCol w:w="695"/>
        <w:gridCol w:w="140"/>
        <w:gridCol w:w="140"/>
        <w:gridCol w:w="845"/>
        <w:gridCol w:w="140"/>
        <w:gridCol w:w="140"/>
        <w:gridCol w:w="623"/>
        <w:gridCol w:w="140"/>
        <w:gridCol w:w="140"/>
        <w:gridCol w:w="938"/>
        <w:gridCol w:w="140"/>
        <w:gridCol w:w="140"/>
        <w:gridCol w:w="713"/>
        <w:gridCol w:w="140"/>
        <w:gridCol w:w="140"/>
        <w:gridCol w:w="821"/>
      </w:tblGrid>
      <w:tr>
        <w:trPr/>
        <w:tc>
          <w:tcPr>
            <w:tcW w:w="10205" w:type="dxa"/>
            <w:gridSpan w:val="28"/>
            <w:tcBorders/>
            <w:vAlign w:val="center"/>
          </w:tcPr>
          <w:p>
            <w:pPr>
              <w:pStyle w:val="TableContents"/>
              <w:bidi w:val="0"/>
              <w:spacing w:before="0" w:after="0"/>
              <w:jc w:val="left"/>
              <w:rPr/>
            </w:pPr>
            <w:r>
              <w:rPr/>
              <w:t> </w:t>
            </w:r>
          </w:p>
        </w:tc>
      </w:tr>
      <w:tr>
        <w:trPr/>
        <w:tc>
          <w:tcPr>
            <w:tcW w:w="10205" w:type="dxa"/>
            <w:gridSpan w:val="28"/>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Assignments </w:t>
            </w:r>
          </w:p>
        </w:tc>
      </w:tr>
      <w:tr>
        <w:trPr/>
        <w:tc>
          <w:tcPr>
            <w:tcW w:w="1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Donnally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Brown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Williams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Hennessy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Amalfitano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Haskell*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Yablunosky*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3"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Otworth*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Niemeyer*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center"/>
              <w:rPr>
                <w:color w:val="000000"/>
              </w:rPr>
            </w:pPr>
            <w:r>
              <w:rPr>
                <w:color w:val="000000"/>
              </w:rPr>
              <w:t> </w:t>
            </w:r>
          </w:p>
        </w:tc>
      </w:tr>
      <w:tr>
        <w:trPr/>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0"/>
              <w:jc w:val="center"/>
              <w:rPr>
                <w:color w:val="000000"/>
              </w:rPr>
            </w:pPr>
            <w:r>
              <w:rPr>
                <w:color w:val="000000"/>
              </w:rPr>
              <w:t>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N&amp;CG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center"/>
              <w:rPr>
                <w:color w:val="000000"/>
              </w:rPr>
            </w:pPr>
            <w:r>
              <w:rPr>
                <w:color w:val="000000"/>
              </w:rPr>
              <w:t> </w:t>
            </w:r>
          </w:p>
        </w:tc>
      </w:tr>
      <w:tr>
        <w:trPr/>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All standing committee members are independent.</w:t>
      </w:r>
      <w:r>
        <w:rPr>
          <w:rFonts w:ascii="Times New Roman;Times;serif" w:hAnsi="Times New Roman;Times;serif"/>
          <w:i/>
          <w:caps w:val="false"/>
          <w:smallCaps w:val="false"/>
          <w:color w:val="000000"/>
          <w:sz w:val="16"/>
        </w:rPr>
        <w:t xml:space="preserve"> </w:t>
      </w:r>
    </w:p>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20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Not independent</w:t>
            </w:r>
            <w:r>
              <w:rPr>
                <w:rFonts w:ascii="Times New Roman;Times;serif" w:hAnsi="Times New Roman;Times;serif"/>
                <w:i/>
                <w:caps w:val="false"/>
                <w:smallCaps w:val="false"/>
                <w:color w:val="000000"/>
                <w:sz w:val="16"/>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57508x2_424b3_111-executive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EDC"/>
      <w:bookmarkEnd w:id="88"/>
      <w:r>
        <w:rPr>
          <w:rFonts w:ascii="Times New Roman;Times;serif" w:hAnsi="Times New Roman;Times;serif"/>
          <w:b/>
          <w:color w:val="000000"/>
          <w:sz w:val="20"/>
        </w:rPr>
        <w:t xml:space="preserve">EXECUTIVE AND DIRECTOR COMPENSATION OF INNVENTURE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All dollar amounts (“$”) in this section reflect actual amounts.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Gregory W. (Bill) Haskell was Innventure’s principal executive officer for the entirety of 2024. The two most highly compensated executive officers of Innventure that were serving in such capacity at the end of 2024 (other than Mr. Haskell) were Mike Otworth and Dr. John Scott.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Therefore, for the fiscal year ended December 31, 2024, Innventure’s NEOs were: </w:t>
      </w:r>
    </w:p>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Gregory W. (Bill) Haskell, Chief Executive Officer and Manager;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Mike Otworth, Executive Chairman; and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 John Scott, Chief Strategy Officer.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2024 Business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2024 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the compensation of Innventure’s NEOs for 2024 and 2023, as applicable. </w:t>
      </w:r>
    </w:p>
    <w:tbl>
      <w:tblPr>
        <w:tblW w:w="10205" w:type="dxa"/>
        <w:jc w:val="left"/>
        <w:tblInd w:w="0" w:type="dxa"/>
        <w:tblLayout w:type="fixed"/>
        <w:tblCellMar>
          <w:top w:w="0" w:type="dxa"/>
          <w:left w:w="0" w:type="dxa"/>
          <w:bottom w:w="0" w:type="dxa"/>
          <w:right w:w="0" w:type="dxa"/>
        </w:tblCellMar>
      </w:tblPr>
      <w:tblGrid>
        <w:gridCol w:w="1177"/>
        <w:gridCol w:w="140"/>
        <w:gridCol w:w="140"/>
        <w:gridCol w:w="450"/>
        <w:gridCol w:w="140"/>
        <w:gridCol w:w="140"/>
        <w:gridCol w:w="695"/>
        <w:gridCol w:w="140"/>
        <w:gridCol w:w="140"/>
        <w:gridCol w:w="845"/>
        <w:gridCol w:w="140"/>
        <w:gridCol w:w="140"/>
        <w:gridCol w:w="845"/>
        <w:gridCol w:w="140"/>
        <w:gridCol w:w="140"/>
        <w:gridCol w:w="845"/>
        <w:gridCol w:w="140"/>
        <w:gridCol w:w="140"/>
        <w:gridCol w:w="1065"/>
        <w:gridCol w:w="140"/>
        <w:gridCol w:w="140"/>
        <w:gridCol w:w="1065"/>
        <w:gridCol w:w="140"/>
        <w:gridCol w:w="140"/>
        <w:gridCol w:w="978"/>
      </w:tblGrid>
      <w:tr>
        <w:trPr/>
        <w:tc>
          <w:tcPr>
            <w:tcW w:w="11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r>
      <w:tr>
        <w:trPr/>
        <w:tc>
          <w:tcPr>
            <w:tcW w:w="11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Gregory W. (Bill)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13,800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2,813,800 </w:t>
            </w:r>
          </w:p>
        </w:tc>
      </w:tr>
      <w:tr>
        <w:trPr/>
        <w:tc>
          <w:tcPr>
            <w:tcW w:w="11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12,000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492,000 </w:t>
            </w:r>
          </w:p>
        </w:tc>
      </w:tr>
      <w:tr>
        <w:trPr/>
        <w:tc>
          <w:tcPr>
            <w:tcW w:w="11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Mike Otworth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7,001,001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7,577,786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14,878,787 </w:t>
            </w:r>
          </w:p>
        </w:tc>
      </w:tr>
      <w:tr>
        <w:trPr/>
        <w:tc>
          <w:tcPr>
            <w:tcW w:w="1177"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Executive Chairman(6)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2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480,000 </w:t>
            </w:r>
          </w:p>
        </w:tc>
      </w:tr>
      <w:tr>
        <w:trPr/>
        <w:tc>
          <w:tcPr>
            <w:tcW w:w="11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4,100,005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6,935,489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11,335,494 </w:t>
            </w:r>
          </w:p>
        </w:tc>
      </w:tr>
      <w:tr>
        <w:trPr/>
        <w:tc>
          <w:tcPr>
            <w:tcW w:w="1177"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Chief Strategy Officer(7)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2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480,000</w:t>
            </w:r>
          </w:p>
        </w:tc>
      </w:tr>
      <w:tr>
        <w:trPr/>
        <w:tc>
          <w:tcPr>
            <w:tcW w:w="11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 </w:t>
            </w:r>
          </w:p>
        </w:tc>
      </w:tr>
    </w:tbl>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for Mr. Haskell in 2024 represents a transaction bonus earned in connection with the Business Combination.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of service-based RSUs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The Refinity Incentive Units (as defined below) discussed in such section had an aggregate grant date fair value of $0.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57508x2_424b3_111-executive_pg2"/>
        <w:bookmarkEnd w:id="8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represents matching contributions provided by Innventure under the 401(k) Plan (as defined and described below).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Otworth provided services to Innventure in a consulting capacity during 2024 through a contract between Innventure LLC and Sugar Grove Ventures, LLC.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 </w:t>
            </w:r>
          </w:p>
        </w:tc>
      </w:tr>
    </w:tbl>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Disclosure to 2024 Summary Compensation Table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Key 2024 Named Executive Officer Compensation Components and Decisions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2024 Base Salary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their employment or consulting arrangements, as applicable, the NEOs were entitled to base salaries or service fees, as applicable, at the following annual rates during 2024: </w:t>
      </w:r>
    </w:p>
    <w:tbl>
      <w:tblPr>
        <w:tblW w:w="3065" w:type="dxa"/>
        <w:jc w:val="left"/>
        <w:tblInd w:w="0" w:type="dxa"/>
        <w:tblLayout w:type="fixed"/>
        <w:tblCellMar>
          <w:top w:w="0" w:type="dxa"/>
          <w:left w:w="0" w:type="dxa"/>
          <w:bottom w:w="0" w:type="dxa"/>
          <w:right w:w="0" w:type="dxa"/>
        </w:tblCellMar>
      </w:tblPr>
      <w:tblGrid>
        <w:gridCol w:w="1355"/>
        <w:gridCol w:w="140"/>
        <w:gridCol w:w="140"/>
        <w:gridCol w:w="1430"/>
      </w:tblGrid>
      <w:tr>
        <w:trPr/>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Salary/Service Fee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 Otworth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r>
      <w:tr>
        <w:trPr/>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did not modify the base salary or service fee rates of any of the NEOs during 2024. However, we increased the base salary and service fee rates of the NEOs in January 2025.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2024 Bonus 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 </w:t>
      </w:r>
    </w:p>
    <w:tbl>
      <w:tblPr>
        <w:tblW w:w="9410" w:type="dxa"/>
        <w:jc w:val="left"/>
        <w:tblInd w:w="0" w:type="dxa"/>
        <w:tblLayout w:type="fixed"/>
        <w:tblCellMar>
          <w:top w:w="0" w:type="dxa"/>
          <w:left w:w="0" w:type="dxa"/>
          <w:bottom w:w="0" w:type="dxa"/>
          <w:right w:w="0" w:type="dxa"/>
        </w:tblCellMar>
      </w:tblPr>
      <w:tblGrid>
        <w:gridCol w:w="7250"/>
        <w:gridCol w:w="140"/>
        <w:gridCol w:w="140"/>
        <w:gridCol w:w="770"/>
        <w:gridCol w:w="140"/>
        <w:gridCol w:w="140"/>
        <w:gridCol w:w="830"/>
      </w:tblGrid>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72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2024 Bonus Goal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(yes or no)</w:t>
            </w:r>
          </w:p>
        </w:tc>
      </w:tr>
      <w:tr>
        <w:trPr/>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Formation of a new (4th) operating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Complete the Business Combination with more than $20 million of net proceeds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each of the following milestones (or a achieving a certain threshold share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7250" w:type="dxa"/>
            <w:tcBorders/>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Formation of a new (4th) operating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shd w:fill="CCEEFF" w:val="clear"/>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$10 million of booked revenue for Accelsius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w:t>
            </w:r>
          </w:p>
        </w:tc>
      </w:tr>
      <w:tr>
        <w:trPr/>
        <w:tc>
          <w:tcPr>
            <w:tcW w:w="7250" w:type="dxa"/>
            <w:tcBorders/>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$15 million of GAAP revenue for AeroFlexx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No</w:t>
            </w:r>
          </w:p>
        </w:tc>
      </w:tr>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2024 bonuses were also subject to a stretch goal (formation of a new (5th) operating company), which would have resulted in an additional 50% payout.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the Compensation Committee (and the Board with respect to Mr. Haskell) determined that 85% of the 2024 bonus goals were achieved (as shown in the table above) and that the stretch goal was not achieved. As such, the Compensation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for the year in which payment is made and the applicable service requirements have lapsed.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Haskell also earned a cash bonus of $2,500,000 in connection with the successful consummation of the Business Combination in 2024.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2024 Equity-Based 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we adopted the Innventure, Inc. 2024 Equity and Incentive Compensation Plan (the “2024 Plan”). The 2024 Plan allows for equity compensation awards to our directors, employees and certain other service providers.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57508x2_424b3_111-executive_pg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2024, the Compensation Committee approved equity incentive awards for the NEOs consisting of service-based RSUs and stock options under the 2024 Plan. Awards for our NEOs were as follows: </w:t>
      </w:r>
    </w:p>
    <w:tbl>
      <w:tblPr>
        <w:tblW w:w="3365" w:type="dxa"/>
        <w:jc w:val="left"/>
        <w:tblInd w:w="0" w:type="dxa"/>
        <w:tblLayout w:type="fixed"/>
        <w:tblCellMar>
          <w:top w:w="0" w:type="dxa"/>
          <w:left w:w="0" w:type="dxa"/>
          <w:bottom w:w="0" w:type="dxa"/>
          <w:right w:w="0" w:type="dxa"/>
        </w:tblCellMar>
      </w:tblPr>
      <w:tblGrid>
        <w:gridCol w:w="1355"/>
        <w:gridCol w:w="140"/>
        <w:gridCol w:w="140"/>
        <w:gridCol w:w="695"/>
        <w:gridCol w:w="140"/>
        <w:gridCol w:w="140"/>
        <w:gridCol w:w="755"/>
      </w:tblGrid>
      <w:tr>
        <w:trPr/>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 Otworth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537,705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262,295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163,934</w:t>
            </w:r>
          </w:p>
        </w:tc>
      </w:tr>
      <w:tr>
        <w:trPr/>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set forth in the table above were granted with an exercise price of $12.20, the closing stock price on the date of grant. </w:t>
            </w:r>
          </w:p>
        </w:tc>
      </w:tr>
    </w:tbl>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options and RSUs granted to Mr. Otworth and Dr. Scott vested on October 2,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over a base price of $12.175 (the “Spread”). In general, the Accelsius SARs will be automatically exercised upon the earliest to occur of: (i) the 24-month anniversary of the grant date, (ii) the participant’s death, or (iii) the participant’s “disability” (as defined in the applicable award agreement). On June 25, 2025, each of Mr. Otworth and Dr. Scott entered into an amendment to his Accelsius SAR award (each, a “SAR Amendment”) to (1) clarify that any payment by the Company to the applicable NEO with respect to the Accelsius SARs will be made in the form of shares of Common Stock and (2) provide that the maximum number of shares of Common Stock that may be issued pursuant to each NEO’s Accelsius SAR award is 1,875,000 (the “Share Cap”). Under the SAR Amendments, the Company will not be required to pay either officer any amount in excess of the Share Cap (in the form of either equity or cash), even if the value of the number of shares of Common Stock issued in settlement of the Accelsius SARs is less than the aggregate Spread as a result of the Share Cap.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original terms of the Accelsius Incentive Units provided that they would generally vest over a three-year period, with 25% vesting on the grant date and 9.375% vesting quarterly beginning on the one-year anniversary of the grant date, subject to Mr. Otworth’s continued service to Accelsius or one of its subsidiaries. However, on August 11, 2025, each of the Compensation Committee and the Accelsius board of directors approved the acceleration and vesting, effective as of August 14, 2025, of Mr. Otworth’s unvested Accelsius Incentive Units (which totaled approximately 46,875 units).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57508x2_424b3_111-executive_pg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Policies and Practices Related to the Grant of Certain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approves equity awards granted to our NEOs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 </w:t>
      </w:r>
    </w:p>
    <w:tbl>
      <w:tblPr>
        <w:tblW w:w="10205" w:type="dxa"/>
        <w:jc w:val="left"/>
        <w:tblInd w:w="0" w:type="dxa"/>
        <w:tblLayout w:type="fixed"/>
        <w:tblCellMar>
          <w:top w:w="0" w:type="dxa"/>
          <w:left w:w="0" w:type="dxa"/>
          <w:bottom w:w="0" w:type="dxa"/>
          <w:right w:w="0" w:type="dxa"/>
        </w:tblCellMar>
      </w:tblPr>
      <w:tblGrid>
        <w:gridCol w:w="2863"/>
        <w:gridCol w:w="140"/>
        <w:gridCol w:w="140"/>
        <w:gridCol w:w="845"/>
        <w:gridCol w:w="140"/>
        <w:gridCol w:w="140"/>
        <w:gridCol w:w="1091"/>
        <w:gridCol w:w="140"/>
        <w:gridCol w:w="140"/>
        <w:gridCol w:w="1036"/>
        <w:gridCol w:w="140"/>
        <w:gridCol w:w="140"/>
        <w:gridCol w:w="1172"/>
        <w:gridCol w:w="140"/>
        <w:gridCol w:w="140"/>
        <w:gridCol w:w="1798"/>
      </w:tblGrid>
      <w:tr>
        <w:trPr/>
        <w:tc>
          <w:tcPr>
            <w:tcW w:w="2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vAlign w:val="center"/>
          </w:tcPr>
          <w:p>
            <w:pPr>
              <w:pStyle w:val="TableContents"/>
              <w:bidi w:val="0"/>
              <w:spacing w:before="0" w:after="0"/>
              <w:jc w:val="left"/>
              <w:rPr/>
            </w:pPr>
            <w:r>
              <w:rPr/>
              <w:t> </w:t>
            </w:r>
          </w:p>
        </w:tc>
      </w:tr>
      <w:tr>
        <w:trPr/>
        <w:tc>
          <w:tcPr>
            <w:tcW w:w="286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the 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closing market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the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between the trading day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the disclosure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material 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and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trading day beginning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following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disclosure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material 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w:t>
            </w:r>
          </w:p>
        </w:tc>
      </w:tr>
      <w:tr>
        <w:trPr/>
        <w:tc>
          <w:tcPr>
            <w:tcW w:w="2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 CEO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2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283"/>
              <w:ind w:left="8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283"/>
              <w:ind w:left="655" w:right="0" w:hanging="0"/>
              <w:jc w:val="left"/>
              <w:rPr>
                <w:color w:val="000000"/>
              </w:rPr>
            </w:pPr>
            <w:r>
              <w:rPr>
                <w:color w:val="000000"/>
              </w:rPr>
              <w:t xml:space="preserve">— </w:t>
            </w:r>
          </w:p>
        </w:tc>
      </w:tr>
      <w:tr>
        <w:trPr/>
        <w:tc>
          <w:tcPr>
            <w:tcW w:w="28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Mike Otworth, Executive Chairman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262,295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$1,712,786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vAlign w:val="center"/>
          </w:tcPr>
          <w:p>
            <w:pPr>
              <w:pStyle w:val="TableContents"/>
              <w:bidi w:val="0"/>
              <w:spacing w:before="0" w:after="283"/>
              <w:ind w:left="65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(0.88)% </w:t>
            </w:r>
          </w:p>
        </w:tc>
      </w:tr>
      <w:tr>
        <w:trPr/>
        <w:tc>
          <w:tcPr>
            <w:tcW w:w="28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Dr. John Scott, Chief Strategy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163,934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$1,070,489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283"/>
              <w:ind w:left="655" w:right="0" w:hanging="0"/>
              <w:jc w:val="left"/>
              <w:rPr>
                <w:rFonts w:ascii="Times New Roman;Times;serif" w:hAnsi="Times New Roman;Times;serif"/>
                <w:color w:val="000000"/>
                <w:sz w:val="20"/>
              </w:rPr>
            </w:pPr>
            <w:r>
              <w:rPr>
                <w:rFonts w:ascii="Times New Roman;Times;serif" w:hAnsi="Times New Roman;Times;serif"/>
                <w:color w:val="000000"/>
                <w:sz w:val="20"/>
              </w:rPr>
              <w:t>(0.88)%</w:t>
            </w:r>
          </w:p>
        </w:tc>
      </w:tr>
      <w:tr>
        <w:trPr/>
        <w:tc>
          <w:tcPr>
            <w:tcW w:w="286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Incentive Units Granted in Prior Years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Innventure LLC</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prior years, Innventure LLC granted Class C Units of Innventure LLC (“Innventure Incentive Units”) to certain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LLC did not grant Innventure Incentive Units to any of the NEOs in 2024. </w:t>
      </w:r>
    </w:p>
    <w:p>
      <w:pPr>
        <w:pStyle w:val="TextBody"/>
        <w:bidi w:val="0"/>
        <w:spacing w:before="2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Accelsius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and Consulting Arrangements with our NEOs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Gregory W. (Bill) Haskell</w:t>
      </w:r>
      <w:r>
        <w:rPr>
          <w:rFonts w:ascii="Times New Roman;Times;serif" w:hAnsi="Times New Roman;Times;serif"/>
          <w:i w:val="false"/>
          <w:caps w:val="false"/>
          <w:smallCaps w:val="false"/>
          <w:color w:val="000000"/>
          <w:sz w:val="20"/>
        </w:rPr>
        <w:t xml:space="preserve">: Innventure LLC is party to an offer letter, dated January 5, 2021, with Mr. Haskell (the “Haskell Letter”). The Haskell Letter provides for, among other things, an initial base salary rate of $200,000 per year, and an opportunity for Mr. Haskell to receive certain equity awards from Innventure LLC and new companies affiliated with Innventure LLC. Mr. Haskell’s base salary in 2024 was $300,000 per year. In January 2025, Mr. Haskell’s base salary was increased again to $700,000 per year.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57508x2_424b3_111-executive_pg5"/>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Mike Otworth</w:t>
      </w:r>
      <w:r>
        <w:rPr>
          <w:rFonts w:ascii="Times New Roman;Times;serif" w:hAnsi="Times New Roman;Times;serif"/>
          <w:i w:val="false"/>
          <w:caps w:val="false"/>
          <w:smallCaps w:val="false"/>
          <w:color w:val="000000"/>
          <w:sz w:val="20"/>
        </w:rPr>
        <w:t xml:space="preserve">: Innventure LLC is party to a Contractor Agreement for Services, effective November 16, 2023, with Sugar Grove Ventures, LLC, an independent contractor (the “Otworth Service 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Dr. John Scott</w:t>
      </w:r>
      <w:r>
        <w:rPr>
          <w:rFonts w:ascii="Times New Roman;Times;serif" w:hAnsi="Times New Roman;Times;serif"/>
          <w:i w:val="false"/>
          <w:caps w:val="false"/>
          <w:smallCaps w:val="false"/>
          <w:color w:val="000000"/>
          <w:sz w:val="20"/>
        </w:rPr>
        <w:t xml:space="preserve">: Innventure LLC is party to a Statement of Work, effective April 1, 2018, with Corporate Development Group LLC, an independent contractor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2024 Fiscal Year-End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and related footnotes set forth information about the outstanding equity awards held by the NEOs as of December 31, 2024. </w:t>
      </w:r>
    </w:p>
    <w:tbl>
      <w:tblPr>
        <w:tblW w:w="10205" w:type="dxa"/>
        <w:jc w:val="left"/>
        <w:tblInd w:w="0" w:type="dxa"/>
        <w:tblLayout w:type="fixed"/>
        <w:tblCellMar>
          <w:top w:w="0" w:type="dxa"/>
          <w:left w:w="0" w:type="dxa"/>
          <w:bottom w:w="0" w:type="dxa"/>
          <w:right w:w="0" w:type="dxa"/>
        </w:tblCellMar>
      </w:tblPr>
      <w:tblGrid>
        <w:gridCol w:w="1946"/>
        <w:gridCol w:w="140"/>
        <w:gridCol w:w="140"/>
        <w:gridCol w:w="1181"/>
        <w:gridCol w:w="140"/>
        <w:gridCol w:w="140"/>
        <w:gridCol w:w="829"/>
        <w:gridCol w:w="140"/>
        <w:gridCol w:w="140"/>
        <w:gridCol w:w="905"/>
        <w:gridCol w:w="140"/>
        <w:gridCol w:w="140"/>
        <w:gridCol w:w="589"/>
        <w:gridCol w:w="140"/>
        <w:gridCol w:w="140"/>
        <w:gridCol w:w="828"/>
        <w:gridCol w:w="140"/>
        <w:gridCol w:w="140"/>
        <w:gridCol w:w="974"/>
        <w:gridCol w:w="140"/>
        <w:gridCol w:w="140"/>
        <w:gridCol w:w="993"/>
      </w:tblGrid>
      <w:tr>
        <w:trPr/>
        <w:tc>
          <w:tcPr>
            <w:tcW w:w="19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1"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7" w:type="dxa"/>
            <w:gridSpan w:val="4"/>
            <w:tcBorders/>
            <w:vAlign w:val="center"/>
          </w:tcPr>
          <w:p>
            <w:pPr>
              <w:pStyle w:val="TableContents"/>
              <w:bidi w:val="0"/>
              <w:spacing w:before="0" w:after="0"/>
              <w:jc w:val="left"/>
              <w:rPr/>
            </w:pPr>
            <w:r>
              <w:rPr/>
              <w:t> </w:t>
            </w:r>
          </w:p>
        </w:tc>
      </w:tr>
      <w:tr>
        <w:trPr/>
        <w:tc>
          <w:tcPr>
            <w:tcW w:w="1946" w:type="dxa"/>
            <w:vMerge w:val="restart"/>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81" w:type="dxa"/>
            <w:vMerge w:val="restart"/>
            <w:tcBorders>
              <w:bottom w:val="single" w:sz="8" w:space="0" w:color="000000"/>
            </w:tcBorders>
            <w:tcMar>
              <w:bottom w:w="35" w:type="dxa"/>
            </w:tcMar>
            <w:vAlign w:val="center"/>
          </w:tcPr>
          <w:p>
            <w:pPr>
              <w:pStyle w:val="TableContents"/>
              <w:bidi w:val="0"/>
              <w:spacing w:lineRule="auto" w:line="240" w:before="0" w:after="283"/>
              <w:jc w:val="center"/>
              <w:rPr>
                <w:rFonts w:ascii="Times New Roman;Times;serif" w:hAnsi="Times New Roman;Times;serif"/>
                <w:b/>
                <w:color w:val="000000"/>
                <w:sz w:val="15"/>
              </w:rPr>
            </w:pPr>
            <w:r>
              <w:rPr>
                <w:rFonts w:ascii="Times New Roman;Times;serif" w:hAnsi="Times New Roman;Times;serif"/>
                <w:b/>
                <w:color w:val="000000"/>
                <w:sz w:val="15"/>
              </w:rPr>
              <w:t>Type of Award(1)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1" w:type="dxa"/>
            <w:gridSpan w:val="10"/>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7" w:type="dxa"/>
            <w:gridSpan w:val="4"/>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1946" w:type="dxa"/>
            <w:vMerge w:val="continue"/>
            <w:tcBorders>
              <w:bottom w:val="single" w:sz="8" w:space="0" w:color="000000"/>
            </w:tcBorders>
            <w:tcMar>
              <w:bottom w:w="35"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81" w:type="dxa"/>
            <w:vMerge w:val="continue"/>
            <w:tcBorders>
              <w:bottom w:val="single" w:sz="8" w:space="0" w:color="000000"/>
            </w:tcBorders>
            <w:tcMar>
              <w:bottom w:w="35"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Not Vested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194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Gregory W. (Bill)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Refinity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color w:val="000000"/>
              </w:rPr>
            </w:pPr>
            <w:r>
              <w:rPr>
                <w:color w:val="000000"/>
              </w:rPr>
              <w:t xml:space="preserve">— </w:t>
            </w:r>
          </w:p>
        </w:tc>
      </w:tr>
      <w:tr>
        <w:trPr/>
        <w:tc>
          <w:tcPr>
            <w:tcW w:w="1946"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Mike Otworth</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INV Options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lineRule="auto" w:line="240"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262,295(2)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12/9/2034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center"/>
              <w:rPr>
                <w:color w:val="000000"/>
              </w:rPr>
            </w:pPr>
            <w:r>
              <w:rPr>
                <w:color w:val="000000"/>
              </w:rPr>
              <w:t> </w:t>
            </w:r>
          </w:p>
        </w:tc>
      </w:tr>
      <w:tr>
        <w:trPr/>
        <w:tc>
          <w:tcPr>
            <w:tcW w:w="1946"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Refinity Units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color w:val="000000"/>
              </w:rPr>
            </w:pPr>
            <w:r>
              <w:rPr>
                <w:color w:val="000000"/>
              </w:rPr>
              <w:t>—</w:t>
            </w:r>
          </w:p>
        </w:tc>
      </w:tr>
      <w:tr>
        <w:trPr/>
        <w:tc>
          <w:tcPr>
            <w:tcW w:w="1946"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lineRule="auto" w:line="240"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150,000(3)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center"/>
              <w:rPr>
                <w:color w:val="000000"/>
              </w:rPr>
            </w:pPr>
            <w:r>
              <w:rPr>
                <w:color w:val="000000"/>
              </w:rPr>
              <w:t> </w:t>
            </w:r>
          </w:p>
        </w:tc>
      </w:tr>
      <w:tr>
        <w:trPr/>
        <w:tc>
          <w:tcPr>
            <w:tcW w:w="1946"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RSUs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537,705(5)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7,447,214 </w:t>
            </w:r>
          </w:p>
        </w:tc>
      </w:tr>
      <w:tr>
        <w:trPr/>
        <w:tc>
          <w:tcPr>
            <w:tcW w:w="1946"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75,000</w:t>
            </w:r>
            <w:r>
              <w:rPr>
                <w:rFonts w:ascii="Times New Roman;Times;serif" w:hAnsi="Times New Roman;Times;serif"/>
                <w:color w:val="000000"/>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lineRule="auto" w:line="240"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3,147,750(7)</w:t>
            </w:r>
          </w:p>
        </w:tc>
      </w:tr>
      <w:tr>
        <w:trPr/>
        <w:tc>
          <w:tcPr>
            <w:tcW w:w="194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Dr. John Scott</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lineRule="auto" w:line="240"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163,934(2)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12/9/2034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center"/>
              <w:rPr>
                <w:color w:val="000000"/>
              </w:rPr>
            </w:pPr>
            <w:r>
              <w:rPr>
                <w:color w:val="000000"/>
              </w:rPr>
              <w:t> </w:t>
            </w:r>
          </w:p>
        </w:tc>
      </w:tr>
      <w:tr>
        <w:trPr/>
        <w:tc>
          <w:tcPr>
            <w:tcW w:w="1946"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Refinity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102" w:right="0" w:hanging="0"/>
              <w:jc w:val="left"/>
              <w:rPr>
                <w:color w:val="000000"/>
              </w:rPr>
            </w:pPr>
            <w:r>
              <w:rPr>
                <w:color w:val="000000"/>
              </w:rPr>
              <w:t>—</w:t>
            </w:r>
          </w:p>
        </w:tc>
      </w:tr>
      <w:tr>
        <w:trPr/>
        <w:tc>
          <w:tcPr>
            <w:tcW w:w="1946"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SARs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lineRule="auto" w:line="240"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150,000(3)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12.175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center"/>
              <w:rPr>
                <w:color w:val="000000"/>
              </w:rPr>
            </w:pPr>
            <w:r>
              <w:rPr>
                <w:color w:val="000000"/>
              </w:rPr>
              <w:t> </w:t>
            </w:r>
          </w:p>
        </w:tc>
      </w:tr>
      <w:tr>
        <w:trPr/>
        <w:tc>
          <w:tcPr>
            <w:tcW w:w="1946"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336,066(5)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4,654,514 </w:t>
            </w:r>
          </w:p>
        </w:tc>
      </w:tr>
      <w:tr>
        <w:trPr/>
        <w:tc>
          <w:tcPr>
            <w:tcW w:w="1946"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lineRule="auto" w:line="240"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9,375</w:t>
            </w:r>
            <w:r>
              <w:rPr>
                <w:rFonts w:ascii="Times New Roman;Times;serif" w:hAnsi="Times New Roman;Times;serif"/>
                <w:color w:val="000000"/>
                <w:sz w:val="18"/>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lineRule="auto" w:line="240"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434,813</w:t>
            </w:r>
            <w:r>
              <w:rPr>
                <w:rFonts w:ascii="Times New Roman;Times;serif" w:hAnsi="Times New Roman;Times;serif"/>
                <w:color w:val="000000"/>
                <w:sz w:val="18"/>
              </w:rPr>
              <w:t>(7)</w:t>
            </w:r>
          </w:p>
        </w:tc>
      </w:tr>
      <w:tr>
        <w:trPr/>
        <w:tc>
          <w:tcPr>
            <w:tcW w:w="194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Type of Award: Refinity Units – Refinity Incentive Units; INV Options – stock options to purchase shares of Common Stock; INV RSUs – RSUs settled in shares of Common Stock; Accelsius SARs – awards granted by Innventure and settled in shares of Common Stock, the value of which is determined based on the increase in value of Class A Common Units of Accelsius; Accelsius Units – Accelsius Incentive Units. </w:t>
            </w:r>
          </w:p>
        </w:tc>
      </w:tr>
    </w:tbl>
    <w:tbl>
      <w:tblPr>
        <w:tblW w:w="3595" w:type="dxa"/>
        <w:jc w:val="left"/>
        <w:tblInd w:w="0" w:type="dxa"/>
        <w:tblLayout w:type="fixed"/>
        <w:tblCellMar>
          <w:top w:w="0" w:type="dxa"/>
          <w:left w:w="0" w:type="dxa"/>
          <w:bottom w:w="0" w:type="dxa"/>
          <w:right w:w="0" w:type="dxa"/>
        </w:tblCellMar>
      </w:tblPr>
      <w:tblGrid>
        <w:gridCol w:w="230"/>
        <w:gridCol w:w="33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stock options vested on October 2, 2025.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general, these Accelsius SARs will be automatically exercised upon the earliest to occur of: (i) the 24-month anniversary of the grant date, (ii) the participant’s death, or (iii) the participant’s “disability” (as defined in the applicable award agreement).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 </w:t>
            </w:r>
          </w:p>
        </w:tc>
      </w:tr>
    </w:tbl>
    <w:tbl>
      <w:tblPr>
        <w:tblW w:w="3055" w:type="dxa"/>
        <w:jc w:val="left"/>
        <w:tblInd w:w="0" w:type="dxa"/>
        <w:tblLayout w:type="fixed"/>
        <w:tblCellMar>
          <w:top w:w="0" w:type="dxa"/>
          <w:left w:w="0" w:type="dxa"/>
          <w:bottom w:w="0" w:type="dxa"/>
          <w:right w:w="0" w:type="dxa"/>
        </w:tblCellMar>
      </w:tblPr>
      <w:tblGrid>
        <w:gridCol w:w="230"/>
        <w:gridCol w:w="28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28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vested on October 2, 2025.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March 22, 2024, Accelsius granted to Mr. Otworth 100,000 Accelsius Incentive Units, with an Accelsius Distribution Threshold of $4.41. In general, these Accelsius Incentive Units were originally scheduled to vest over a three-year period, with 25% vesting on the grant date and 9.375% vesting quarterly beginning on the one-year anniversary of the grant date, subject to Mr. Otworth’s continued service to Accelsius or one of its subsidiaries. However, as noted above, on August 11, 2025, each of the Compensation Committee and the Accelsius board of directors approved the acceleration and vesting of the then-unvested portion of Mr. Otworth’s Accelsius Incentive Units effective as of August 14, 2025.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57508x2_424b3_111-executive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Narrative Disclosure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Qualified Retirement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did not offer a defined benefit pension plan or nonqualified deferred compensation plan for its NEOs during 2024.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and Change in Control Compensation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Under NEO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agreements or offer letters with the NEOs provide for severance compensation in the event of a termination of employment. </w:t>
      </w:r>
    </w:p>
    <w:p>
      <w:pPr>
        <w:pStyle w:val="TextBody"/>
        <w:bidi w:val="0"/>
        <w:spacing w:before="3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Innventure 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RSUs, stock options and Accelsius SARs granted under the 2024 Plan are eligible to vest or are automatically exercised as follows in the event of certain termination and change in control scenarios.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RSUs.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an NEO’s employment is terminated due to death or disability, the RSUs will vest in full. If an NEO remains employed through the date of a “change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an NEO’s employment is terminated due to death or disability, the unvested portion of the option will vest in full upon termination. If an 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Accelsius SARs.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Accelsius SARs granted in December 2024 were fully vested upon grant and will be automatically exercised upon the earliest to occur of: (i) the 24-month anniversary of the date of grant, (ii) the participant’s death, or (iii) the participant’s disability (as defined in the applicable award agreement).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Incentive Units Upon a Termination of Employment or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above, Innventure Incentive Units held by the NEOs vested (to the extent unvested) at the time of the Business Combination and were cancelled in exchange for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Refinity Incentive Units, if an NEO’s employment or service is terminated, then Refinity Holdings may redeem such NEO’s vested Refinity Incentive Units for their fair market value (as defined in the applicable award agreements pursuant to which Refinity Incentive Units are granted), except that if the termination is by Refinity Holdings for cause (as defined in the Refinity Holdings, LLC PI Unit Incentive Plan), such vested and unvested Refinity Incentive Units may be redeemed by Refinity Holdings for $0.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57508x2_424b3_111-executive_pg7"/>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Accelsius Incentive Units and Refinity Incentive Units upon a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Accelsius Incentive Units and Refinity Incentive Units if Accelsius or Refinity Holdings, respectively, experiences a change in control (as defined in the applicable award agreement pursuant to which the Incentive Units were granted), 100% of such Accelsius Incentive Units or Refinity Incentive Units, as applicable, to the extent not yet vested, will vest.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Bill Haskell, David Yablunosky, Mike Otworth, Suzanne Niemeyer, James Donnally, Bruce Brown, Elizabeth Williams, Daniel Hennessy, and Michael Amalfitano served on the Innventure Board during 2024.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Non-Management Director Compensation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our Board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Initial Equity Grant</w:t>
            </w:r>
            <w:r>
              <w:rPr>
                <w:rFonts w:ascii="Times New Roman;Times;serif" w:hAnsi="Times New Roman;Times;serif"/>
                <w:color w:val="000000"/>
                <w:sz w:val="20"/>
              </w:rPr>
              <w:t xml:space="preserve">: Each non-management director that became a member of our Board as of the Closing Date and who was still serving on our Board on the third business day following the effective date of the Director Compensation Plan received RSUs with a targeted value of $90,000 on such date, in respect of their service from the Closing and the date of the Company’s first annual meeting of stockholders. Such RSUs vested on the date of our 2025 annual meeting of stockholders, subject to each non-management director providing service on our Board through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Quarterly cash retainer</w:t>
            </w:r>
            <w:r>
              <w:rPr>
                <w:rFonts w:ascii="Times New Roman;Times;serif" w:hAnsi="Times New Roman;Times;serif"/>
                <w:color w:val="000000"/>
                <w:sz w:val="20"/>
              </w:rPr>
              <w:t xml:space="preserve">: Each non-management director will receive an annual cash retainer fee of $80,000, paid in arrears on a quarterly basis. The annual cash retainer fee will be prorated in the event that a non-management director serves on our Board for a portion of any calendar quarter.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Annual equity retainer</w:t>
            </w:r>
            <w:r>
              <w:rPr>
                <w:rFonts w:ascii="Times New Roman;Times;serif" w:hAnsi="Times New Roman;Times;serif"/>
                <w:color w:val="000000"/>
                <w:sz w:val="20"/>
              </w:rPr>
              <w:t xml:space="preserve">: On the date of each of our regularly scheduled annual meetings of stockholders, each 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Committee retainers</w:t>
            </w:r>
            <w:r>
              <w:rPr>
                <w:rFonts w:ascii="Times New Roman;Times;serif" w:hAnsi="Times New Roman;Times;serif"/>
                <w:color w:val="000000"/>
                <w:sz w:val="20"/>
              </w:rPr>
              <w:t xml:space="preserve">: Each non-management director who serves as the chairperson of a standing committee of our Board will receive an annual 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 arrears on a quarterly basis and prorated in the event that such non-management director serves in such position for a portion of any calendar quarter.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Plan was amended and restated on June 23, 2025. The primary purpose of this amendment and restatement was a change to allow non-management directors to make an election to receive shares of Common Stock in lieu of any annual retainers, chairperson retainers and/or committee member retainers (each as described above) that would otherwise be payable in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57508x2_424b3_111-executive_pg8"/>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2024 Director Compensation </w:t>
      </w:r>
    </w:p>
    <w:tbl>
      <w:tblPr>
        <w:tblW w:w="6440" w:type="dxa"/>
        <w:jc w:val="left"/>
        <w:tblInd w:w="0" w:type="dxa"/>
        <w:tblLayout w:type="fixed"/>
        <w:tblCellMar>
          <w:top w:w="0" w:type="dxa"/>
          <w:left w:w="0" w:type="dxa"/>
          <w:bottom w:w="0" w:type="dxa"/>
          <w:right w:w="0" w:type="dxa"/>
        </w:tblCellMar>
      </w:tblPr>
      <w:tblGrid>
        <w:gridCol w:w="1730"/>
        <w:gridCol w:w="140"/>
        <w:gridCol w:w="140"/>
        <w:gridCol w:w="1130"/>
        <w:gridCol w:w="140"/>
        <w:gridCol w:w="140"/>
        <w:gridCol w:w="1010"/>
        <w:gridCol w:w="140"/>
        <w:gridCol w:w="140"/>
        <w:gridCol w:w="695"/>
        <w:gridCol w:w="140"/>
        <w:gridCol w:w="140"/>
        <w:gridCol w:w="755"/>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Donnally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899,499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Bruce Brown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117,499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Elizabeth Williams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114,999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Daniel Hennessy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114,999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Amalfitano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114,999</w:t>
            </w:r>
          </w:p>
        </w:tc>
      </w:tr>
      <w:tr>
        <w:trPr/>
        <w:tc>
          <w:tcPr>
            <w:tcW w:w="1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grant date fair value of the RSUs, calculated in accordance with FASB ASC Topic 718. For information regarding assumptions used in calculating these values, see Note 14 to the consolidated financial statements included elsewhere in this prospectus. As of December 31, 2024, the non-management directors held the following outstanding stock awards: each of Messrs. Donnally, Brown, Hennessy and Amalfitano and Ms. Williams, 7,377 RSUs.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grant date fair value of the Accelsius SARs, calculated in accordance with FASB ASC Topic 718. For information regarding assumptions used in calculating these values, see Note 14 to the consolidated financial statements included elsewhere in this prospectus.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On June 25, 2025, Mr. Donnally entered into a SAR Amendment on substantially the same terms as those described above that apply to Mr. Otworth and Dr. Scott, except that the Share Cap applicable to Mr. Donnally’s Accelsius SARs is 250,000. As of December 31, 2024, Mr. Donnally held 20,000 Accelsius SARs. Mr. Donnally was granted these Accelsius SARs in respect of prior service.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57508x2_424b3_112-certain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7" w:name="tCRR"/>
      <w:bookmarkEnd w:id="97"/>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Unless otherwise indicated, all dollar amounts (“$”) in this section are expressed in thousands, except share and per share amounts.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each transaction since January 1, 2023 and each currently proposed transaction in which Innventure LLC, Innventure or the Innventure Companies has been or is to be a participant and: </w:t>
      </w:r>
    </w:p>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involved exceeded or exceeds $120;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such company’s directors, executive officers, or holders of more than 5% of its capital stock, or any immediate family member of, or person sharing the household with, any of these individuals, had or will have a direct or indirect material interest.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Transactions with AeroFlexx, Accelsius, Innventus ESG Fund I, L.P., Innventure1, LLC, and L1FE Management Limited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a Management Services Agreement dated January 22, 2021 (as amended on October 1, 2021), between Innventure LLC and L1FE Management Limited, an entity of which Roland Austrup, Innventure’s Chief Growth Officer, is an officer and director and in which Mr. Austrup owns a 100% interest, Mr. Austrup earns fees for providing services generally performed by a chief financial officer for Innventure LLC. For the years ended December 31, 2024 and 2023, Innventure LLC paid $300 and $300, respectively, for these services. As of December 31, 2024 and 2023, Innventure LLC owed to L1FE Management Limited approximately $0 and $13, respectively.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Indebtedness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57508x2_424b3_112-certain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aggregate amount of principal outstanding is $10,000, and no interest or principal has been paid on the Term Loans. As of September 30, 2025, the amount outstanding was $10,000 following the conversion of $7,300 on January 2, 2025 and the inclusion of the $4,400 informal loan under the AeroFlexx Loan Agreement. Subsequent to the date on which the $10,000 cap on the AeroFlexx Loan Agreement was achieved, Innventure has also informally loaned an additional $7,761 to AeroFlexx.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30, 2023, Innventure LLC entered into the Innventure Convertible Line of Credit with Accelsius. Under the Innventure Convertible Line of Credit, Innventure LLC agreed to loan, from time to time, up to $6,000 in term loans to Accelsius, with a minimum loan of $10 per term loan. On December 13, 2023, the Innventure Convertible Line of Credit was amended to increase the aggregate amount available to be loaned to Accelsius to $12,000. On April 10, 2024, the Innventure Convertible Line of Credit was amended to allow for all or any portion of the term loans to be re-borrowed. On July 1, 2024, the Innventure Convertible Line of Credit was amended to remove the requirement that interest under the term loans be paid in kind. On April 1, 2025, the Innventure Convertible Line of Credit was amended to increase the aggregate amount available to be loaned to Accelsius to $20,000, to amend the definition of “Qualified Financing,” and to give Innventure LLC the option to convert into equity any portion of the outstanding principal amount of the term loans being repaid, subject to certain conditions. On September 18, 2025, the Innventure Convertible Line of Credit was amended to convert approximately $550 of accrued interest into Series A Units of Accelsius and to amend the optional conversion terms.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the same class or series of equity securities of Accelsius issued in a bona fide equity financing occurring after April 1, 2025 with proceeds to Accelsius of at least $3,000 that is primarily for capital raising purposes. On October 2, 2025, in connection with the JCI Closing, a Qualified Financing (as defined therein) occurred, and the loan became convertible into Series B-1 Units (as defined below). To date, Accelsius has borrowed $19,260 in the aggregate, of which $12,000 of principal has been repaid and $500 of accrued unpaid interest has been converted into Series A Units of Accelsius. As of September 30, 2025, approximately $7,560 was outstanding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57508x2_424b3_112-certain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Convertible Line of Credit, including $147 of accrued interest. As described elsewhere in this prospectus, all intercompany transactions and balances have been eliminated in consolidation, including those related to the Innventure Convertible Line of Credit with Accelsius.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date, Innventure LLC has informally loaned Refinity Holdings $2,831.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Involving Innventure1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ESG Fund Obligations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24, 2023, Innventure LLC and WE-INN LLC paid to the ESG Fund its capital call obligation of approximately $100.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B-1 Unit Purchase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Capital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Intercompany Advancement of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57508x2_424b3_112-certain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 of the respective advances have been fully reimbursed, and the remainder is added to the respective letter-of-credit outstanding balance or otherwise remains outstanding. The following table details the aggregate amount advanced to each company (in excess of $120) per year since 2023: </w:t>
      </w:r>
    </w:p>
    <w:tbl>
      <w:tblPr>
        <w:tblW w:w="2883" w:type="dxa"/>
        <w:jc w:val="left"/>
        <w:tblInd w:w="0" w:type="dxa"/>
        <w:tblLayout w:type="fixed"/>
        <w:tblCellMar>
          <w:top w:w="0" w:type="dxa"/>
          <w:left w:w="0" w:type="dxa"/>
          <w:bottom w:w="0" w:type="dxa"/>
          <w:right w:w="0" w:type="dxa"/>
        </w:tblCellMar>
      </w:tblPr>
      <w:tblGrid>
        <w:gridCol w:w="1205"/>
        <w:gridCol w:w="140"/>
        <w:gridCol w:w="140"/>
        <w:gridCol w:w="531"/>
        <w:gridCol w:w="168"/>
        <w:gridCol w:w="168"/>
        <w:gridCol w:w="531"/>
      </w:tblGrid>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8" w:type="dxa"/>
            <w:gridSpan w:val="4"/>
            <w:tcBorders/>
            <w:vAlign w:val="center"/>
          </w:tcPr>
          <w:p>
            <w:pPr>
              <w:pStyle w:val="TableContents"/>
              <w:bidi w:val="0"/>
              <w:spacing w:before="0" w:after="0"/>
              <w:jc w:val="left"/>
              <w:rPr/>
            </w:pPr>
            <w:r>
              <w:rPr/>
              <w:t> </w:t>
            </w:r>
          </w:p>
        </w:tc>
      </w:tr>
      <w:tr>
        <w:trPr/>
        <w:tc>
          <w:tcPr>
            <w:tcW w:w="12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Company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Accelsius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AeroFlexx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ESG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Refinity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$539</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$120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AeroFlexx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 and Security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James Donnally, a member of the Board, also serves as a director of Auto Now Acceptance Company, the parent company of Auto Now.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Accelsius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2022 Convertible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18, 2022, pursuant to a note purchase agreement (the “Series I Note Purchase Agreement”), by and among Accelsius, the ESG Fund and the other parties thereto, Accelsius issued a convertible promissory note to the ESG Fund in an aggregate principal amount of $4,000 (the “2022 Accelsius Convertible Notes”).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57508x2_424b3_112-certain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2022 Accelsius Convertible Notes accrued interest at a rate of 8% per year and were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total amount of interest accrued and due to the ESG Fund in the fiscal year ended December 31, 2023 was approximately $500. As of December 31, 2024, the total amount of interest accrued and due to the ESG Fund in 2024 was $0.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 2023, the Series I Note Purchase Agreement was amended and restated to permit Accelsius to issue and sell additional 2022 Accelsius Convertible Notes to such persons or entities (including to the ESG Fund if the ESG Fund desires to acquire additional 2022 Accelsius Convertible Notes) as determined by Accelsius, until the earlier of (i) such time as the aggregate amount of principal indebtedness evidenced by all of the 2022 Accelsius Convertible Notes issued and sold pursuant to the note purchase agreement equals a total of $6,000 or (ii) July 31, 2023. In March 2024, the 2022 Accelsius Convertible Notes were converted into 693,480 Accelsius Series A Units at a conversion price of $9.74 per unit. Since the date of the 2022 Accelsius Convertible Notes, the largest aggregate amount of principal outstanding was approximately $6,000. </w:t>
      </w:r>
    </w:p>
    <w:p>
      <w:pPr>
        <w:pStyle w:val="TextBody"/>
        <w:bidi w:val="0"/>
        <w:spacing w:before="3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Series 2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 2023, the ESG Fund purchased 23,712 Class A Series 2 Units of Accelsius for aggregate proceeds of approximately $100. </w:t>
      </w:r>
    </w:p>
    <w:p>
      <w:pPr>
        <w:pStyle w:val="TextBody"/>
        <w:bidi w:val="0"/>
        <w:spacing w:before="3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Convertible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26, 2025, Accelsius entered into the CPN with Mr. Joshua Claman, Chief Executive Officer of Accelsius. The maximum principal amount under the CPN is $3,000, issuable in three equal draws, upon the request of Accelsius and subject to Mr. Claman’s sole discretion. Accelsius received the first draw amounting to $1,000 on June 27, 2025 and the second draw amounting to $1,000 on July 24, 2025. The CPN has a stated interest rate of 15% and Accelsius is required to pay a loan fee (“Loan Fee”) of $35 upon maturity, repayment or conversion of this note. Since the CPN was issued, the largest aggregate amount of principal outstanding was approximately $12,000. The CPN was repaid in full, including $73,562 of interest and a $35,000 fee, on October 8,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CPN was convertible at the option of Mr. Claman for all amounts due under this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In connection with the JCI Closing, the CPN became convertible into Series B-2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CPN had a maturity date of December 31, 2025; was subordinated to the WTI Facility and the Convertible Debentures; and each of the WTI Lenders and Yorkville have been granted certain rights under the CPN. As a result of the JCI Closing, Mr. Claman had the right to demand payment of such note at any time, and the CPN was no longer subordinated to repayments of indebtedness under the WTI Facility and the Convertible Debentures. Furthermore, pursuant to a Side Letter, dated June 26, 2025, by and among the Company, Innventure LLC, Accelsius and Mr. Claman, until such time as the CPN was either repaid in full or converted into equity of Accelsius, the Company could not seek repayment of any portion of the Innventure Convertible Line of Credit (subject to certain exceptions).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Accelsius also issued the Related Party Term Convertible Notes to each of Robert Wehmeyer, the Chief Financial Officer of Accelsius, Mr. Claman, Chief Executive Officer of Accelsius, WE-INN LLC, and Ascent Accelsius, A Series of Ascent X Innventure, LP, each considered to be a Related Party (as defined in the Company’s Related Party Transactions Policy), and certain affiliates of such lenders, for a total principal amount of $4,250.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 Term Convertible Notes have a stated maturity date of December 31, 2026 and bear interest at the annual applicable federal rate published by the Internal Revenue Service. Since the Related Party Term Convertible Notes were issued, the largest aggregate amount of principal outstanding was approximately $12,000, and no interest or principal has been paid on the Related Party Term Convertible Notes. Accelsius applied the proceeds from the issuance of the Related Party Term Convertible Notes to repay borrowings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57508x2_424b3_112-certain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Innventure Convertible Line of Credit. As a result of the Repayment, the Company’s indirect beneficial holdings, through Innventure LLC, of Accelsius may be reduced in the event that the Term Convertible Notes are converted into Series A Units of Accelsius.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Related Party Transactions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Rights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terms of the Business Combination Agreement, at the Closing, Innventure and Founding Investors entered into the Investor Rights Agreement. See the section entitled “</w:t>
      </w:r>
      <w:r>
        <w:rPr>
          <w:rFonts w:ascii="Times New Roman;Times;serif" w:hAnsi="Times New Roman;Times;serif"/>
          <w:i/>
          <w:color w:val="000000"/>
          <w:sz w:val="20"/>
        </w:rPr>
        <w:t>Management—Director Nominations—Agreements to Nominate Certain Directors</w:t>
      </w:r>
      <w:r>
        <w:rPr>
          <w:rFonts w:ascii="Times New Roman;Times;serif" w:hAnsi="Times New Roman;Times;serif"/>
          <w:color w:val="000000"/>
          <w:sz w:val="20"/>
        </w:rPr>
        <w:t xml:space="preserve">” for more information.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Lock-Up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the Business Combination Agreement, certain members of Innventure LLC (the “MSA Lock-Up Parties”) entered into a Member Support Agreement with Learn CW, Innventure, and Holdco (the “Member Support Agreement”)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the Business Combination Agreement, certain insiders of Innventure entered into lock-up agreements, pursuant to which such persons agreed to restrictions on the transfer of their shares of Common Stock, subject to certain exceptions, for a period ending upon the earlier of (A) the expiration of one year after the Closing and (B) subsequent to the Closing, (i) if the closing price of Common Stock equaled or exceeded $12.00 per share (as adjusted for share subdivisions, share capitalizations, reorganizations, recapitalizations and the like) for any 20 trading days within any 30-trading day period commencing at least 150 days after the Closing or (ii) the date which Innventure completed a merger, liquidation, stock exchange, reorganization or other similar transaction after the Closing that would have resulted in all of the public stockholders of Innventure having the right to exchange their shares of Common Stock for cash securities or other property. On October 2, 2025, the restrictions pursuant to the aforementioned lock-up agreements lapsed with respect to the shares of Common Stock held by such insiders of Innventure.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Learn CW’s initial public offering, Learn CW entered into a Letter Agreement (the “2021 Letter Agreement”), dated October 7, 2021, among Learn CW and its officers, directors, director nominees and CWAM LC Sponsor LLC, Learn CW’s former Sponsor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completed a liquidation, merger, share exchange or other similar transaction that would have resulted in all of Learn CW’s shareholders having the right to exchange their Learn CW Class A ordinary shares, par value $0.0001 per share (the “Ordinary Shares”), for cash, securities or other property. The Founder Shares and the Ordinary Shares were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57508x2_424b3_112-certain_pg7"/>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converted into shares of Common Stock at the Closing. Pursuant to the terms of the 2021 Letter Agreement, and notwithstanding the foregoing, if, subsequent to the Closing, the closing price of the Common Stock would have equaled or exceeded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would have been released from lock-up. On October 2, 2025, the restrictions pursuant to the lock-up under the 2021 Letter Agreement lapsed with respect to the Common Stock held by Learn CW and its officers, directors, director nominees and the Sponsor.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Family Relationship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Colin Scott (the son of Dr. John Scott, our Chief Strategy Officer) is an employee of Innventure and serves on the Accelsius board of directors. Mr. Colin Scott earned $325 and $216 for the years ended December 31, 2024 and 2023, respectively.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Aircraft Time Sharing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Since the beginning of 2025, Innventure has made reimbursements to Mr. Otworth and Dr. Scott in the amounts of $250 and $5, respectively. Mr. Otworth was the Executive Chairman of Innventure LLC and is now Innventure’s Executive Chairman. Dr. Scott was the Chief Strategy Officer of Innventure LLC and is now Innventure’s Chief Strategy Officer.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Bridge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57508x2_424b3_112-certain_pg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 2024, the Company and Dr. John Scott, the Company’s Chief Strategy Officer,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Scott $1,000 under the Scott Bridge Note. 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Review, Approval or Ratification of Transactions with Related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and Indemnification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entered into indemnification agreements with each of Innventure’s directors and executive officers, the form of which is attached as an exhibit to the Company’s Annual Report on Form 10-K for the year ended December 31, 2024. The indemnification agreements require Innventure to indemnify its directors and executive officers to the fullest extent permitted by Delaware law.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adopted a formal written policy for the review and approval of transactions with related parties. Such policy requires, among other things, that: </w:t>
      </w:r>
    </w:p>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shall review the material facts of all related party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related party transaction will be ongoing, the Audit Committee may establish guidelines for Innventure’s management to follow in its ongoing dealings with the related party.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57508x2_424b3_112-certain_pg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57508x2_424b3_113-description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DOS"/>
      <w:bookmarkEnd w:id="107"/>
      <w:r>
        <w:rPr>
          <w:rFonts w:ascii="Times New Roman;Times;serif" w:hAnsi="Times New Roman;Times;serif"/>
          <w:b/>
          <w:color w:val="000000"/>
          <w:sz w:val="20"/>
        </w:rPr>
        <w:t xml:space="preserve">DESCRIPTION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one class of securities registered under Section 12 of the Exchange Act: its Common Stock. The following description of our capital stock is a summary and is qualified in its entirety by provisions of Delaware law and by reference to the terms of the A&amp;R Certificate of Incorporation and our Bylaws, which are attached as exhibits to Innventure’s most recent Annual Report on Form 10-K filed with the SEC. We encourage you to read the applicable portions of the Delaware General Corporation Law, as amended (the “DGCL”), and our A&amp;R Certificate of Incorporation and our Bylaws, as applicable, carefully and in their entirety because they describe your rights as a holder of shares of Common Stock.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14, 2025, there were approximately 58,046,433 shares of Common Stock outstanding.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designation of the Series B Preferred Stock and the Series C Preferred Stock, 17,000,000 authorized shares of preferred stock remain available for the creation and issuance of one or more additional series of preferred stock by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any series and the designation to distinguish the shares of such series from the shares of all other series;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powers, if any, and whether such voting powers are full or limited in such series;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provisions, if any, applicable to such series, including the redemption price or prices to be paid;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if any, will be cumulative or noncumulative, the dividend rate of such series, and the dates and preferences of dividends on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such series upon the voluntary or involuntary dissolution of, or upon any distribution of the assets of,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57508x2_424b3_113-description_pg2"/>
        <w:bookmarkEnd w:id="10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subscribe for or to purchase any securities of the Company or any other corporation or other entity;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of a sinking fund applicable to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relative, participating, optional, or other special powers, preferences or rights and qualifications, limitations, or restrictions thereof;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as may be determined from time to time by the Board and stated or expressed in the resolution or resolutions providing for the issuance of such preferred stock (collectively, a “Preferred Stock Designation”).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 from its subsidiaries.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Innventure’s A&amp;R Certificate of Incorporation and Bylaws and Certain Provisions of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57508x2_424b3_113-description_pg3"/>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but Unissued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 </w:t>
      </w:r>
    </w:p>
    <w:p>
      <w:pPr>
        <w:pStyle w:val="TextBody"/>
        <w:bidi w:val="0"/>
        <w:spacing w:before="3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Removal of Directors; Vacancies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57508x2_424b3_113-description_pg4"/>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special rights of the holders of one or more series of preferred stock, special meetings of the stockholders of Innventure may be called, for any purpose or purposes, at any time only by or at the direction of the Board, the chairperson of the Board, the CEO, or President.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Advance Notification of Director Nominations and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notice provisions may defer, delay or discourage a potential acquirer from conducting a solicitation of proxies to elect the acquirer’s own slate of directors or otherwise attempting to influence or obtain control of Innventure.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Dissenters’ Rights of Appraisal and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Stockholders’ Derivative 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A&amp;R Certificate of Incorporation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57508x2_424b3_113-description_pg5"/>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Forum Selection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 </w:t>
      </w:r>
    </w:p>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breach of their duty of loyalty to our company or our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act or omission not in good faith or that involves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for unlawful payments of dividends or unlawful stock repurchases, or redemptions as provided in Section 174 of the DGCL;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transaction from which they derived an improper personal benefit; or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 in any action by or in the right of Innventure.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57508x2_424b3_114-security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3" w:name="tSOC"/>
      <w:bookmarkEnd w:id="113"/>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us regarding the beneficial ownership of our voting securities as of October 3, 2025 (except as otherwise set forth below)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us to be the beneficial owner of more than 5% of our Common Stock, Series B Preferred Stock, and Series C Preferred Stock;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and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is based on 58,046,433 shares of Common Stock outstanding, 33,144 shares of Series B Preferred Stock outstanding, and 150,000 shares of Series C Preferred Stock outstanding as of October 14,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by footnote, (i) the Company believes that all persons named in the table below have sole voting and investment power with respect to all shares of Common Stock, Series B Preferred Stock, and Series C Preferred Stock beneficially owned by them and (ii) the address of each person is c/o Innventure Inc., 6900 Tavistock Lakes Blvd, Suite 400 Orlando, FL 32827. </w:t>
      </w:r>
    </w:p>
    <w:tbl>
      <w:tblPr>
        <w:tblW w:w="10205" w:type="dxa"/>
        <w:jc w:val="left"/>
        <w:tblInd w:w="0" w:type="dxa"/>
        <w:tblLayout w:type="fixed"/>
        <w:tblCellMar>
          <w:top w:w="0" w:type="dxa"/>
          <w:left w:w="0" w:type="dxa"/>
          <w:bottom w:w="0" w:type="dxa"/>
          <w:right w:w="0" w:type="dxa"/>
        </w:tblCellMar>
      </w:tblPr>
      <w:tblGrid>
        <w:gridCol w:w="3090"/>
        <w:gridCol w:w="140"/>
        <w:gridCol w:w="140"/>
        <w:gridCol w:w="950"/>
        <w:gridCol w:w="140"/>
        <w:gridCol w:w="140"/>
        <w:gridCol w:w="880"/>
        <w:gridCol w:w="140"/>
        <w:gridCol w:w="140"/>
        <w:gridCol w:w="881"/>
        <w:gridCol w:w="140"/>
        <w:gridCol w:w="140"/>
        <w:gridCol w:w="880"/>
        <w:gridCol w:w="140"/>
        <w:gridCol w:w="140"/>
        <w:gridCol w:w="881"/>
        <w:gridCol w:w="140"/>
        <w:gridCol w:w="140"/>
        <w:gridCol w:w="963"/>
      </w:tblGrid>
      <w:tr>
        <w:trPr/>
        <w:tc>
          <w:tcPr>
            <w:tcW w:w="3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r>
        <w:trPr/>
        <w:tc>
          <w:tcPr>
            <w:tcW w:w="30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Beneficial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09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Roland Austrup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863,264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Donnally(1)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4,236,663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W. Haskell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752,115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Otworth(2)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3,742,902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Scott(3)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2,581,653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4.45%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Yablunosky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Niemeyer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Brown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Williams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J. Hennessy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1,177,639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Amalfitano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All Directors and Executive Officers as a Group (11 Individuals)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13,691,429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Five Percent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r>
      <w:tr>
        <w:trPr/>
        <w:tc>
          <w:tcPr>
            <w:tcW w:w="30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WE-INN LLC(4)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9,235,795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Ascent Capital Partners LLC(5)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5,282,828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9.10%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57508x2_424b3_114-security_pg2"/>
        <w:bookmarkEnd w:id="1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62"/>
        <w:gridCol w:w="140"/>
        <w:gridCol w:w="140"/>
        <w:gridCol w:w="881"/>
        <w:gridCol w:w="140"/>
        <w:gridCol w:w="140"/>
        <w:gridCol w:w="879"/>
        <w:gridCol w:w="140"/>
        <w:gridCol w:w="140"/>
        <w:gridCol w:w="881"/>
        <w:gridCol w:w="140"/>
        <w:gridCol w:w="140"/>
        <w:gridCol w:w="879"/>
        <w:gridCol w:w="140"/>
        <w:gridCol w:w="140"/>
        <w:gridCol w:w="881"/>
        <w:gridCol w:w="140"/>
        <w:gridCol w:w="140"/>
        <w:gridCol w:w="962"/>
      </w:tblGrid>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r>
      <w:tr>
        <w:trPr/>
        <w:tc>
          <w:tcPr>
            <w:tcW w:w="316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Beneficial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16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CastleKnight Master Fund LP(6)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3,086,416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16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and Donna Corley(7)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Chi Lim(8)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2"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Crown Global Life Insurance LTD IRO Separate Account 30286(9)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33.33% </w:t>
            </w:r>
          </w:p>
        </w:tc>
      </w:tr>
      <w:tr>
        <w:trPr/>
        <w:tc>
          <w:tcPr>
            <w:tcW w:w="316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Glockner Family Venture Fund, LP(10)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4,680,272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Javid Mu’az Baksh Living Trust(11)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and Holly Sellers(12)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15,298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2"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Neil Eichelberger 2021 Irrevocable Trust(13)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66.67%</w:t>
            </w:r>
          </w:p>
        </w:tc>
      </w:tr>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r>
    </w:tbl>
    <w:tbl>
      <w:tblPr>
        <w:tblW w:w="1030" w:type="dxa"/>
        <w:jc w:val="left"/>
        <w:tblInd w:w="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4,750 shares of Common Stock held by Mr. Donnally; (ii) 1,507,808 shares of Common Stock held by the James O. Donnally Revocable Trust over which Mr. Donnally has sole voting and investment power; and (iii)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3,480,607 shares of Common Stock held by Mr. Otworth and (ii) 262,295 shares of Common Stock that Mr. Otworth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2,417,719 shares of Common Stock held by Dr. Scott and (ii) 163,934 shares of Common Stock that Dr. Scott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Greg Wasson and Kimberly Wasson share voting and investment power over the securities held by WE-INN LLC. The address for WE-INN LLC is 233 N Michigan Avenue, Suite 1410, Chicago, Illinois 60601.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provided by Ascent Capital Partners LLC in a Schedule 13G filed with the SEC on May 22, 2025. Per such Schedule 13G, Ascent Capital Partners LLC has sole voting power over all of such shares and sole dispositive power over all of such shares. The principal business address of Ascent Capital Partners LLC is 16427 N Scottsdale Road, Suite 410, Scottsdale, Arizona 85255.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Aaron Weitman is the Managing Member of CastleKnight Fund GP, LLC, which is the controlling entity of CastleKnight Master Fund LP, and accordingly Mr. Weitman may be deemed to have voting and investment power over the shares. The principal business address of CastleKnight Master Fund LP is 888 Seventh Avenue, 24th Floor, New York, New York 10019.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Christopher and Donna Corley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Christopher Corley and Mrs. Donna Corley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5,099 shares of Series B Preferred Stock held by Dr. Chi Lim are convertible into 10,198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50,000 shares of Series C Preferred Stock held by the Crown Global Life Insurance LTD IRO Separate Account 30286 are convertible into 100,000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Ms. Terria Godwin and Ms. Pauline McGettigan are the controlling persons of Crown Global Life Insurance LTD IRO Separate Account 30286 and share voting and investment power equally such that voting and investment decisions require the affirmative agreement of both persons.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Timothy E. Glockner, Joseph C. Glockner, Michael P. Glockner, and James O. Donnally are members of The Glockner Family Venture Fund, LP and share equal voting and investment power over the 4,680,272 shares of Common Stock.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the Javid Mu’az Baksh Living Trust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Javid Baksh serves as the trustee for the Javid Mu’az Baksh Living Trust and, accordingly, may be deemed to have voting and investment power over the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57508x2_424b3_114-security_pg3"/>
        <w:bookmarkEnd w:id="1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7,649 shares of Series B Preferred Stock held by Matthew and Holly Sellers are convertible into 15,298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Matthew Sellers and Mrs. Holly Sellers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100,000 shares of Series C Preferred Stock held by the Neil Eichelberger 2021 Irrevocable Trust are convertible into 200,000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Each of Ms. Leigh Waters and Ms. Marjorie Ann Eichelberger serves as a trustee for the Neil Eichelberger 2021 Irrevocable Trust and has sole voting and investment power over the shares such that voting and investment decisions do not require the agreement of both persons.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57508x2_424b3_115-stockholder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7" w:name="tSS"/>
      <w:bookmarkEnd w:id="117"/>
      <w:r>
        <w:rPr>
          <w:rFonts w:ascii="Times New Roman;Times;serif" w:hAnsi="Times New Roman;Times;serif"/>
          <w:b/>
          <w:color w:val="000000"/>
          <w:sz w:val="20"/>
        </w:rPr>
        <w:t xml:space="preserve">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resale by the Selling Stockholders or their permitted transferees from time to time of up to 24,250,470 shares of Common Stock. The shares of Common Stock to which this prospectus relates consist of (i) up to 12,000,000 shares that may be issued upon conversion of the Convertible Debentures issued and issuable to Yorkville pursuant to the Purchase Agreements; (ii) up to 9,000,000 shares that we may issue and sell to Yorkville from time to time, subject to certain limitations and conditions, pursuant to the SEPA and in each case with respect to (i) and (ii) subject to the ownership limitations described therein; and (iii) 3,250,470 shares of Common Stock pursuant to the Subscription Agreements, consisting of (a) 1,625,235 shares of Common Stock issued to the Subscribers and (b) 1,625,235 shares of Common Stock that may be issued upon exercise of the Series A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used in this prospectus, the term “Selling Stockholders” means the persons listed in the table below, and the pledgees, donees, transferees, assignees, successors, designees and others who later come to hold any of the Selling Stockholders’ interest in our Common Stock other than through a public sale. The Selling Stockholders may from time to time offer and sell any or all of our Common Stock set forth below pursuant to this prospectus and any accompanying prospectus supplement. Except as otherwise described below and for the ownership of the shares of our Common Stock, the Selling Stockholders have not had any material relationship with us or our predecessors or affiliates within the past three years.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October 3, 2025,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The Selling Stockholders may sell or otherwise transfer all, some or none of such shares in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based percentage ownership on 58,046,433 shares of Common Stock outstanding as of October 14, 2025. 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 Please see the section entitled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for further information regarding the Selling Stockholders’ method of distributing these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the Selling Stockholder and the number of shares registered on its behalf. </w:t>
      </w:r>
    </w:p>
    <w:tbl>
      <w:tblPr>
        <w:tblW w:w="8075" w:type="dxa"/>
        <w:jc w:val="left"/>
        <w:tblInd w:w="0" w:type="dxa"/>
        <w:tblLayout w:type="fixed"/>
        <w:tblCellMar>
          <w:top w:w="0" w:type="dxa"/>
          <w:left w:w="0" w:type="dxa"/>
          <w:bottom w:w="0" w:type="dxa"/>
          <w:right w:w="0" w:type="dxa"/>
        </w:tblCellMar>
      </w:tblPr>
      <w:tblGrid>
        <w:gridCol w:w="2885"/>
        <w:gridCol w:w="140"/>
        <w:gridCol w:w="140"/>
        <w:gridCol w:w="1070"/>
        <w:gridCol w:w="140"/>
        <w:gridCol w:w="140"/>
        <w:gridCol w:w="1175"/>
        <w:gridCol w:w="140"/>
        <w:gridCol w:w="140"/>
        <w:gridCol w:w="905"/>
        <w:gridCol w:w="140"/>
        <w:gridCol w:w="140"/>
        <w:gridCol w:w="920"/>
      </w:tblGrid>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8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Sold Pursuant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this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Convertible Debentures and SEPA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YA II PN,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lineRule="auto" w:line="240"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3,048,644(1)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21,000,000(2)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PIPE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Matthew Briggs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50,000</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CastleKnight Master Fund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4,286,416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2,400,000</w:t>
            </w: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5.32%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DOMMFT Investments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Edward P. Hoffman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8,400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16,800</w:t>
            </w:r>
            <w:r>
              <w:rPr>
                <w:rFonts w:ascii="Times New Roman;Times;serif" w:hAnsi="Times New Roman;Times;serif"/>
                <w:color w:val="000000"/>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Jacob Mermelstein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32,000</w:t>
            </w: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57508x2_424b3_115-stockholder_pg2"/>
        <w:bookmarkEnd w:id="118"/>
        <w:r>
          <w:rPr>
            <w:rStyle w:val="InternetLink"/>
            <w:rFonts w:ascii="Times New Roman;Times;Serif" w:hAnsi="Times New Roman;Times;Serif"/>
            <w:b/>
            <w:caps w:val="false"/>
            <w:smallCaps w:val="false"/>
            <w:color w:val="000000"/>
            <w:sz w:val="16"/>
          </w:rPr>
          <w:t>TABLE OF CONTENTS</w:t>
        </w:r>
      </w:hyperlink>
    </w:p>
    <w:tbl>
      <w:tblPr>
        <w:tblW w:w="8330" w:type="dxa"/>
        <w:jc w:val="left"/>
        <w:tblInd w:w="0" w:type="dxa"/>
        <w:tblLayout w:type="fixed"/>
        <w:tblCellMar>
          <w:top w:w="0" w:type="dxa"/>
          <w:left w:w="0" w:type="dxa"/>
          <w:bottom w:w="0" w:type="dxa"/>
          <w:right w:w="0" w:type="dxa"/>
        </w:tblCellMar>
      </w:tblPr>
      <w:tblGrid>
        <w:gridCol w:w="3290"/>
        <w:gridCol w:w="140"/>
        <w:gridCol w:w="140"/>
        <w:gridCol w:w="1010"/>
        <w:gridCol w:w="140"/>
        <w:gridCol w:w="140"/>
        <w:gridCol w:w="1085"/>
        <w:gridCol w:w="140"/>
        <w:gridCol w:w="140"/>
        <w:gridCol w:w="905"/>
        <w:gridCol w:w="140"/>
        <w:gridCol w:w="140"/>
        <w:gridCol w:w="920"/>
      </w:tblGrid>
      <w:tr>
        <w:trPr/>
        <w:tc>
          <w:tcPr>
            <w:tcW w:w="3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32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Sold Pursuant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this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Erick and Wendi Kuebler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8,334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16,668</w:t>
            </w:r>
            <w:r>
              <w:rPr>
                <w:rFonts w:ascii="Times New Roman;Times;serif" w:hAnsi="Times New Roman;Times;serif"/>
                <w:color w:val="000000"/>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Daivd R. Lipton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8,334</w:t>
            </w: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Marvin Mermelstein Descendants’ Trust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100,000(10)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Rappaport Ventures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70,000</w:t>
            </w: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Gregory Reyes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216,000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333,334(12)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49,333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David Schneider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9,500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19,000</w:t>
            </w:r>
            <w:r>
              <w:rPr>
                <w:rFonts w:ascii="Times New Roman;Times;serif" w:hAnsi="Times New Roman;Times;serif"/>
                <w:color w:val="000000"/>
                <w:sz w:val="20"/>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Matthew P. Spain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83,334</w:t>
            </w:r>
            <w:r>
              <w:rPr>
                <w:rFonts w:ascii="Times New Roman;Times;serif" w:hAnsi="Times New Roman;Times;serif"/>
                <w:color w:val="000000"/>
                <w:sz w:val="20"/>
              </w:rPr>
              <w:t>(14)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YELO Investments II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10,500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21,000</w:t>
            </w: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up to 3,048,644 shares of Common Stock that may be issued to Yorkville pursuant to the SEPA and upon conversion of the Convertible Debentures issued to Yorkville pursuant to the Purchase Agreements, without exceeding the ownership limitation set forth in the Convertible Debentures. Based on information provided to us, Yorkville acquired the shares being registered hereunder in the ordinary course of business, and at the time of the acquisition of the shares, Yorkville did not have any agreements or understandings with any person to distribute such shares. The business address of Yorkville is c/o Mark Angelo, 1012 Springfield Avenue, Mountainside, New Jersey, 07092.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up to 12,000,000 shares of Common Stock that may be issued upon conversion of the Convertible Debentures issued and to be issued to Yorkville pursuant to the Purchase Agreements and (ii) up to 9,000,000 shares of Common Stock that may be issued to Yorkville pursuant to the SEPA.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25,000 shares of Common Stock issued pursuant to the Subscription Agreements and (ii) 25,000 shares of Common Stock that may be issued upon exercise of the Series A Warrants. The business address of the listed Selling Stockholder is 1985 Fagerness Point Road, Wayzata, Minnesota 55391.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1,200,000 shares of Common Stock issued pursuant to the Subscription Agreements and (ii) 1,200,000 shares of Common Stock that may be issued upon exercise of the Series A Warrants. Mr. Aaron Weitman is the Managing Member of CastleKnight Fund GP, LLC, which is the controlling entity of the listed Selling Stockholder, and accordingly Mr. Weitman may be deemed to have voting and investment power over the shares. The principal business address of the Selling Stockholder is 888 Seventh Avenue, 24th Floor, New York, New York 10019.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50,000 shares of Common Stock issued pursuant to the Subscription Agreements and (ii) 50,000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8,400 shares of Common Stock issued pursuant to the Subscription Agreements and (ii) 8,400 shares of Common Stock that may be issued upon exercise of the Series A Warrants.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16,000 shares of Common Stock issued pursuant to the Subscription Agreements and (ii) 16,000 shares of Common Stock that may be issued upon exercise of the Series A Warrants.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8,334 shares of Common Stock issued pursuant to the Subscription Agreements and (ii) 8,334 shares of Common Stock that may be issued upon exercise of the Series A Warrants. Mr. Erick Kuebler and Mrs. Wendi Kuebler share voting and investment power over the shares.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2" w:type="dxa"/>
            <w:tcBorders/>
            <w:vAlign w:val="center"/>
          </w:tcPr>
          <w:p>
            <w:pPr>
              <w:pStyle w:val="TableContents"/>
              <w:bidi w:val="0"/>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4,167 shares of Common Stock issued pursuant to the Subscription Agreements and (ii) 4,167 shares of Common Stock that may be issued upon exercise of the Series A Warrants. Based on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767 3rd Avenue, New York, New York 10017.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50,000 shares of Common Stock issued pursuant to the Subscription Agreements and (ii) 50,000 shares of Common Stock that may be issued upon exercise of the Series A Warrants. Mr. Marvin Mermelstein serves as the trustee for the listed Selling Stockholder and, accordingly, may be deemed to have voting and investment power over the shares.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35,000 shares of Common Stock issued pursuant to the Subscription Agreements and (ii) 35,000 shares of Common Stock that may be issued upon exercise of the Series A Warrants. Mr. Jay Rappaport and Mrs. Corrina Rappaport are the ultimate controlling persons of the listed Selling Stockholder and share voting and investment power over the shares. The business address of the listed Selling Stockholder is 135 S. Carmelina Ave., Los Angeles, CA 90049.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57508x2_424b3_115-stockholder_pg3"/>
        <w:bookmarkEnd w:id="1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166,667 shares of Common Stock issued pursuant to the Subscription Agreements and (ii) 166,667 shares of Common Stock that may be issued upon exercise of the Series A Warrants. The business address of the listed Selling Stockholder is 5510 West Dry Creek Road, Manhattan, Montana 59741.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9,500 shares of Common Stock issued pursuant to the Subscription Agreements and (ii) 9,500 shares of Common Stock that may be issued upon exercise of the Series A Warrants. The business address of the listed Selling Stockholder is 654 Cypress Hills Drive, Encinitas, California 92024.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41,667 shares of Common Stock issued pursuant to the Subscription Agreements and (ii) 41,667 shares of Common Stock that may be issued upon exercise of the Series A Warrants. The business address of the listed Selling Stockholder is 647 Shore Drive, Boynton Beach, Florida 33435.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10,500 shares of Common Stock issued pursuant to the Subscription Agreements and (ii) 10,500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57508x2_424b3_115-stockholder_pg4"/>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1" w:name="tSEF"/>
      <w:bookmarkEnd w:id="121"/>
      <w:r>
        <w:rPr>
          <w:rFonts w:ascii="Times New Roman;Times;serif" w:hAnsi="Times New Roman;Times;serif"/>
          <w:b/>
          <w:color w:val="000000"/>
          <w:sz w:val="20"/>
        </w:rPr>
        <w:t xml:space="preserve">SHARES ELIGIBLE FOR FUTURE 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250,000,000 shares of Common Stock authorized and, as of October 14, 2025, 58,046,433 shares of Common Stock are issued and outstanding. The Company also has 25,000,000 shares of preferred stock authorized. Of the 25,000,000 shares of preferred stock authorized, 3,000,000 shares have been designated as “Series B Preferred Stock,” and 5,000,000 shares are designated as “Series C Preferred Stock.” As of October 14, 2025, (i) 33,144 shares of Series B Preferred Stock are issued and outstanding, and (ii) 150,000 shares of Series C Preferred Stock are issued and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Common Stock issued in connection with the Business Combination are freely transferable under the Securities Act by persons other than by the Company’s “affiliates” or Learn CW’s “affiliates” without restriction or further registration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substantial amounts of Common Stock in the public market could adversely affect prevailing market prices of the Common Stock. Prior to the Business Combination, there was no public market for the Common Stock.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Existing Purchase Agreement entered into with Yorkville, on the Existing Debentures First Closing Date, the Company entered into a registration rights agreement (the “April SPA RRA”) with Yorkville pursuant to which Yorkville is entitled to certain registration rights under the Securities Act. Pursuant to the April SPA RRA, the Company was required to, on or before the 15th calendar day following the date the Company filed its Annual Report on Form 10-K for the year ended December 31, 2024, file with the SEC (at its sole cost and expense) a registration statement registering the resale by Yorkville of all Existing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Securities Purchase Agreement entered into with Yorkville, on the First Closing Date, the Company entered into a registration rights agreement (the “September SPA RRA”) with Yorkville pursuant to which Yorkville is entitled to certain registration rights under the Securities Act. Pursuant to the September SPA RRA, the Company is required to, on or before the 45th calendar day following the First Closing Date, file with the SEC (at its sole cost and expense) a registration statement registering the resale by Yorkville of at least 12,000,000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further agreed to file a registration statement with the SEC to permit the public resale of the shares of Common Stock issued to Yorkville pursuant the SEPA.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Subscription Agreements, the Company has agreed that, within 90 calendar days following the closing of the PIPE Investment, the Company will use its commercially reasonable efforts to file with the SEC (at its sole cost and expense ) a registration statement registering the resale of the shares of Common Stock issued to the Subscribers and of the Warrant Shares (as defined herein). Additionally, the Company agreed to use its commercially reasonable efforts to have the registration statement declared effective as soon as practicable after the filing thereof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prospectus forms a part is registering securities of the Company pursuant to each of the April SPA RRA, September SPA RRA, the SEPA, and the Subscription Agreements, respectively, held by certain Company equity holders, each identified as a Selling Stockholder herein. The aggregate number of shares of Common Stock that we are registering under the April SPA RRA, the September SPA RRA, the SEPA, and the Subscription Agreements is approximately 24,250,470.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further restrictions described below under “</w:t>
      </w:r>
      <w:r>
        <w:rPr>
          <w:rFonts w:ascii="Times New Roman;Times;serif" w:hAnsi="Times New Roman;Times;serif"/>
          <w:i/>
          <w:color w:val="000000"/>
          <w:sz w:val="20"/>
        </w:rPr>
        <w:t>Restrictions on the Use of Rule 144 for Securities of Shell Companies or Former Shell Companies</w:t>
      </w:r>
      <w:r>
        <w:rPr>
          <w:rFonts w:ascii="Times New Roman;Times;serif" w:hAnsi="Times New Roman;Times;serif"/>
          <w:color w:val="000000"/>
          <w:sz w:val="20"/>
        </w:rPr>
        <w:t xml:space="preserve">,” pursuant to Rule 144 under the Securities Act (“Rule 144”),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57508x2_424b3_115-stockholder_pg5"/>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person who has beneficially owned restricted Common Stock or Innventure 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Persons who have beneficially owned Restricted Shares of Common Stock or Innventure Warrants for at least six months but who are affiliates of Innventure at the time of, or at any time during the three months preceding, a sale, would be subject to additional restrictions, by which such person would be entitled to sell within any three-month period only a number of securities that does not exceed the greater of: </w:t>
      </w:r>
    </w:p>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 percent (1%) of the total number of Common Stock then outstanding;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average weekly reported trading volume of Common Stock during the four calendar weeks preceding the filing of a notice on Form 144 with respect to the sale.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by affiliates of Innventure under Rule 144 are also limited by manner of sale provisions and notice requirements and to the availability of current public information about Innventure.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Restrictions on the Use of Rule 144 for Securities of Shell Companies or Former Shell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that was formerly a shell company has ceased to be a shell company;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is subject to the reporting requirements of Section 13 or 15(d)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shares of Common Stock and Innventure Warrants are now eligible for sale pursuant to Rule 144 without registration, because at least one year has elapsed from the time that Innventure filed current Form 10 type information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is no longer a shell company, and so, once the conditions set forth in the exceptions listed above are satisfied, Rule 144 will become available for the resale of the above noted restricted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701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Statements on 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a registration statement on Form S-8 under the Securities Act to register 17,636,630 shares of Common Stock that initially may be delivered under or reserved for issuance under the Innventure, Inc. 2024 Equity and Incentive Compensation Plan. Such registration statement automatically became effective upon filing with the SEC on December 9, 2024. However, shares registered on Form S-8 may be subject to the volume limitations and manner of sale, notice, and public information requirements of Rule 144.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57508x2_424b3_116-plan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POD"/>
      <w:bookmarkEnd w:id="124"/>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registering the resale by the Selling Stockholders or their permitted transferees of up to 24,250,470 shares of Common Stock. The shares of Common Stock offered by this prospectus consist of (i) up to 12,000,000 shares that may be issued upon conversion of the Convertible Debentures issued and issuable to Yorkville pursuant to the Purchase Agreements; (ii) up to 9,000,000 shares that we may issue and sell to Yorkville from time to time, subject to certain limitations and conditions, pursuant to the SEPA and in each case with respect to (i) and (ii) subject to the ownership limitations described therein; and (iii) 3,250,470 shares of Common Stock pursuant to the Subscription Agreements, consisting of (a) 1,625,235 shares of Common Stock issued to the Subscribers and (b) 1,625,235 shares that may be issued upon exercise of the Series A Warrants.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The Selling Stockholders may use any one or more of the following methods when selling securities: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broker-dealer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will attempt to sell the securities as agent but may position and resell a portion of the block as principal to facilitate the transaction;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the broker-dealer for its account;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exchange distribution in accordance with the rules of the applicable exchange;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underwritten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transactions through broker-dealers that agree with the Selling Stockholders to sell a specified number of such securities at a stipulated price per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distribution to members, limited partners or stockholders of Selling Stockholders;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at the market” or through market makers or into an existing market for the shares;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combination of any such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its short positions, or loan or pledge the securities to broker-dealers that in turn may sell these securities. The Selling Stockholders may also enter into option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57508x2_424b3_116-plan_pg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the Company that it does not have any written or oral agreement or understanding, directly or indirectly, with any person to distribute the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its sale of securities. Additionally, in certain underwritten offerings, the Selling Stockholders and the Company shall bear the expenses of the underwriter pro rata in proportion to the respective amount of shares of Common Stock each is selling in such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Yorkville under the April SPA RRA and the September SPA RRA, the Company has agreed to keep this prospectus effective until all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Company has also agreed to keep this prospectus effective and in compliance with the Securities Act until the expiration of the SEPA. With respect to the Subscribers, the Company has agreed to keep this prospectus effective until the earlier of (i) two years from the effective date of the registration statement and (ii) the date on which all registrable securities under the Subscription Agreements have been sold.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 </w:t>
      </w:r>
    </w:p>
    <w:p>
      <w:pPr>
        <w:pStyle w:val="TextBody"/>
        <w:bidi w:val="0"/>
        <w:spacing w:before="410" w:after="283"/>
        <w:jc w:val="center"/>
        <w:rPr>
          <w:rFonts w:ascii="Times New Roman;Times;serif" w:hAnsi="Times New Roman;Times;serif"/>
          <w:b/>
          <w:color w:val="000000"/>
          <w:sz w:val="20"/>
        </w:rPr>
      </w:pPr>
      <w:bookmarkStart w:id="126" w:name="tEXP"/>
      <w:bookmarkEnd w:id="126"/>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Innventure, Inc. (the Company) as of December 31, 2024 (“Successor”) and 2023 (“Predecessor”) and for the period from October 2, 2024 to December 31, 2024 (“Successor”), the period from January 1, 2024 to October 1, 2024 (“Predecessor”), and for the year ended December 31, 2023 (“Predecessor”),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57508x2_424b3_116-plan_pg3"/>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8" w:name="tLM"/>
      <w:bookmarkEnd w:id="128"/>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Jones Day will pass upon certain legal matters for us in connection with the securities offered by this prospectus. </w:t>
      </w:r>
    </w:p>
    <w:p>
      <w:pPr>
        <w:pStyle w:val="TextBody"/>
        <w:bidi w:val="0"/>
        <w:spacing w:before="410" w:after="283"/>
        <w:jc w:val="center"/>
        <w:rPr>
          <w:rFonts w:ascii="Times New Roman;Times;serif" w:hAnsi="Times New Roman;Times;serif"/>
          <w:b/>
          <w:color w:val="000000"/>
          <w:sz w:val="20"/>
        </w:rPr>
      </w:pPr>
      <w:bookmarkStart w:id="129" w:name="tWYC"/>
      <w:bookmarkEnd w:id="129"/>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57508x2_424b3_200-fintoc_pg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1" w:name="tITFS"/>
      <w:bookmarkEnd w:id="131"/>
      <w:r>
        <w:rPr>
          <w:rFonts w:ascii="Times New Roman;Times;serif" w:hAnsi="Times New Roman;Times;serif"/>
          <w:b/>
          <w:color w:val="000000"/>
          <w:sz w:val="20"/>
        </w:rPr>
        <w:t xml:space="preserve">INDEX TO FINANCIAL STATEMENTS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tbl>
      <w:tblPr>
        <w:tblW w:w="10205" w:type="dxa"/>
        <w:jc w:val="left"/>
        <w:tblInd w:w="0" w:type="dxa"/>
        <w:tblLayout w:type="fixed"/>
        <w:tblCellMar>
          <w:top w:w="0" w:type="dxa"/>
          <w:left w:w="0" w:type="dxa"/>
          <w:bottom w:w="0" w:type="dxa"/>
          <w:right w:w="0" w:type="dxa"/>
        </w:tblCellMar>
      </w:tblPr>
      <w:tblGrid>
        <w:gridCol w:w="9391"/>
        <w:gridCol w:w="140"/>
        <w:gridCol w:w="140"/>
        <w:gridCol w:w="534"/>
      </w:tblGrid>
      <w:tr>
        <w:trPr/>
        <w:tc>
          <w:tcPr>
            <w:tcW w:w="939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0"/>
              <w:jc w:val="left"/>
              <w:rPr/>
            </w:pPr>
            <w:r>
              <w:rPr/>
              <w:t> </w:t>
            </w:r>
          </w:p>
        </w:tc>
      </w:tr>
      <w:tr>
        <w:trPr/>
        <w:tc>
          <w:tcPr>
            <w:tcW w:w="939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0"/>
              <w:jc w:val="center"/>
              <w:rPr>
                <w:color w:val="000000"/>
              </w:rPr>
            </w:pPr>
            <w:r>
              <w:rPr>
                <w:color w:val="000000"/>
              </w:rPr>
              <w:t> </w:t>
            </w:r>
          </w:p>
        </w:tc>
      </w:tr>
      <w:tr>
        <w:trPr/>
        <w:tc>
          <w:tcPr>
            <w:tcW w:w="9391"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Report of Independent Registered Public Accounting Firm (BDO USA, P.C.; PCAOB ID# 243)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 xml:space="preserve">F-2 </w:t>
              </w:r>
            </w:hyperlink>
          </w:p>
        </w:tc>
      </w:tr>
      <w:tr>
        <w:trPr/>
        <w:tc>
          <w:tcPr>
            <w:tcW w:w="9391" w:type="dxa"/>
            <w:tcBorders/>
            <w:shd w:fill="CCEEFF" w:val="clear"/>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Consolidated Balance Sheets as of December 31, 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 xml:space="preserve">F-3 </w:t>
              </w:r>
            </w:hyperlink>
          </w:p>
        </w:tc>
      </w:tr>
      <w:tr>
        <w:trPr/>
        <w:tc>
          <w:tcPr>
            <w:tcW w:w="9391" w:type="dxa"/>
            <w:tcBorders/>
            <w:vAlign w:val="center"/>
          </w:tcPr>
          <w:p>
            <w:pPr>
              <w:pStyle w:val="TableContents"/>
              <w:bidi w:val="0"/>
              <w:spacing w:before="0" w:after="283"/>
              <w:ind w:left="200" w:right="0" w:hanging="200"/>
              <w:jc w:val="left"/>
              <w:rPr/>
            </w:pPr>
            <w:hyperlink w:anchor="tCSO">
              <w:r>
                <w:rPr>
                  <w:rStyle w:val="InternetLink"/>
                  <w:rFonts w:ascii="Times New Roman;Times;serif" w:hAnsi="Times New Roman;Times;serif"/>
                  <w:color w:val="000000"/>
                  <w:sz w:val="20"/>
                </w:rPr>
                <w:t>Consolidated Statements of Operations and Comprehensive Income (Loss) for the period October 2, 2024 through December 31, 2024 (Successor), January 1, 2024 through October 1, 2024 (Predecessor) and the year ended December 31, 2023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 xml:space="preserve">F-5 </w:t>
              </w:r>
            </w:hyperlink>
          </w:p>
        </w:tc>
      </w:tr>
      <w:tr>
        <w:trPr/>
        <w:tc>
          <w:tcPr>
            <w:tcW w:w="9391" w:type="dxa"/>
            <w:tcBorders/>
            <w:shd w:fill="CCEEFF" w:val="clear"/>
            <w:vAlign w:val="center"/>
          </w:tcPr>
          <w:p>
            <w:pPr>
              <w:pStyle w:val="TableContents"/>
              <w:bidi w:val="0"/>
              <w:spacing w:before="0" w:after="283"/>
              <w:ind w:left="200" w:right="0" w:hanging="200"/>
              <w:jc w:val="left"/>
              <w:rPr/>
            </w:pPr>
            <w:hyperlink w:anchor="tCSOM">
              <w:r>
                <w:rPr>
                  <w:rStyle w:val="InternetLink"/>
                  <w:rFonts w:ascii="Times New Roman;Times;serif" w:hAnsi="Times New Roman;Times;serif"/>
                  <w:color w:val="000000"/>
                  <w:sz w:val="20"/>
                </w:rPr>
                <w:t xml:space="preserve">Consolidated Statement of Changes in Mezzanine Capital for the period January 1, 2024 through October 1, 2024 (Predecessor) and the year ended December 31, 2023 (Predecessor)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SOM">
              <w:r>
                <w:rPr>
                  <w:rStyle w:val="InternetLink"/>
                  <w:rFonts w:ascii="Times New Roman;Times;serif" w:hAnsi="Times New Roman;Times;serif"/>
                  <w:color w:val="000000"/>
                  <w:sz w:val="20"/>
                </w:rPr>
                <w:t>F-6</w:t>
              </w:r>
            </w:hyperlink>
          </w:p>
        </w:tc>
      </w:tr>
      <w:tr>
        <w:trPr/>
        <w:tc>
          <w:tcPr>
            <w:tcW w:w="9391" w:type="dxa"/>
            <w:tcBorders/>
            <w:vAlign w:val="center"/>
          </w:tcPr>
          <w:p>
            <w:pPr>
              <w:pStyle w:val="TableContents"/>
              <w:bidi w:val="0"/>
              <w:spacing w:before="0" w:after="283"/>
              <w:ind w:left="200" w:right="0" w:hanging="200"/>
              <w:jc w:val="left"/>
              <w:rPr/>
            </w:pPr>
            <w:hyperlink w:anchor="tCSC">
              <w:r>
                <w:rPr>
                  <w:rStyle w:val="InternetLink"/>
                  <w:rFonts w:ascii="Times New Roman;Times;serif" w:hAnsi="Times New Roman;Times;serif"/>
                  <w:color w:val="000000"/>
                  <w:sz w:val="20"/>
                </w:rPr>
                <w:t>Consolidated Statement of Changes in Stockholders’ Equity for the period October 2, 2024 through December 31, 2024 (Successor), January 1, 2024 through October 1, 2024 (Predecessor) and the year ended December 31, 2023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 xml:space="preserve">F-8 </w:t>
              </w:r>
            </w:hyperlink>
          </w:p>
        </w:tc>
      </w:tr>
      <w:tr>
        <w:trPr/>
        <w:tc>
          <w:tcPr>
            <w:tcW w:w="9391" w:type="dxa"/>
            <w:tcBorders/>
            <w:shd w:fill="CCEEFF" w:val="clear"/>
            <w:vAlign w:val="center"/>
          </w:tcPr>
          <w:p>
            <w:pPr>
              <w:pStyle w:val="TableContents"/>
              <w:bidi w:val="0"/>
              <w:spacing w:before="0" w:after="283"/>
              <w:ind w:left="200" w:right="0" w:hanging="200"/>
              <w:jc w:val="left"/>
              <w:rPr/>
            </w:pPr>
            <w:hyperlink w:anchor="tCSF">
              <w:r>
                <w:rPr>
                  <w:rStyle w:val="InternetLink"/>
                  <w:rFonts w:ascii="Times New Roman;Times;serif" w:hAnsi="Times New Roman;Times;serif"/>
                  <w:color w:val="000000"/>
                  <w:sz w:val="20"/>
                </w:rPr>
                <w:t>Consolidated Statements of Cash Flows for the period October 2, 2024 through December 31, 2024 (Successor), January 1, 2024 through October 1, 2024 (Predecessor) and the year ended December 31, 2023 (Predecessor)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SF">
              <w:r>
                <w:rPr>
                  <w:rStyle w:val="InternetLink"/>
                  <w:rFonts w:ascii="Times New Roman;Times;serif" w:hAnsi="Times New Roman;Times;serif"/>
                  <w:color w:val="000000"/>
                  <w:sz w:val="20"/>
                </w:rPr>
                <w:t xml:space="preserve">F-9 </w:t>
              </w:r>
            </w:hyperlink>
          </w:p>
        </w:tc>
      </w:tr>
      <w:tr>
        <w:trPr/>
        <w:tc>
          <w:tcPr>
            <w:tcW w:w="9391" w:type="dxa"/>
            <w:tcBorders/>
            <w:vAlign w:val="center"/>
          </w:tcPr>
          <w:p>
            <w:pPr>
              <w:pStyle w:val="TableContents"/>
              <w:bidi w:val="0"/>
              <w:spacing w:before="0" w:after="283"/>
              <w:ind w:left="0" w:right="0" w:hanging="0"/>
              <w:jc w:val="left"/>
              <w:rPr/>
            </w:pPr>
            <w:hyperlink w:anchor="tNTC">
              <w:r>
                <w:rPr>
                  <w:rStyle w:val="InternetLink"/>
                  <w:rFonts w:ascii="Times New Roman;Times;serif" w:hAnsi="Times New Roman;Times;serif"/>
                  <w:color w:val="000000"/>
                  <w:sz w:val="20"/>
                </w:rPr>
                <w:t>Notes to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NTC">
              <w:r>
                <w:rPr>
                  <w:rStyle w:val="InternetLink"/>
                  <w:rFonts w:ascii="Times New Roman;Times;serif" w:hAnsi="Times New Roman;Times;serif"/>
                  <w:color w:val="000080"/>
                  <w:sz w:val="20"/>
                </w:rPr>
                <w:t>F-11</w:t>
              </w:r>
            </w:hyperlink>
            <w:hyperlink w:anchor="tFS">
              <w:r>
                <w:rPr>
                  <w:rStyle w:val="InternetLink"/>
                  <w:rFonts w:ascii="Times New Roman;Times;serif" w:hAnsi="Times New Roman;Times;serif"/>
                  <w:color w:val="000080"/>
                  <w:sz w:val="20"/>
                </w:rPr>
                <w:t>-F-51</w:t>
              </w:r>
            </w:hyperlink>
          </w:p>
        </w:tc>
      </w:tr>
      <w:tr>
        <w:trPr/>
        <w:tc>
          <w:tcPr>
            <w:tcW w:w="93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9315"/>
        <w:gridCol w:w="140"/>
        <w:gridCol w:w="140"/>
        <w:gridCol w:w="610"/>
      </w:tblGrid>
      <w:tr>
        <w:trPr/>
        <w:tc>
          <w:tcPr>
            <w:tcW w:w="9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left"/>
              <w:rPr/>
            </w:pPr>
            <w:r>
              <w:rPr/>
              <w:t> </w:t>
            </w:r>
          </w:p>
        </w:tc>
      </w:tr>
      <w:tr>
        <w:trPr/>
        <w:tc>
          <w:tcPr>
            <w:tcW w:w="9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Consolidated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center"/>
              <w:rPr>
                <w:color w:val="000000"/>
              </w:rPr>
            </w:pPr>
            <w:r>
              <w:rPr>
                <w:color w:val="000000"/>
              </w:rPr>
              <w:t> </w:t>
            </w:r>
          </w:p>
        </w:tc>
      </w:tr>
      <w:tr>
        <w:trPr/>
        <w:tc>
          <w:tcPr>
            <w:tcW w:w="9315" w:type="dxa"/>
            <w:tcBorders/>
            <w:vAlign w:val="center"/>
          </w:tcPr>
          <w:p>
            <w:pPr>
              <w:pStyle w:val="TableContents"/>
              <w:bidi w:val="0"/>
              <w:spacing w:before="0" w:after="283"/>
              <w:ind w:left="0" w:right="0" w:hanging="0"/>
              <w:jc w:val="left"/>
              <w:rPr/>
            </w:pPr>
            <w:hyperlink w:anchor="tCCB">
              <w:r>
                <w:rPr>
                  <w:rStyle w:val="InternetLink"/>
                  <w:rFonts w:ascii="Times New Roman;Times;serif" w:hAnsi="Times New Roman;Times;serif"/>
                  <w:color w:val="000000"/>
                  <w:sz w:val="20"/>
                </w:rPr>
                <w:t>Condensed Consolidated Balance Sheets as of June 30, 2025 (Unaudited) and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CCB">
              <w:r>
                <w:rPr>
                  <w:rStyle w:val="InternetLink"/>
                  <w:rFonts w:ascii="Times New Roman;Times;serif" w:hAnsi="Times New Roman;Times;serif"/>
                  <w:color w:val="000000"/>
                  <w:sz w:val="20"/>
                </w:rPr>
                <w:t xml:space="preserve">F-52 </w:t>
              </w:r>
            </w:hyperlink>
          </w:p>
        </w:tc>
      </w:tr>
      <w:tr>
        <w:trPr/>
        <w:tc>
          <w:tcPr>
            <w:tcW w:w="9315" w:type="dxa"/>
            <w:tcBorders/>
            <w:shd w:fill="CCEEFF" w:val="clear"/>
            <w:vAlign w:val="center"/>
          </w:tcPr>
          <w:p>
            <w:pPr>
              <w:pStyle w:val="TableContents"/>
              <w:bidi w:val="0"/>
              <w:spacing w:before="0" w:after="283"/>
              <w:ind w:left="200" w:right="0" w:hanging="200"/>
              <w:jc w:val="left"/>
              <w:rPr/>
            </w:pPr>
            <w:hyperlink w:anchor="tUCC">
              <w:r>
                <w:rPr>
                  <w:rStyle w:val="InternetLink"/>
                  <w:rFonts w:ascii="Times New Roman;Times;serif" w:hAnsi="Times New Roman;Times;serif"/>
                  <w:color w:val="000000"/>
                  <w:sz w:val="20"/>
                </w:rPr>
                <w:t>Unaudited Condensed Consolidated Statements of Operations and Comprehensive Income (Loss) for the Three and Six Months ended June 30, 2025 (Successor) and June 30, 2024 (Predecessor)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UCC">
              <w:r>
                <w:rPr>
                  <w:rStyle w:val="InternetLink"/>
                  <w:rFonts w:ascii="Times New Roman;Times;serif" w:hAnsi="Times New Roman;Times;serif"/>
                  <w:color w:val="000000"/>
                  <w:sz w:val="20"/>
                </w:rPr>
                <w:t xml:space="preserve">F-53 </w:t>
              </w:r>
            </w:hyperlink>
          </w:p>
        </w:tc>
      </w:tr>
      <w:tr>
        <w:trPr/>
        <w:tc>
          <w:tcPr>
            <w:tcW w:w="9315" w:type="dxa"/>
            <w:tcBorders/>
            <w:vAlign w:val="center"/>
          </w:tcPr>
          <w:p>
            <w:pPr>
              <w:pStyle w:val="TableContents"/>
              <w:bidi w:val="0"/>
              <w:spacing w:before="0" w:after="283"/>
              <w:ind w:left="200" w:right="0" w:hanging="200"/>
              <w:jc w:val="left"/>
              <w:rPr/>
            </w:pPr>
            <w:hyperlink w:anchor="tUCS">
              <w:r>
                <w:rPr>
                  <w:rStyle w:val="InternetLink"/>
                  <w:rFonts w:ascii="Times New Roman;Times;serif" w:hAnsi="Times New Roman;Times;serif"/>
                  <w:color w:val="000000"/>
                  <w:sz w:val="20"/>
                </w:rPr>
                <w:t>Unaudited Condensed Consolidated Statements of Changes in Unitholders’ Deficit (Predecessor) for the Three and Six Months ended June 30,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UCS">
              <w:r>
                <w:rPr>
                  <w:rStyle w:val="InternetLink"/>
                  <w:rFonts w:ascii="Times New Roman;Times;serif" w:hAnsi="Times New Roman;Times;serif"/>
                  <w:color w:val="000000"/>
                  <w:sz w:val="20"/>
                </w:rPr>
                <w:t xml:space="preserve">F-54 </w:t>
              </w:r>
            </w:hyperlink>
          </w:p>
        </w:tc>
      </w:tr>
      <w:tr>
        <w:trPr/>
        <w:tc>
          <w:tcPr>
            <w:tcW w:w="9315" w:type="dxa"/>
            <w:tcBorders/>
            <w:shd w:fill="CCEEFF" w:val="clear"/>
            <w:vAlign w:val="center"/>
          </w:tcPr>
          <w:p>
            <w:pPr>
              <w:pStyle w:val="TableContents"/>
              <w:bidi w:val="0"/>
              <w:spacing w:before="0" w:after="283"/>
              <w:ind w:left="200" w:right="0" w:hanging="200"/>
              <w:jc w:val="left"/>
              <w:rPr/>
            </w:pPr>
            <w:hyperlink w:anchor="tSE">
              <w:r>
                <w:rPr>
                  <w:rStyle w:val="InternetLink"/>
                  <w:rFonts w:ascii="Times New Roman;Times;serif" w:hAnsi="Times New Roman;Times;serif"/>
                  <w:color w:val="000000"/>
                  <w:sz w:val="20"/>
                </w:rPr>
                <w:t>Unaudited Condensed Consolidated Statements of Changes in Mezzanine and Stockholders’ Equity (Deficit) (Successor) for the Three and Six Months ended June 30,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SE">
              <w:r>
                <w:rPr>
                  <w:rStyle w:val="InternetLink"/>
                  <w:rFonts w:ascii="Times New Roman;Times;serif" w:hAnsi="Times New Roman;Times;serif"/>
                  <w:color w:val="000000"/>
                  <w:sz w:val="20"/>
                </w:rPr>
                <w:t xml:space="preserve">F-55 </w:t>
              </w:r>
            </w:hyperlink>
          </w:p>
        </w:tc>
      </w:tr>
      <w:tr>
        <w:trPr/>
        <w:tc>
          <w:tcPr>
            <w:tcW w:w="9315" w:type="dxa"/>
            <w:tcBorders/>
            <w:vAlign w:val="center"/>
          </w:tcPr>
          <w:p>
            <w:pPr>
              <w:pStyle w:val="TableContents"/>
              <w:bidi w:val="0"/>
              <w:spacing w:before="0" w:after="283"/>
              <w:ind w:left="200" w:right="0" w:hanging="200"/>
              <w:jc w:val="left"/>
              <w:rPr/>
            </w:pPr>
            <w:hyperlink w:anchor="tCF">
              <w:r>
                <w:rPr>
                  <w:rStyle w:val="InternetLink"/>
                  <w:rFonts w:ascii="Times New Roman;Times;serif" w:hAnsi="Times New Roman;Times;serif"/>
                  <w:color w:val="000000"/>
                  <w:sz w:val="20"/>
                </w:rPr>
                <w:t>Unaudited Condensed Consolidated Statements of Cash Flows for the Six Months ended June 30, 2025 (Successor) and June 30, 2024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CF">
              <w:r>
                <w:rPr>
                  <w:rStyle w:val="InternetLink"/>
                  <w:rFonts w:ascii="Times New Roman;Times;serif" w:hAnsi="Times New Roman;Times;serif"/>
                  <w:color w:val="000000"/>
                  <w:sz w:val="20"/>
                </w:rPr>
                <w:t xml:space="preserve">F-56 </w:t>
              </w:r>
            </w:hyperlink>
          </w:p>
        </w:tc>
      </w:tr>
      <w:tr>
        <w:trPr/>
        <w:tc>
          <w:tcPr>
            <w:tcW w:w="9315" w:type="dxa"/>
            <w:tcBorders/>
            <w:shd w:fill="CCEEFF" w:val="clear"/>
            <w:vAlign w:val="center"/>
          </w:tcPr>
          <w:p>
            <w:pPr>
              <w:pStyle w:val="TableContents"/>
              <w:bidi w:val="0"/>
              <w:spacing w:before="0" w:after="283"/>
              <w:ind w:left="0" w:right="0" w:hanging="0"/>
              <w:jc w:val="left"/>
              <w:rPr/>
            </w:pPr>
            <w:hyperlink w:anchor="tNCC">
              <w:r>
                <w:rPr>
                  <w:rStyle w:val="InternetLink"/>
                  <w:rFonts w:ascii="Times New Roman;Times;serif" w:hAnsi="Times New Roman;Times;serif"/>
                  <w:color w:val="000000"/>
                  <w:sz w:val="20"/>
                </w:rPr>
                <w:t>Notes to Condensed Consolidated Financial Statements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NCC">
              <w:r>
                <w:rPr>
                  <w:rStyle w:val="InternetLink"/>
                  <w:rFonts w:ascii="Times New Roman;Times;serif" w:hAnsi="Times New Roman;Times;serif"/>
                  <w:color w:val="000080"/>
                  <w:sz w:val="20"/>
                </w:rPr>
                <w:t>F-58</w:t>
              </w:r>
            </w:hyperlink>
            <w:hyperlink w:anchor="tFSU">
              <w:r>
                <w:rPr>
                  <w:rStyle w:val="InternetLink"/>
                  <w:rFonts w:ascii="Times New Roman;Times;serif" w:hAnsi="Times New Roman;Times;serif"/>
                  <w:color w:val="000080"/>
                  <w:sz w:val="20"/>
                </w:rPr>
                <w:t>-F-80</w:t>
              </w:r>
            </w:hyperlink>
          </w:p>
        </w:tc>
      </w:tr>
      <w:tr>
        <w:trPr/>
        <w:tc>
          <w:tcPr>
            <w:tcW w:w="9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57508x2_424b3_201-fintab01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3" w:name="tROI"/>
      <w:bookmarkEnd w:id="133"/>
      <w:r>
        <w:rPr>
          <w:rFonts w:ascii="Times New Roman;Times;serif" w:hAnsi="Times New Roman;Times;serif"/>
          <w:b/>
          <w:color w:val="000000"/>
          <w:sz w:val="20"/>
        </w:rPr>
        <w:t xml:space="preserve">Report of Independent Registered Public Accounting Firm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Orlando, FL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Going Concern Uncertainty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BDO USA, P.C.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 since 2022.</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Raleigh, North Carolina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14,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57508x2_424b3_201-fintab01_pg2"/>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5" w:name="tCBS"/>
      <w:bookmarkEnd w:id="135"/>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094"/>
        <w:gridCol w:w="140"/>
        <w:gridCol w:w="140"/>
        <w:gridCol w:w="1254"/>
        <w:gridCol w:w="140"/>
        <w:gridCol w:w="140"/>
        <w:gridCol w:w="1297"/>
      </w:tblGrid>
      <w:tr>
        <w:trPr/>
        <w:tc>
          <w:tcPr>
            <w:tcW w:w="7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left"/>
              <w:rPr/>
            </w:pPr>
            <w:r>
              <w:rPr/>
              <w:t> </w:t>
            </w:r>
          </w:p>
        </w:tc>
      </w:tr>
      <w:tr>
        <w:trPr/>
        <w:tc>
          <w:tcPr>
            <w:tcW w:w="70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0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0"/>
              <w:jc w:val="center"/>
              <w:rPr>
                <w:color w:val="000000"/>
              </w:rPr>
            </w:pPr>
            <w:r>
              <w:rPr>
                <w:color w:val="000000"/>
              </w:rPr>
              <w:t>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11,119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2,575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4,536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2,602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5,178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487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24,286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5,664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28,734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14,167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637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182,153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667,936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1,096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$905,289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$21,564 </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center"/>
              <w:rPr>
                <w:color w:val="000000"/>
              </w:rPr>
            </w:pPr>
            <w:r>
              <w:rPr>
                <w:color w:val="000000"/>
              </w:rPr>
              <w:t>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9,273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3,779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2,478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912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1,225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775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4,158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34,023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253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69,347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8,168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13,654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999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1,120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 due to related party,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3,381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1,994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net of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13,075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27,353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683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138,996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29,420 </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center"/>
              <w:rPr>
                <w:color w:val="000000"/>
              </w:rPr>
            </w:pPr>
            <w:r>
              <w:rPr>
                <w:color w:val="000000"/>
              </w:rPr>
              <w:t>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Mezzanine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0"/>
              <w:jc w:val="center"/>
              <w:rPr>
                <w:color w:val="000000"/>
              </w:rPr>
            </w:pPr>
            <w:r>
              <w:rPr>
                <w:color w:val="000000"/>
              </w:rPr>
              <w:t> </w:t>
            </w:r>
          </w:p>
        </w:tc>
      </w:tr>
      <w:tr>
        <w:trPr/>
        <w:tc>
          <w:tcPr>
            <w:tcW w:w="709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Class I Units, no par value, 1,000,000 units authorized,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2,912 </w:t>
            </w:r>
          </w:p>
        </w:tc>
      </w:tr>
      <w:tr>
        <w:trPr/>
        <w:tc>
          <w:tcPr>
            <w:tcW w:w="709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Class PCTA Units, no par value, 3,982,675 units authorized,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7,718 </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 / Unitholders’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center"/>
              <w:rPr>
                <w:color w:val="000000"/>
              </w:rPr>
            </w:pPr>
            <w:r>
              <w:rPr>
                <w:color w:val="000000"/>
              </w:rPr>
              <w:t> </w:t>
            </w:r>
          </w:p>
        </w:tc>
      </w:tr>
      <w:tr>
        <w:trPr/>
        <w:tc>
          <w:tcPr>
            <w:tcW w:w="709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Class B Preferred Units, no par value, 4,639,557 units authorized, and 4,109,961 units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38,122 </w:t>
            </w:r>
          </w:p>
        </w:tc>
      </w:tr>
      <w:tr>
        <w:trPr/>
        <w:tc>
          <w:tcPr>
            <w:tcW w:w="709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Class B-1 Preferred Units, no par value, 2,600,000 units authorized, and 342,608 units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3,323 </w:t>
            </w:r>
          </w:p>
        </w:tc>
      </w:tr>
      <w:tr>
        <w:trPr/>
        <w:tc>
          <w:tcPr>
            <w:tcW w:w="7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57508x2_424b3_201-fintab01_pg3"/>
        <w:bookmarkEnd w:id="1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7114"/>
        <w:gridCol w:w="140"/>
        <w:gridCol w:w="140"/>
        <w:gridCol w:w="1244"/>
        <w:gridCol w:w="140"/>
        <w:gridCol w:w="140"/>
        <w:gridCol w:w="1287"/>
      </w:tblGrid>
      <w:tr>
        <w:trPr/>
        <w:tc>
          <w:tcPr>
            <w:tcW w:w="7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0"/>
              <w:jc w:val="left"/>
              <w:rPr/>
            </w:pPr>
            <w:r>
              <w:rPr/>
              <w:t> </w:t>
            </w:r>
          </w:p>
        </w:tc>
      </w:tr>
      <w:tr>
        <w:trPr/>
        <w:tc>
          <w:tcPr>
            <w:tcW w:w="71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1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711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Class A Units, no par value, 10,975,000 units authorized, and 10,875,000 units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1,950 </w:t>
            </w:r>
          </w:p>
        </w:tc>
      </w:tr>
      <w:tr>
        <w:trPr/>
        <w:tc>
          <w:tcPr>
            <w:tcW w:w="71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Class C Units, no par value, 1,585,125 units authorized, and 1,570,125 units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844 </w:t>
            </w:r>
          </w:p>
        </w:tc>
      </w:tr>
      <w:tr>
        <w:trPr/>
        <w:tc>
          <w:tcPr>
            <w:tcW w:w="711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$0.0001 par value, 25,000,000 shares authorized, and 1,102,000 shares issued and outstanding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$0.0001 par value, 250,000,000 shares authorized, and 44,597,154 shares issued and outstanding as of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502,865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(78,262</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(64,284</w:t>
            </w:r>
            <w:r>
              <w:rPr>
                <w:rFonts w:ascii="Times New Roman;Times;serif" w:hAnsi="Times New Roman;Times;serif"/>
                <w:color w:val="000000"/>
                <w:sz w:val="20"/>
              </w:rPr>
              <w:t xml:space="preserve">) </w:t>
            </w:r>
          </w:p>
        </w:tc>
      </w:tr>
      <w:tr>
        <w:trPr/>
        <w:tc>
          <w:tcPr>
            <w:tcW w:w="711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Innventure, Inc., Stockholders’ Equity/ Innventure LLC Unitholders’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425,516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(20,045) </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340,777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1,559 </w:t>
            </w:r>
          </w:p>
        </w:tc>
      </w:tr>
      <w:tr>
        <w:trPr/>
        <w:tc>
          <w:tcPr>
            <w:tcW w:w="71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 Unitholders’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766,293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(18,486</w:t>
            </w:r>
            <w:r>
              <w:rPr>
                <w:rFonts w:ascii="Times New Roman;Times;serif" w:hAnsi="Times New Roman;Times;serif"/>
                <w:b/>
                <w:color w:val="000000"/>
                <w:sz w:val="20"/>
              </w:rPr>
              <w:t xml:space="preserve">) </w:t>
            </w:r>
          </w:p>
        </w:tc>
      </w:tr>
      <w:tr>
        <w:trPr/>
        <w:tc>
          <w:tcPr>
            <w:tcW w:w="71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Mezzanine Capital and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$905,289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$21,564</w:t>
            </w:r>
          </w:p>
        </w:tc>
      </w:tr>
      <w:tr>
        <w:trPr/>
        <w:tc>
          <w:tcPr>
            <w:tcW w:w="71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57508x2_424b3_201-fintab01_pg4"/>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CSO"/>
      <w:bookmarkEnd w:id="138"/>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and Comprehensive Income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5714"/>
        <w:gridCol w:w="140"/>
        <w:gridCol w:w="140"/>
        <w:gridCol w:w="1258"/>
        <w:gridCol w:w="140"/>
        <w:gridCol w:w="140"/>
        <w:gridCol w:w="1090"/>
        <w:gridCol w:w="140"/>
        <w:gridCol w:w="140"/>
        <w:gridCol w:w="1303"/>
      </w:tblGrid>
      <w:tr>
        <w:trPr/>
        <w:tc>
          <w:tcPr>
            <w:tcW w:w="57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3" w:type="dxa"/>
            <w:gridSpan w:val="4"/>
            <w:tcBorders/>
            <w:vAlign w:val="center"/>
          </w:tcPr>
          <w:p>
            <w:pPr>
              <w:pStyle w:val="TableContents"/>
              <w:bidi w:val="0"/>
              <w:spacing w:before="0" w:after="0"/>
              <w:jc w:val="left"/>
              <w:rPr/>
            </w:pPr>
            <w:r>
              <w:rPr/>
              <w:t>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1,117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3,752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29,652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26,608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17,589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2,009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4,178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3,205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4,001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40,753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37,541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24,795 </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(40,297)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(36,777)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(23,678) </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Non-operating (Expense) and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(1,132)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from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(6,448)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gain on investments -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(632)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(33,078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(7,306</w:t>
            </w:r>
            <w:r>
              <w:rPr>
                <w:rFonts w:ascii="Times New Roman;Times;serif" w:hAnsi="Times New Roman;Times;serif"/>
                <w:b/>
                <w:color w:val="000000"/>
                <w:sz w:val="20"/>
              </w:rPr>
              <w:t xml:space="preserve">)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(73,375)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(27,766)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(30,984)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(3,282</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(30,984) </w:t>
            </w:r>
          </w:p>
        </w:tc>
      </w:tr>
      <w:tr>
        <w:trPr/>
        <w:tc>
          <w:tcPr>
            <w:tcW w:w="571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(8,339</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w:t>
            </w:r>
            <w:r>
              <w:rPr>
                <w:rFonts w:ascii="Times New Roman;Times;serif" w:hAnsi="Times New Roman;Times;serif"/>
                <w:color w:val="000000"/>
                <w:sz w:val="20"/>
              </w:rPr>
              <w:t xml:space="preserve">) </w:t>
            </w:r>
          </w:p>
        </w:tc>
      </w:tr>
      <w:tr>
        <w:trPr/>
        <w:tc>
          <w:tcPr>
            <w:tcW w:w="571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(61,754</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(16,436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(30,845</w:t>
            </w:r>
            <w:r>
              <w:rPr>
                <w:rFonts w:ascii="Times New Roman;Times;serif" w:hAnsi="Times New Roman;Times;serif"/>
                <w:b/>
                <w:color w:val="000000"/>
                <w:sz w:val="20"/>
              </w:rPr>
              <w:t xml:space="preserve">) </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loss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common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43,951,279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available-for-sale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(69,184)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(28,136)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(30,984) </w:t>
            </w:r>
          </w:p>
        </w:tc>
      </w:tr>
      <w:tr>
        <w:trPr/>
        <w:tc>
          <w:tcPr>
            <w:tcW w:w="57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income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(8,339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(11,762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w:t>
            </w:r>
            <w:r>
              <w:rPr>
                <w:rFonts w:ascii="Times New Roman;Times;serif" w:hAnsi="Times New Roman;Times;serif"/>
                <w:color w:val="000000"/>
                <w:sz w:val="20"/>
              </w:rPr>
              <w:t xml:space="preserve">) </w:t>
            </w:r>
          </w:p>
        </w:tc>
      </w:tr>
      <w:tr>
        <w:trPr/>
        <w:tc>
          <w:tcPr>
            <w:tcW w:w="571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$(60,845</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$(16,374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$(30,845</w:t>
            </w:r>
            <w:r>
              <w:rPr>
                <w:rFonts w:ascii="Times New Roman;Times;serif" w:hAnsi="Times New Roman;Times;serif"/>
                <w:b/>
                <w:color w:val="000000"/>
                <w:sz w:val="20"/>
              </w:rPr>
              <w:t>)</w:t>
            </w:r>
          </w:p>
        </w:tc>
      </w:tr>
      <w:tr>
        <w:trPr/>
        <w:tc>
          <w:tcPr>
            <w:tcW w:w="57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57508x2_424b3_201-fintab01_pg5"/>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0" w:name="tCSOM"/>
      <w:bookmarkEnd w:id="140"/>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Changes in Mezzanine Capital (Predecessor)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7280" w:type="dxa"/>
        <w:jc w:val="left"/>
        <w:tblInd w:w="0" w:type="dxa"/>
        <w:tblLayout w:type="fixed"/>
        <w:tblCellMar>
          <w:top w:w="0" w:type="dxa"/>
          <w:left w:w="0" w:type="dxa"/>
          <w:bottom w:w="0" w:type="dxa"/>
          <w:right w:w="0" w:type="dxa"/>
        </w:tblCellMar>
      </w:tblPr>
      <w:tblGrid>
        <w:gridCol w:w="4145"/>
        <w:gridCol w:w="140"/>
        <w:gridCol w:w="140"/>
        <w:gridCol w:w="605"/>
        <w:gridCol w:w="140"/>
        <w:gridCol w:w="140"/>
        <w:gridCol w:w="935"/>
        <w:gridCol w:w="140"/>
        <w:gridCol w:w="140"/>
        <w:gridCol w:w="755"/>
      </w:tblGrid>
      <w:tr>
        <w:trPr/>
        <w:tc>
          <w:tcPr>
            <w:tcW w:w="4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PCTA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1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$2,984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$12,882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$15,866 </w:t>
            </w:r>
          </w:p>
        </w:tc>
      </w:tr>
      <w:tr>
        <w:trPr/>
        <w:tc>
          <w:tcPr>
            <w:tcW w:w="41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capital calls to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41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(5,366</w:t>
            </w:r>
            <w:r>
              <w:rPr>
                <w:rFonts w:ascii="Times New Roman;Times;serif" w:hAnsi="Times New Roman;Times;serif"/>
                <w:color w:val="000000"/>
                <w:sz w:val="20"/>
              </w:rPr>
              <w:t xml:space="preserve">) </w:t>
            </w:r>
          </w:p>
        </w:tc>
      </w:tr>
      <w:tr>
        <w:trPr/>
        <w:tc>
          <w:tcPr>
            <w:tcW w:w="41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2,912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7,718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10,630 </w:t>
            </w:r>
          </w:p>
        </w:tc>
      </w:tr>
      <w:tr>
        <w:trPr/>
        <w:tc>
          <w:tcPr>
            <w:tcW w:w="41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11,950 </w:t>
            </w:r>
          </w:p>
        </w:tc>
      </w:tr>
      <w:tr>
        <w:trPr/>
        <w:tc>
          <w:tcPr>
            <w:tcW w:w="41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$22,580</w:t>
            </w:r>
          </w:p>
        </w:tc>
      </w:tr>
      <w:tr>
        <w:trPr/>
        <w:tc>
          <w:tcPr>
            <w:tcW w:w="4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57508x2_424b3_201-fintab01_pg6"/>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Changes in Stockholders’ Equity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1678"/>
        <w:gridCol w:w="140"/>
        <w:gridCol w:w="140"/>
        <w:gridCol w:w="725"/>
        <w:gridCol w:w="140"/>
        <w:gridCol w:w="140"/>
        <w:gridCol w:w="726"/>
        <w:gridCol w:w="140"/>
        <w:gridCol w:w="140"/>
        <w:gridCol w:w="590"/>
        <w:gridCol w:w="140"/>
        <w:gridCol w:w="140"/>
        <w:gridCol w:w="560"/>
        <w:gridCol w:w="140"/>
        <w:gridCol w:w="140"/>
        <w:gridCol w:w="968"/>
        <w:gridCol w:w="140"/>
        <w:gridCol w:w="140"/>
        <w:gridCol w:w="968"/>
        <w:gridCol w:w="140"/>
        <w:gridCol w:w="140"/>
        <w:gridCol w:w="863"/>
        <w:gridCol w:w="140"/>
        <w:gridCol w:w="140"/>
        <w:gridCol w:w="887"/>
      </w:tblGrid>
      <w:tr>
        <w:trPr/>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0"/>
              <w:jc w:val="left"/>
              <w:rPr/>
            </w:pPr>
            <w:r>
              <w:rPr/>
              <w:t> </w:t>
            </w:r>
          </w:p>
        </w:tc>
      </w:tr>
      <w:tr>
        <w:trPr/>
        <w:tc>
          <w:tcPr>
            <w:tcW w:w="1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67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2022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$20,803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rPr>
            </w:pPr>
            <w:r>
              <w:rPr>
                <w:rFonts w:ascii="Times New Roman;Times;serif" w:hAnsi="Times New Roman;Times;serif"/>
                <w:b/>
                <w:color w:val="000000"/>
                <w:sz w:val="20"/>
              </w:rPr>
              <w:t>$639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$(38,564)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(11,193) </w:t>
            </w:r>
          </w:p>
        </w:tc>
      </w:tr>
      <w:tr>
        <w:trPr/>
        <w:tc>
          <w:tcPr>
            <w:tcW w:w="16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(30,845)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Non-controlling interest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17,319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17,319 </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w:t>
            </w:r>
          </w:p>
        </w:tc>
      </w:tr>
      <w:tr>
        <w:trPr/>
        <w:tc>
          <w:tcPr>
            <w:tcW w:w="16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5,366 </w:t>
            </w:r>
          </w:p>
        </w:tc>
      </w:tr>
      <w:tr>
        <w:trPr/>
        <w:tc>
          <w:tcPr>
            <w:tcW w:w="16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38,122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rFonts w:ascii="Times New Roman;Times;serif" w:hAnsi="Times New Roman;Times;serif"/>
                <w:b/>
                <w:color w:val="000000"/>
                <w:sz w:val="20"/>
              </w:rPr>
            </w:pPr>
            <w:r>
              <w:rPr>
                <w:rFonts w:ascii="Times New Roman;Times;serif" w:hAnsi="Times New Roman;Times;serif"/>
                <w:b/>
                <w:color w:val="000000"/>
                <w:sz w:val="20"/>
              </w:rPr>
              <w:t>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(64,284)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b/>
                <w:color w:val="000000"/>
                <w:sz w:val="20"/>
              </w:rPr>
            </w:pPr>
            <w:r>
              <w:rPr>
                <w:rFonts w:ascii="Times New Roman;Times;serif" w:hAnsi="Times New Roman;Times;serif"/>
                <w:b/>
                <w:color w:val="000000"/>
                <w:sz w:val="20"/>
              </w:rPr>
              <w:t>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(18,486) </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(16,436)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(28,198) </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13,921 </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13,561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13,561 </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1,056 </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8,443 </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(11,950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(11,950</w:t>
            </w:r>
            <w:r>
              <w:rPr>
                <w:rFonts w:ascii="Times New Roman;Times;serif" w:hAnsi="Times New Roman;Times;serif"/>
                <w:color w:val="000000"/>
                <w:sz w:val="20"/>
              </w:rPr>
              <w:t xml:space="preserve">) </w:t>
            </w:r>
          </w:p>
        </w:tc>
      </w:tr>
      <w:tr>
        <w:trPr/>
        <w:tc>
          <w:tcPr>
            <w:tcW w:w="16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October 1,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$51,683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$(92,670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$(21,591</w:t>
            </w:r>
            <w:r>
              <w:rPr>
                <w:rFonts w:ascii="Times New Roman;Times;serif" w:hAnsi="Times New Roman;Times;serif"/>
                <w:b/>
                <w:color w:val="000000"/>
                <w:sz w:val="20"/>
              </w:rPr>
              <w:t>)</w:t>
            </w:r>
          </w:p>
        </w:tc>
      </w:tr>
      <w:tr>
        <w:trPr/>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57508x2_424b3_201-fintab01_pg7"/>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360" w:right="0" w:hanging="0"/>
        <w:jc w:val="center"/>
        <w:rPr>
          <w:rFonts w:ascii="Times New Roman;Times;serif" w:hAnsi="Times New Roman;Times;serif"/>
          <w:b/>
          <w:color w:val="000000"/>
          <w:sz w:val="20"/>
        </w:rPr>
      </w:pPr>
      <w:bookmarkStart w:id="143" w:name="tCSC"/>
      <w:bookmarkEnd w:id="143"/>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Changes in Stockholders’ Equity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1235" w:type="dxa"/>
        <w:jc w:val="left"/>
        <w:tblInd w:w="0" w:type="dxa"/>
        <w:tblLayout w:type="fixed"/>
        <w:tblCellMar>
          <w:top w:w="0" w:type="dxa"/>
          <w:left w:w="0" w:type="dxa"/>
          <w:bottom w:w="0" w:type="dxa"/>
          <w:right w:w="0" w:type="dxa"/>
        </w:tblCellMar>
      </w:tblPr>
      <w:tblGrid>
        <w:gridCol w:w="1155"/>
        <w:gridCol w:w="140"/>
        <w:gridCol w:w="140"/>
        <w:gridCol w:w="845"/>
        <w:gridCol w:w="140"/>
        <w:gridCol w:w="140"/>
        <w:gridCol w:w="605"/>
        <w:gridCol w:w="140"/>
        <w:gridCol w:w="140"/>
        <w:gridCol w:w="950"/>
        <w:gridCol w:w="140"/>
        <w:gridCol w:w="140"/>
        <w:gridCol w:w="605"/>
        <w:gridCol w:w="140"/>
        <w:gridCol w:w="140"/>
        <w:gridCol w:w="800"/>
        <w:gridCol w:w="140"/>
        <w:gridCol w:w="140"/>
        <w:gridCol w:w="965"/>
        <w:gridCol w:w="140"/>
        <w:gridCol w:w="140"/>
        <w:gridCol w:w="965"/>
        <w:gridCol w:w="140"/>
        <w:gridCol w:w="140"/>
        <w:gridCol w:w="860"/>
        <w:gridCol w:w="140"/>
        <w:gridCol w:w="140"/>
        <w:gridCol w:w="965"/>
      </w:tblGrid>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OCI</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1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0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r>
      <w:tr>
        <w:trPr/>
        <w:tc>
          <w:tcPr>
            <w:tcW w:w="1155"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$(15,845)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(4,503)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Effect of acquisition of Innventure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43,589,850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343,030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804,098 </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warrants from liability to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1,265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shares,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2,083 </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shares,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9,965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shares from warrant exercises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2,982 </w:t>
            </w:r>
          </w:p>
        </w:tc>
      </w:tr>
      <w:tr>
        <w:trPr/>
        <w:tc>
          <w:tcPr>
            <w:tcW w:w="11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(61,754)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(8,339)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(70,093)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gain,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909 </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Non-controlling interest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4,129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4,129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Distributions to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Vesting of contingent at risk sponsor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587,995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color w:val="000000"/>
              </w:rPr>
            </w:pPr>
            <w:r>
              <w:rPr>
                <w:color w:val="000000"/>
              </w:rPr>
              <w:t xml:space="preserve">—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1,957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16,338 </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Accrued preferred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(217</w:t>
            </w:r>
            <w:r>
              <w:rPr>
                <w:rFonts w:ascii="Times New Roman;Times;serif" w:hAnsi="Times New Roman;Times;serif"/>
                <w:color w:val="000000"/>
                <w:sz w:val="20"/>
              </w:rPr>
              <w:t xml:space="preserve">) </w:t>
            </w:r>
          </w:p>
        </w:tc>
      </w:tr>
      <w:tr>
        <w:trPr/>
        <w:tc>
          <w:tcPr>
            <w:tcW w:w="115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1,102,000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44,597,154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$502,865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$(78,262</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$340,777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$766,293</w:t>
            </w:r>
          </w:p>
        </w:tc>
      </w:tr>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89" w:after="283"/>
        <w:ind w:left="36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57508x2_424b3_201-fintab01_pg8"/>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5" w:name="tCSF"/>
      <w:bookmarkEnd w:id="145"/>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5630"/>
        <w:gridCol w:w="140"/>
        <w:gridCol w:w="140"/>
        <w:gridCol w:w="1284"/>
        <w:gridCol w:w="140"/>
        <w:gridCol w:w="140"/>
        <w:gridCol w:w="1120"/>
        <w:gridCol w:w="140"/>
        <w:gridCol w:w="140"/>
        <w:gridCol w:w="1331"/>
      </w:tblGrid>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1" w:type="dxa"/>
            <w:gridSpan w:val="4"/>
            <w:tcBorders/>
            <w:vAlign w:val="center"/>
          </w:tcPr>
          <w:p>
            <w:pPr>
              <w:pStyle w:val="TableContents"/>
              <w:bidi w:val="0"/>
              <w:spacing w:before="0" w:after="0"/>
              <w:jc w:val="left"/>
              <w:rPr/>
            </w:pPr>
            <w:r>
              <w:rPr/>
              <w:t>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6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5630" w:type="dxa"/>
            <w:tcBorders/>
            <w:shd w:fill="CCEEFF" w:val="clear"/>
            <w:vAlign w:val="center"/>
          </w:tcPr>
          <w:p>
            <w:pPr>
              <w:pStyle w:val="TableContents"/>
              <w:bidi w:val="0"/>
              <w:spacing w:before="0" w:after="283"/>
              <w:ind w:left="200" w:right="0" w:hanging="200"/>
              <w:jc w:val="left"/>
              <w:rPr>
                <w:rFonts w:ascii="Times New Roman;Times;serif" w:hAnsi="Times New Roman;Times;serif"/>
                <w:i/>
                <w:color w:val="000000"/>
                <w:sz w:val="20"/>
              </w:rPr>
            </w:pPr>
            <w:r>
              <w:rPr>
                <w:rFonts w:ascii="Times New Roman;Times;serif" w:hAnsi="Times New Roman;Times;serif"/>
                <w:i/>
                <w:color w:val="000000"/>
                <w:sz w:val="20"/>
              </w:rPr>
              <w:t>Adjustments to reconcile net loss to net cash and cash equivalents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16,338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on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payables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on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6,448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632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(3,301)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patent installment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rent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unpaid interest on note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center"/>
              <w:rPr>
                <w:color w:val="000000"/>
              </w:rPr>
            </w:pPr>
            <w:r>
              <w:rPr>
                <w:color w:val="000000"/>
              </w:rPr>
              <w:t> </w:t>
            </w:r>
          </w:p>
        </w:tc>
      </w:tr>
      <w:tr>
        <w:trPr/>
        <w:tc>
          <w:tcPr>
            <w:tcW w:w="56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(1,301)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(218) </w:t>
            </w:r>
          </w:p>
        </w:tc>
      </w:tr>
      <w:tr>
        <w:trPr/>
        <w:tc>
          <w:tcPr>
            <w:tcW w:w="56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(2,354)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(11,211)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56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3,838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3,181 </w:t>
            </w:r>
          </w:p>
        </w:tc>
      </w:tr>
      <w:tr>
        <w:trPr/>
        <w:tc>
          <w:tcPr>
            <w:tcW w:w="56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(484)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1,230 </w:t>
            </w:r>
          </w:p>
        </w:tc>
      </w:tr>
      <w:tr>
        <w:trPr/>
        <w:tc>
          <w:tcPr>
            <w:tcW w:w="56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 </w:t>
            </w:r>
          </w:p>
        </w:tc>
      </w:tr>
      <w:tr>
        <w:trPr/>
        <w:tc>
          <w:tcPr>
            <w:tcW w:w="56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(218</w:t>
            </w:r>
            <w:r>
              <w:rPr>
                <w:rFonts w:ascii="Times New Roman;Times;serif" w:hAnsi="Times New Roman;Times;serif"/>
                <w:color w:val="000000"/>
                <w:sz w:val="20"/>
              </w:rPr>
              <w:t xml:space="preserve">) </w:t>
            </w:r>
          </w:p>
        </w:tc>
      </w:tr>
      <w:tr>
        <w:trPr/>
        <w:tc>
          <w:tcPr>
            <w:tcW w:w="56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(29,214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(18,848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(19,476</w:t>
            </w:r>
            <w:r>
              <w:rPr>
                <w:rFonts w:ascii="Times New Roman;Times;serif" w:hAnsi="Times New Roman;Times;serif"/>
                <w:b/>
                <w:color w:val="000000"/>
                <w:sz w:val="20"/>
              </w:rPr>
              <w:t xml:space="preserve">)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center"/>
              <w:rPr>
                <w:color w:val="000000"/>
              </w:rPr>
            </w:pPr>
            <w:r>
              <w:rPr>
                <w:color w:val="000000"/>
              </w:rPr>
              <w:t> </w:t>
            </w:r>
          </w:p>
        </w:tc>
      </w:tr>
      <w:tr>
        <w:trPr/>
        <w:tc>
          <w:tcPr>
            <w:tcW w:w="56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 of shares in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(2,600)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Advances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(645)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Acquisition of net assets, net of cash acquired, through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 </w:t>
            </w:r>
          </w:p>
        </w:tc>
      </w:tr>
      <w:tr>
        <w:trPr/>
        <w:tc>
          <w:tcPr>
            <w:tcW w:w="563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Cash withdrawn from trust as a result of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11,342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6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6,822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(5,957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(4,667</w:t>
            </w:r>
            <w:r>
              <w:rPr>
                <w:rFonts w:ascii="Times New Roman;Times;serif" w:hAnsi="Times New Roman;Times;serif"/>
                <w:b/>
                <w:color w:val="000000"/>
                <w:sz w:val="20"/>
              </w:rPr>
              <w:t xml:space="preserve">) </w:t>
            </w:r>
          </w:p>
        </w:tc>
      </w:tr>
      <w:tr>
        <w:trPr/>
        <w:tc>
          <w:tcPr>
            <w:tcW w:w="56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57508x2_424b3_201-fintab01_pg9"/>
        <w:bookmarkEnd w:id="1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770"/>
        <w:gridCol w:w="140"/>
        <w:gridCol w:w="140"/>
        <w:gridCol w:w="1241"/>
        <w:gridCol w:w="140"/>
        <w:gridCol w:w="140"/>
        <w:gridCol w:w="1071"/>
        <w:gridCol w:w="140"/>
        <w:gridCol w:w="140"/>
        <w:gridCol w:w="1283"/>
      </w:tblGrid>
      <w:tr>
        <w:trPr/>
        <w:tc>
          <w:tcPr>
            <w:tcW w:w="5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gridSpan w:val="4"/>
            <w:tcBorders/>
            <w:vAlign w:val="center"/>
          </w:tcPr>
          <w:p>
            <w:pPr>
              <w:pStyle w:val="TableContents"/>
              <w:bidi w:val="0"/>
              <w:spacing w:before="0" w:after="0"/>
              <w:jc w:val="left"/>
              <w:rPr/>
            </w:pPr>
            <w:r>
              <w:rPr/>
              <w:t> </w:t>
            </w:r>
          </w:p>
        </w:tc>
      </w:tr>
      <w:tr>
        <w:trPr/>
        <w:tc>
          <w:tcPr>
            <w:tcW w:w="5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center"/>
              <w:rPr>
                <w:color w:val="000000"/>
              </w:rPr>
            </w:pPr>
            <w:r>
              <w:rPr>
                <w:color w:val="000000"/>
              </w:rPr>
              <w:t>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equity,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15,383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16,009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equity to non-controlling interest,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4,169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13,859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577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convertible promissory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issuance of debt securities,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19,455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debts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(540)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Receipt of Capital from Class I Unitholder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promissory notes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1,004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promissory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(4,628</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 xml:space="preserve">— </w:t>
            </w:r>
          </w:p>
        </w:tc>
      </w:tr>
      <w:tr>
        <w:trPr/>
        <w:tc>
          <w:tcPr>
            <w:tcW w:w="5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33,466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19,174 </w:t>
            </w:r>
          </w:p>
        </w:tc>
      </w:tr>
      <w:tr>
        <w:trPr/>
        <w:tc>
          <w:tcPr>
            <w:tcW w:w="5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11,074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(4,969</w:t>
            </w:r>
            <w:r>
              <w:rPr>
                <w:rFonts w:ascii="Times New Roman;Times;serif" w:hAnsi="Times New Roman;Times;serif"/>
                <w:b/>
                <w:color w:val="000000"/>
                <w:sz w:val="20"/>
              </w:rPr>
              <w:t xml:space="preserve">) </w:t>
            </w:r>
          </w:p>
        </w:tc>
      </w:tr>
      <w:tr>
        <w:trPr/>
        <w:tc>
          <w:tcPr>
            <w:tcW w:w="577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7,544 </w:t>
            </w:r>
          </w:p>
        </w:tc>
      </w:tr>
      <w:tr>
        <w:trPr/>
        <w:tc>
          <w:tcPr>
            <w:tcW w:w="577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$11,119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$2,575</w:t>
            </w:r>
          </w:p>
        </w:tc>
      </w:tr>
      <w:tr>
        <w:trPr/>
        <w:tc>
          <w:tcPr>
            <w:tcW w:w="5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Cash Flow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297 </w:t>
            </w:r>
          </w:p>
        </w:tc>
      </w:tr>
      <w:tr>
        <w:trPr/>
        <w:tc>
          <w:tcPr>
            <w:tcW w:w="577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Financing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5,366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Debt discount and embedded derivative upon issuance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7,324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working capital loans to equity method investees into investments in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Transfer of liability warrants to equity warrants in the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1,265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Initial recognition of loan commitment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16,190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Transfer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6,694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w:t>
            </w:r>
          </w:p>
        </w:tc>
      </w:tr>
      <w:tr>
        <w:trPr/>
        <w:tc>
          <w:tcPr>
            <w:tcW w:w="5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57508x2_424b3_202-finnotes01_pg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340" w:after="283"/>
        <w:ind w:left="0" w:right="0" w:hanging="0"/>
        <w:jc w:val="left"/>
        <w:rPr>
          <w:rFonts w:ascii="Times New Roman;Times;serif" w:hAnsi="Times New Roman;Times;serif"/>
          <w:b/>
          <w:color w:val="000000"/>
          <w:sz w:val="20"/>
        </w:rPr>
      </w:pPr>
      <w:bookmarkStart w:id="148" w:name="tNTC"/>
      <w:bookmarkEnd w:id="148"/>
      <w:r>
        <w:rPr>
          <w:rFonts w:ascii="Times New Roman;Times;serif" w:hAnsi="Times New Roman;Times;serif"/>
          <w:b/>
          <w:color w:val="000000"/>
          <w:sz w:val="20"/>
        </w:rPr>
        <w:t xml:space="preserve">Note 1. Nature of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Annual Report on Form 10-K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 Predecessor consolidated financial statements include all amounts of Innventure LLC and its consolidated subsidiaries. All intercompany transactions and balances have been eliminated in consolidation.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57508x2_424b3_202-finnotes01_pg2"/>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Reclassifications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amounts reported previously have been reclassified to conform to the current year presentation with no effect on total stockholders’ deficit, or net income as previously reported.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Going Concern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 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 </w:t>
      </w:r>
    </w:p>
    <w:p>
      <w:pPr>
        <w:pStyle w:val="TextBody"/>
        <w:bidi w:val="0"/>
        <w:spacing w:before="16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Level 1 – </w:t>
      </w:r>
      <w:r>
        <w:rPr>
          <w:rFonts w:ascii="Times New Roman;Times;serif" w:hAnsi="Times New Roman;Times;serif"/>
          <w:b w:val="false"/>
          <w:color w:val="000000"/>
          <w:sz w:val="20"/>
        </w:rPr>
        <w:t xml:space="preserve">Quoted prices in active markets for identical assets or liabilities.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Level 2 – </w:t>
      </w:r>
      <w:r>
        <w:rPr>
          <w:rFonts w:ascii="Times New Roman;Times;serif" w:hAnsi="Times New Roman;Times;serif"/>
          <w:b w:val="false"/>
          <w:color w:val="000000"/>
          <w:sz w:val="20"/>
        </w:rPr>
        <w:t xml:space="preserve">Observable inputs other than quoted prices in Level 1, such as quoted prices for similar assets or liabilities in active markets; quoted prices in markets that are not active; or other inputs that are observable or can be corroborated by observable market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57508x2_424b3_202-finnotes01_pg3"/>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Level 3 – </w:t>
      </w:r>
      <w:r>
        <w:rPr>
          <w:rFonts w:ascii="Times New Roman;Times;serif" w:hAnsi="Times New Roman;Times;serif"/>
          <w:b w:val="false"/>
          <w:color w:val="000000"/>
          <w:sz w:val="20"/>
        </w:rPr>
        <w:t xml:space="preserve">Unobservable inputs that are supported by little or no market activity and reflect management’s best estimate of what market participants would use in pricing the asset or liability. Consideration is given to the risk inherent in the valuation technique and the risk inherent in the inputs to the model.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Method Investments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Equity method investments are investments where the Company does not consolidate the investee, but can exert significant influence over the financial and operating policies of the investee.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distributions received as a result of the Company’s share of cumulative earnings are classified as operating activities. Cash distributions, if any, received that are in excess of the Company’s share of cumulative earnings or losses are classified as investing activities.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Exchange-traded Investments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Exchange-traded equity investments are generally carried at fair value on the consolidated balance sheets with changes in the fair value recorded through net income (“FVTNI”) within non-operating income (expense).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Variable Interest and Voting Interest Entities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Impairments of Investments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Impairment evaluation considers qualitative factors, including the financial conditions and specific events related to an investee, that may indicate the fair value of the investment is less than its carrying value.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Available-for-Sale Investments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57508x2_424b3_202-finnotes01_pg4"/>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Inventory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Inventories are stated at the lower of cost or net realizable value. Cost is determined principally under the average cost method.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Plant and Equipment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Impairment of Long-Lived Assets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Intangible Assets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Intangible assets with finite lives are amortized over their estimated useful lives and reviewed for impairment whenever events or other changes in circumstances indicate that the carrying amount may not be recoverable.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57508x2_424b3_202-finnotes01_pg5"/>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Goodwill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Goodwill reflects the excess purchase price over the fair value of net tangible and intangible assets acquired in a 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were no impairments of goodwill recognized for the year ended December 31, 2024.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and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 return levels, usually 8%. These allocations are considered variable consideration and are recognized when a significant reversal is no longer probable.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57508x2_424b3_202-finnotes01_pg6"/>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participates in multiple stock-based compensation plans which are further discussed in Note 14. Stock-based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Expense related to grants of stock-based awards is included in the respective expense category in which the employee serves in the consolidated statements of operations and comprehensive income (loss). The Company recognizes forfeitures as they occur.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57508x2_424b3_202-finnotes01_pg7"/>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Adopted Accounting Pronouncements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June 2022, the FASB issued ASU 2022-03, </w:t>
      </w:r>
      <w:r>
        <w:rPr>
          <w:rFonts w:ascii="Times New Roman;Times;serif" w:hAnsi="Times New Roman;Times;serif"/>
          <w:i/>
          <w:color w:val="000000"/>
          <w:sz w:val="20"/>
        </w:rPr>
        <w:t>Fair Value Measurement (Topic 820): Fair Value Measurement of Equity Securities Subject to Contractual Sale Restrictions</w:t>
      </w:r>
      <w:r>
        <w:rPr>
          <w:rFonts w:ascii="Times New Roman;Times;serif" w:hAnsi="Times New Roman;Times;serif"/>
          <w:color w:val="000000"/>
          <w:sz w:val="20"/>
        </w:rPr>
        <w:t xml:space="preserve"> (“ASU 2022-03”). ASU 2022-03 clarifies that 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2023, the FASB issued ASU 2023-07, </w:t>
      </w:r>
      <w:r>
        <w:rPr>
          <w:rFonts w:ascii="Times New Roman;Times;serif" w:hAnsi="Times New Roman;Times;serif"/>
          <w:i/>
          <w:color w:val="000000"/>
          <w:sz w:val="20"/>
        </w:rPr>
        <w:t>Segment Reporting (Topic 280): Improvements to Reportable Segment Disclosures</w:t>
      </w:r>
      <w:r>
        <w:rPr>
          <w:rFonts w:ascii="Times New Roman;Times;serif" w:hAnsi="Times New Roman;Times;serif"/>
          <w:color w:val="000000"/>
          <w:sz w:val="20"/>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But Not Yet Adopted Accounting Standards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the FASB issued ASU 2023-06, </w:t>
      </w:r>
      <w:r>
        <w:rPr>
          <w:rFonts w:ascii="Times New Roman;Times;serif" w:hAnsi="Times New Roman;Times;serif"/>
          <w:i/>
          <w:color w:val="000000"/>
          <w:sz w:val="20"/>
        </w:rPr>
        <w:t xml:space="preserve">Disclosure Improvements: Codification Amendments in Response to the SEC’s Disclosure Update and Simplification Initiative </w:t>
      </w:r>
      <w:r>
        <w:rPr>
          <w:rFonts w:ascii="Times New Roman;Times;serif" w:hAnsi="Times New Roman;Times;serif"/>
          <w:color w:val="000000"/>
          <w:sz w:val="20"/>
        </w:rPr>
        <w:t xml:space="preserve">(“ASU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w:t>
      </w:r>
      <w:r>
        <w:rPr>
          <w:rFonts w:ascii="Times New Roman;Times;serif" w:hAnsi="Times New Roman;Times;serif"/>
          <w:i/>
          <w:color w:val="000000"/>
          <w:sz w:val="20"/>
        </w:rPr>
        <w:t>Income Taxes (Topic 740): Improvements to Income Tax Disclosures</w:t>
      </w:r>
      <w:r>
        <w:rPr>
          <w:rFonts w:ascii="Times New Roman;Times;serif" w:hAnsi="Times New Roman;Times;serif"/>
          <w:color w:val="000000"/>
          <w:sz w:val="20"/>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w:t>
      </w:r>
      <w:r>
        <w:rPr>
          <w:rFonts w:ascii="Times New Roman;Times;serif" w:hAnsi="Times New Roman;Times;serif"/>
          <w:i/>
          <w:color w:val="000000"/>
          <w:sz w:val="20"/>
        </w:rPr>
        <w:t xml:space="preserve">Income Statement - Reporting Comprehensive Income - Expense Disaggregation Disclosures (Subtopic 220-40): Disaggregation of Income Statement Expenses </w:t>
      </w:r>
      <w:r>
        <w:rPr>
          <w:rFonts w:ascii="Times New Roman;Times;serif" w:hAnsi="Times New Roman;Times;serif"/>
          <w:color w:val="000000"/>
          <w:sz w:val="20"/>
        </w:rPr>
        <w:t xml:space="preserve">(“ASU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Investments </w:t>
      </w:r>
    </w:p>
    <w:tbl>
      <w:tblPr>
        <w:tblW w:w="6890" w:type="dxa"/>
        <w:jc w:val="left"/>
        <w:tblInd w:w="0" w:type="dxa"/>
        <w:tblLayout w:type="fixed"/>
        <w:tblCellMar>
          <w:top w:w="0" w:type="dxa"/>
          <w:left w:w="0" w:type="dxa"/>
          <w:bottom w:w="0" w:type="dxa"/>
          <w:right w:w="0" w:type="dxa"/>
        </w:tblCellMar>
      </w:tblPr>
      <w:tblGrid>
        <w:gridCol w:w="3440"/>
        <w:gridCol w:w="140"/>
        <w:gridCol w:w="140"/>
        <w:gridCol w:w="1415"/>
        <w:gridCol w:w="140"/>
        <w:gridCol w:w="140"/>
        <w:gridCol w:w="147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$17,547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4,482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Exchange-traded investments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9,685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11,187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 xml:space="preserv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$28,734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$14,167</w:t>
            </w:r>
          </w:p>
        </w:tc>
      </w:tr>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57508x2_424b3_202-finnotes01_pg8"/>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Equity-method investments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ESG Fund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 interest in AeroFlexx as of December 31, 2024 and 2023, respectively.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carrying amounts and maximum exposure relating to AeroFlexx, were as follows: </w:t>
      </w:r>
    </w:p>
    <w:tbl>
      <w:tblPr>
        <w:tblW w:w="8960" w:type="dxa"/>
        <w:jc w:val="left"/>
        <w:tblInd w:w="0" w:type="dxa"/>
        <w:tblLayout w:type="fixed"/>
        <w:tblCellMar>
          <w:top w:w="0" w:type="dxa"/>
          <w:left w:w="0" w:type="dxa"/>
          <w:bottom w:w="0" w:type="dxa"/>
          <w:right w:w="0" w:type="dxa"/>
        </w:tblCellMar>
      </w:tblPr>
      <w:tblGrid>
        <w:gridCol w:w="3305"/>
        <w:gridCol w:w="140"/>
        <w:gridCol w:w="140"/>
        <w:gridCol w:w="740"/>
        <w:gridCol w:w="140"/>
        <w:gridCol w:w="140"/>
        <w:gridCol w:w="1520"/>
        <w:gridCol w:w="140"/>
        <w:gridCol w:w="140"/>
        <w:gridCol w:w="740"/>
        <w:gridCol w:w="140"/>
        <w:gridCol w:w="140"/>
        <w:gridCol w:w="1535"/>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Asset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Exposure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Loss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Exposure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Loss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in AeroFlexx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$16,930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$1,570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Investments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3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2,600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8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$32,589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$4,170</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Summarized financial information: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Balance sheets </w:t>
      </w:r>
    </w:p>
    <w:tbl>
      <w:tblPr>
        <w:tblW w:w="5870" w:type="dxa"/>
        <w:jc w:val="left"/>
        <w:tblInd w:w="0" w:type="dxa"/>
        <w:tblLayout w:type="fixed"/>
        <w:tblCellMar>
          <w:top w:w="0" w:type="dxa"/>
          <w:left w:w="0" w:type="dxa"/>
          <w:bottom w:w="0" w:type="dxa"/>
          <w:right w:w="0" w:type="dxa"/>
        </w:tblCellMar>
      </w:tblPr>
      <w:tblGrid>
        <w:gridCol w:w="1790"/>
        <w:gridCol w:w="140"/>
        <w:gridCol w:w="140"/>
        <w:gridCol w:w="695"/>
        <w:gridCol w:w="140"/>
        <w:gridCol w:w="140"/>
        <w:gridCol w:w="695"/>
        <w:gridCol w:w="140"/>
        <w:gridCol w:w="140"/>
        <w:gridCol w:w="815"/>
        <w:gridCol w:w="140"/>
        <w:gridCol w:w="140"/>
        <w:gridCol w:w="75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ESG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AeroFlexx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$10,780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8,031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Equity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2,749</w:t>
            </w:r>
          </w:p>
        </w:tc>
      </w:tr>
      <w:tr>
        <w:trPr/>
        <w:tc>
          <w:tcPr>
            <w:tcW w:w="1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57508x2_424b3_202-finnotes01_pg9"/>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Statements of operation </w:t>
      </w:r>
    </w:p>
    <w:tbl>
      <w:tblPr>
        <w:tblW w:w="5585" w:type="dxa"/>
        <w:jc w:val="left"/>
        <w:tblInd w:w="0" w:type="dxa"/>
        <w:tblLayout w:type="fixed"/>
        <w:tblCellMar>
          <w:top w:w="0" w:type="dxa"/>
          <w:left w:w="0" w:type="dxa"/>
          <w:bottom w:w="0" w:type="dxa"/>
          <w:right w:w="0" w:type="dxa"/>
        </w:tblCellMar>
      </w:tblPr>
      <w:tblGrid>
        <w:gridCol w:w="1520"/>
        <w:gridCol w:w="140"/>
        <w:gridCol w:w="140"/>
        <w:gridCol w:w="695"/>
        <w:gridCol w:w="140"/>
        <w:gridCol w:w="140"/>
        <w:gridCol w:w="710"/>
        <w:gridCol w:w="140"/>
        <w:gridCol w:w="140"/>
        <w:gridCol w:w="815"/>
        <w:gridCol w:w="140"/>
        <w:gridCol w:w="140"/>
        <w:gridCol w:w="725"/>
      </w:tblGrid>
      <w:tr>
        <w:trPr/>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ESG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AeroFlexx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(Loss) Profit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$(8,221)</w:t>
            </w:r>
          </w:p>
        </w:tc>
      </w:tr>
      <w:tr>
        <w:trPr/>
        <w:tc>
          <w:tcPr>
            <w:tcW w:w="1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Exchange-traded investments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 in debt securities - AFS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amortized cost, gross unrealized gains and losses, and fair value of AFS debt securities as of December 31, 2024 is represented in the table below: </w:t>
      </w:r>
    </w:p>
    <w:tbl>
      <w:tblPr>
        <w:tblW w:w="6980" w:type="dxa"/>
        <w:jc w:val="left"/>
        <w:tblInd w:w="0" w:type="dxa"/>
        <w:tblLayout w:type="fixed"/>
        <w:tblCellMar>
          <w:top w:w="0" w:type="dxa"/>
          <w:left w:w="0" w:type="dxa"/>
          <w:bottom w:w="0" w:type="dxa"/>
          <w:right w:w="0" w:type="dxa"/>
        </w:tblCellMar>
      </w:tblPr>
      <w:tblGrid>
        <w:gridCol w:w="2915"/>
        <w:gridCol w:w="140"/>
        <w:gridCol w:w="140"/>
        <w:gridCol w:w="1115"/>
        <w:gridCol w:w="140"/>
        <w:gridCol w:w="140"/>
        <w:gridCol w:w="1280"/>
        <w:gridCol w:w="140"/>
        <w:gridCol w:w="140"/>
        <w:gridCol w:w="8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unrealized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57508x2_424b3_202-finnotes01_pg10"/>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December 31, 2024, there was no allowance for credit loss related to the available for sale securities portfolio. Accrued interest receivable on available for sale debt securities totaled $216 at December 31,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amortized cost and fair value of debt securities, by contractual maturity, as of December 31, 2024 is shown below. Expected maturities can differ from contractual maturities. </w:t>
      </w:r>
    </w:p>
    <w:tbl>
      <w:tblPr>
        <w:tblW w:w="5525" w:type="dxa"/>
        <w:jc w:val="left"/>
        <w:tblInd w:w="0" w:type="dxa"/>
        <w:tblLayout w:type="fixed"/>
        <w:tblCellMar>
          <w:top w:w="0" w:type="dxa"/>
          <w:left w:w="0" w:type="dxa"/>
          <w:bottom w:w="0" w:type="dxa"/>
          <w:right w:w="0" w:type="dxa"/>
        </w:tblCellMar>
      </w:tblPr>
      <w:tblGrid>
        <w:gridCol w:w="3020"/>
        <w:gridCol w:w="140"/>
        <w:gridCol w:w="140"/>
        <w:gridCol w:w="1115"/>
        <w:gridCol w:w="140"/>
        <w:gridCol w:w="140"/>
        <w:gridCol w:w="830"/>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within one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five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11,187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five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color w:val="000000"/>
                <w:bdr w:val="single" w:sz="8" w:space="2" w:color="000000"/>
              </w:rPr>
            </w:pPr>
            <w:r>
              <w:rPr>
                <w:color w:val="000000"/>
                <w:bdr w:val="single" w:sz="8" w:space="2" w:color="000000"/>
              </w:rPr>
              <w:t xml:space="preserve">—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$11,187</w:t>
            </w:r>
          </w:p>
        </w:tc>
      </w:tr>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Fair Value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Hierarchy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fair value hierarchy for assets and liabilities measured at fair value on a recurring basis as of December 31, 2024 (Successor) and December 31, 2023 (Predecessor): </w:t>
      </w:r>
    </w:p>
    <w:tbl>
      <w:tblPr>
        <w:tblW w:w="8330" w:type="dxa"/>
        <w:jc w:val="left"/>
        <w:tblInd w:w="0" w:type="dxa"/>
        <w:tblLayout w:type="fixed"/>
        <w:tblCellMar>
          <w:top w:w="0" w:type="dxa"/>
          <w:left w:w="0" w:type="dxa"/>
          <w:bottom w:w="0" w:type="dxa"/>
          <w:right w:w="0" w:type="dxa"/>
        </w:tblCellMar>
      </w:tblPr>
      <w:tblGrid>
        <w:gridCol w:w="2840"/>
        <w:gridCol w:w="140"/>
        <w:gridCol w:w="140"/>
        <w:gridCol w:w="1175"/>
        <w:gridCol w:w="140"/>
        <w:gridCol w:w="140"/>
        <w:gridCol w:w="1385"/>
        <w:gridCol w:w="140"/>
        <w:gridCol w:w="140"/>
        <w:gridCol w:w="1055"/>
        <w:gridCol w:w="140"/>
        <w:gridCol w:w="140"/>
        <w:gridCol w:w="7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11,187 </w:t>
            </w:r>
          </w:p>
        </w:tc>
      </w:tr>
      <w:tr>
        <w:trPr/>
        <w:tc>
          <w:tcPr>
            <w:tcW w:w="28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$14,752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8615" w:type="dxa"/>
        <w:jc w:val="left"/>
        <w:tblInd w:w="0" w:type="dxa"/>
        <w:tblLayout w:type="fixed"/>
        <w:tblCellMar>
          <w:top w:w="0" w:type="dxa"/>
          <w:left w:w="0" w:type="dxa"/>
          <w:bottom w:w="0" w:type="dxa"/>
          <w:right w:w="0" w:type="dxa"/>
        </w:tblCellMar>
      </w:tblPr>
      <w:tblGrid>
        <w:gridCol w:w="3230"/>
        <w:gridCol w:w="140"/>
        <w:gridCol w:w="140"/>
        <w:gridCol w:w="1175"/>
        <w:gridCol w:w="140"/>
        <w:gridCol w:w="140"/>
        <w:gridCol w:w="1385"/>
        <w:gridCol w:w="140"/>
        <w:gridCol w:w="140"/>
        <w:gridCol w:w="1055"/>
        <w:gridCol w:w="140"/>
        <w:gridCol w:w="140"/>
        <w:gridCol w:w="65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32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Exchange-traded investments at FVTNI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$9,685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49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$9,685 </w:t>
            </w:r>
          </w:p>
        </w:tc>
      </w:tr>
      <w:tr>
        <w:trPr/>
        <w:tc>
          <w:tcPr>
            <w:tcW w:w="32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49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$1,994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$1,994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4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w:t>
            </w:r>
          </w:p>
        </w:tc>
      </w:tr>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Gains and losses for such assets and liabilities categorized within the Level 3 table set forth may include changes in fair value that are attributable to both observable inputs (Levels 1 and 2) and unobservable inputs (Level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57508x2_424b3_202-finnotes01_pg1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Changes in the estimated fair value of Level 3 financial assets and liabilities that are measured on a recurring basis for the Successor period from October 2, 2024 through December 31, 2024, the Predecessor period from January 1, 2024 through October 1, 2024 and the Predecessor year ended December 31, 2023, respectively, are as follows: </w:t>
      </w:r>
    </w:p>
    <w:tbl>
      <w:tblPr>
        <w:tblW w:w="9890" w:type="dxa"/>
        <w:jc w:val="left"/>
        <w:tblInd w:w="0" w:type="dxa"/>
        <w:tblLayout w:type="fixed"/>
        <w:tblCellMar>
          <w:top w:w="0" w:type="dxa"/>
          <w:left w:w="0" w:type="dxa"/>
          <w:bottom w:w="0" w:type="dxa"/>
          <w:right w:w="0" w:type="dxa"/>
        </w:tblCellMar>
      </w:tblPr>
      <w:tblGrid>
        <w:gridCol w:w="4010"/>
        <w:gridCol w:w="140"/>
        <w:gridCol w:w="140"/>
        <w:gridCol w:w="710"/>
        <w:gridCol w:w="140"/>
        <w:gridCol w:w="140"/>
        <w:gridCol w:w="830"/>
        <w:gridCol w:w="140"/>
        <w:gridCol w:w="140"/>
        <w:gridCol w:w="1145"/>
        <w:gridCol w:w="140"/>
        <w:gridCol w:w="140"/>
        <w:gridCol w:w="695"/>
        <w:gridCol w:w="140"/>
        <w:gridCol w:w="140"/>
        <w:gridCol w:w="1100"/>
      </w:tblGrid>
      <w:tr>
        <w:trPr/>
        <w:tc>
          <w:tcPr>
            <w:tcW w:w="4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4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debt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WTI 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Liability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2023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rPr>
            </w:pPr>
            <w:r>
              <w:rPr>
                <w:color w:val="00000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(2,472)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rPr>
            </w:pPr>
            <w:r>
              <w:rPr>
                <w:color w:val="00000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October 1,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15,690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1,540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$17,230</w:t>
            </w:r>
          </w:p>
        </w:tc>
      </w:tr>
      <w:tr>
        <w:trPr/>
        <w:tc>
          <w:tcPr>
            <w:tcW w:w="4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in or out of levels during the Successor period from October 2, 2024 through December 31, 2024, the Predecessor period from January 1, 2024 through October 1, 2024, or for the Predecessor year ended December 31, 2023.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57508x2_424b3_202-finnotes01_pg12"/>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Derivative Liabilities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Embedded derivative liabilities contained within the 2025 Notes (as defined and further described in Note 5. Borrowings) are stated at fair value. Fair value is determined utilizing discounted cash flows, using unobservable market data inputs, and an option pricing model based on a probability-weighted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 </w:t>
      </w:r>
    </w:p>
    <w:tbl>
      <w:tblPr>
        <w:tblW w:w="7235" w:type="dxa"/>
        <w:jc w:val="left"/>
        <w:tblInd w:w="0" w:type="dxa"/>
        <w:tblLayout w:type="fixed"/>
        <w:tblCellMar>
          <w:top w:w="0" w:type="dxa"/>
          <w:left w:w="0" w:type="dxa"/>
          <w:bottom w:w="0" w:type="dxa"/>
          <w:right w:w="0" w:type="dxa"/>
        </w:tblCellMar>
      </w:tblPr>
      <w:tblGrid>
        <w:gridCol w:w="4415"/>
        <w:gridCol w:w="140"/>
        <w:gridCol w:w="140"/>
        <w:gridCol w:w="785"/>
        <w:gridCol w:w="140"/>
        <w:gridCol w:w="140"/>
        <w:gridCol w:w="1475"/>
      </w:tblGrid>
      <w:tr>
        <w:trPr/>
        <w:tc>
          <w:tcPr>
            <w:tcW w:w="4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4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Embedded derivative within 2025 Note issued August 18, 2022</w:t>
            </w:r>
          </w:p>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with a principal balance of $4,000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4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- 36% </w:t>
            </w:r>
          </w:p>
        </w:tc>
      </w:tr>
      <w:tr>
        <w:trPr/>
        <w:tc>
          <w:tcPr>
            <w:tcW w:w="44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Probability of Expected Outcomes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44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w:t>
            </w:r>
          </w:p>
        </w:tc>
      </w:tr>
      <w:tr>
        <w:trPr/>
        <w:tc>
          <w:tcPr>
            <w:tcW w:w="44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control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44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w:t>
            </w:r>
          </w:p>
        </w:tc>
      </w:tr>
      <w:tr>
        <w:trPr/>
        <w:tc>
          <w:tcPr>
            <w:tcW w:w="4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tbl>
      <w:tblPr>
        <w:tblW w:w="7370" w:type="dxa"/>
        <w:jc w:val="left"/>
        <w:tblInd w:w="0" w:type="dxa"/>
        <w:tblLayout w:type="fixed"/>
        <w:tblCellMar>
          <w:top w:w="0" w:type="dxa"/>
          <w:left w:w="0" w:type="dxa"/>
          <w:bottom w:w="0" w:type="dxa"/>
          <w:right w:w="0" w:type="dxa"/>
        </w:tblCellMar>
      </w:tblPr>
      <w:tblGrid>
        <w:gridCol w:w="4910"/>
        <w:gridCol w:w="140"/>
        <w:gridCol w:w="140"/>
        <w:gridCol w:w="920"/>
        <w:gridCol w:w="140"/>
        <w:gridCol w:w="140"/>
        <w:gridCol w:w="980"/>
      </w:tblGrid>
      <w:tr>
        <w:trPr/>
        <w:tc>
          <w:tcPr>
            <w:tcW w:w="4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Embedded derivative within 2025 Notes issued June 7 &amp; July 3, 2023</w:t>
            </w:r>
          </w:p>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with an aggregate principal balance of $2,000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r>
      <w:tr>
        <w:trPr/>
        <w:tc>
          <w:tcPr>
            <w:tcW w:w="49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71% - 87%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71% - 88% </w:t>
            </w:r>
          </w:p>
        </w:tc>
      </w:tr>
      <w:tr>
        <w:trPr/>
        <w:tc>
          <w:tcPr>
            <w:tcW w:w="49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Probability of Expected Outcomes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4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w:t>
            </w:r>
          </w:p>
        </w:tc>
      </w:tr>
      <w:tr>
        <w:trPr/>
        <w:tc>
          <w:tcPr>
            <w:tcW w:w="4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control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4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w:t>
            </w:r>
          </w:p>
        </w:tc>
      </w:tr>
      <w:tr>
        <w:trPr/>
        <w:tc>
          <w:tcPr>
            <w:tcW w:w="4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increases or decreases to any of these inputs would result in a significantly higher or lower liability.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 in debt securities - AFS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investment in debt securities is stated at fair value as described in Note 3. Investments.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 </w:t>
      </w:r>
    </w:p>
    <w:tbl>
      <w:tblPr>
        <w:tblW w:w="6020" w:type="dxa"/>
        <w:jc w:val="left"/>
        <w:tblInd w:w="0" w:type="dxa"/>
        <w:tblLayout w:type="fixed"/>
        <w:tblCellMar>
          <w:top w:w="0" w:type="dxa"/>
          <w:left w:w="0" w:type="dxa"/>
          <w:bottom w:w="0" w:type="dxa"/>
          <w:right w:w="0" w:type="dxa"/>
        </w:tblCellMar>
      </w:tblPr>
      <w:tblGrid>
        <w:gridCol w:w="2780"/>
        <w:gridCol w:w="140"/>
        <w:gridCol w:w="140"/>
        <w:gridCol w:w="1205"/>
        <w:gridCol w:w="140"/>
        <w:gridCol w:w="140"/>
        <w:gridCol w:w="1475"/>
      </w:tblGrid>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2,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120.00% </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Time to liquidity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 years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 for lack of marketability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31.00% </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cost of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45.00%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4.23%</w:t>
            </w:r>
          </w:p>
        </w:tc>
      </w:tr>
      <w:tr>
        <w:trPr/>
        <w:tc>
          <w:tcPr>
            <w:tcW w:w="2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Earnout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57508x2_424b3_202-finnotes01_pg13"/>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revenue forecasts are earned on average at the mid-period of the forecast period. The value of the Earnout Shares is calculated as the average present value over all future modeled payoffs.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 </w:t>
      </w:r>
    </w:p>
    <w:tbl>
      <w:tblPr>
        <w:tblW w:w="3770" w:type="dxa"/>
        <w:jc w:val="left"/>
        <w:tblInd w:w="0" w:type="dxa"/>
        <w:tblLayout w:type="fixed"/>
        <w:tblCellMar>
          <w:top w:w="0" w:type="dxa"/>
          <w:left w:w="0" w:type="dxa"/>
          <w:bottom w:w="0" w:type="dxa"/>
          <w:right w:w="0" w:type="dxa"/>
        </w:tblCellMar>
      </w:tblPr>
      <w:tblGrid>
        <w:gridCol w:w="1295"/>
        <w:gridCol w:w="140"/>
        <w:gridCol w:w="140"/>
        <w:gridCol w:w="845"/>
        <w:gridCol w:w="140"/>
        <w:gridCol w:w="140"/>
        <w:gridCol w:w="107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6.8 years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56.00%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4.42%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Milestone One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unobservable inputs used in estimating the fair value of the Earnout Shares based on revenue for Accelsius (Milestone One): </w:t>
      </w:r>
    </w:p>
    <w:tbl>
      <w:tblPr>
        <w:tblW w:w="3005" w:type="dxa"/>
        <w:jc w:val="left"/>
        <w:tblInd w:w="0" w:type="dxa"/>
        <w:tblLayout w:type="fixed"/>
        <w:tblCellMar>
          <w:top w:w="0" w:type="dxa"/>
          <w:left w:w="0" w:type="dxa"/>
          <w:bottom w:w="0" w:type="dxa"/>
          <w:right w:w="0" w:type="dxa"/>
        </w:tblCellMar>
      </w:tblPr>
      <w:tblGrid>
        <w:gridCol w:w="1865"/>
        <w:gridCol w:w="140"/>
        <w:gridCol w:w="140"/>
        <w:gridCol w:w="86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44.00%</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Milestone Two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Milestone Two is contingent on the Company’s formation of a new subsidiary, in partnership with an MNC, as determined using the Innventure LLC’s “DownSelect” process, within the Vesting Period. The probability of achievement based on the Company’s analysis was 98% on October 2, 2024.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Milestone Three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unobservable inputs used in estimating the fair value of the Earnout Shares based on revenue for AeroFlexx (Milestone Three): </w:t>
      </w:r>
    </w:p>
    <w:tbl>
      <w:tblPr>
        <w:tblW w:w="4340" w:type="dxa"/>
        <w:jc w:val="left"/>
        <w:tblInd w:w="0" w:type="dxa"/>
        <w:tblLayout w:type="fixed"/>
        <w:tblCellMar>
          <w:top w:w="0" w:type="dxa"/>
          <w:left w:w="0" w:type="dxa"/>
          <w:bottom w:w="0" w:type="dxa"/>
          <w:right w:w="0" w:type="dxa"/>
        </w:tblCellMar>
      </w:tblPr>
      <w:tblGrid>
        <w:gridCol w:w="1865"/>
        <w:gridCol w:w="140"/>
        <w:gridCol w:w="140"/>
        <w:gridCol w:w="845"/>
        <w:gridCol w:w="140"/>
        <w:gridCol w:w="140"/>
        <w:gridCol w:w="107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30.60%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165.00%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176.00%</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further information on the Earnout Shares, refer to Note 10. Earnout Shares.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issued freestanding warrants to the WTI Lenders in connection with the WTI Facility (as defined and further described in Note 5. Borrowings and Note 11. Warrants). The fair value measurement of WTI Warrants is based on unobservable inputs (Level 3 fair value measurement).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57508x2_424b3_202-finnotes01_pg14"/>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 Lenders may exchange the WTI Warrants for a total cash payment of $15,000 after the four-year anniversary of issuance. The risk-free interest rate was determined by reference to the U.S. Treasury yield curve. </w:t>
      </w:r>
    </w:p>
    <w:tbl>
      <w:tblPr>
        <w:tblW w:w="4355" w:type="dxa"/>
        <w:jc w:val="left"/>
        <w:tblInd w:w="0" w:type="dxa"/>
        <w:tblLayout w:type="fixed"/>
        <w:tblCellMar>
          <w:top w:w="0" w:type="dxa"/>
          <w:left w:w="0" w:type="dxa"/>
          <w:bottom w:w="0" w:type="dxa"/>
          <w:right w:w="0" w:type="dxa"/>
        </w:tblCellMar>
      </w:tblPr>
      <w:tblGrid>
        <w:gridCol w:w="1790"/>
        <w:gridCol w:w="140"/>
        <w:gridCol w:w="140"/>
        <w:gridCol w:w="935"/>
        <w:gridCol w:w="140"/>
        <w:gridCol w:w="140"/>
        <w:gridCol w:w="1070"/>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56.00%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18.80%</w:t>
            </w:r>
          </w:p>
        </w:tc>
      </w:tr>
      <w:tr>
        <w:trPr/>
        <w:tc>
          <w:tcPr>
            <w:tcW w:w="1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Borrowings </w:t>
      </w:r>
    </w:p>
    <w:tbl>
      <w:tblPr>
        <w:tblW w:w="10205" w:type="dxa"/>
        <w:jc w:val="left"/>
        <w:tblInd w:w="0" w:type="dxa"/>
        <w:tblLayout w:type="fixed"/>
        <w:tblCellMar>
          <w:top w:w="0" w:type="dxa"/>
          <w:left w:w="0" w:type="dxa"/>
          <w:bottom w:w="0" w:type="dxa"/>
          <w:right w:w="0" w:type="dxa"/>
        </w:tblCellMar>
      </w:tblPr>
      <w:tblGrid>
        <w:gridCol w:w="3340"/>
        <w:gridCol w:w="140"/>
        <w:gridCol w:w="140"/>
        <w:gridCol w:w="947"/>
        <w:gridCol w:w="140"/>
        <w:gridCol w:w="140"/>
        <w:gridCol w:w="1309"/>
        <w:gridCol w:w="140"/>
        <w:gridCol w:w="140"/>
        <w:gridCol w:w="941"/>
        <w:gridCol w:w="140"/>
        <w:gridCol w:w="140"/>
        <w:gridCol w:w="1309"/>
        <w:gridCol w:w="140"/>
        <w:gridCol w:w="140"/>
        <w:gridCol w:w="959"/>
      </w:tblGrid>
      <w:tr>
        <w:trPr/>
        <w:tc>
          <w:tcPr>
            <w:tcW w:w="3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8" w:type="dxa"/>
            <w:gridSpan w:val="4"/>
            <w:tcBorders/>
            <w:vAlign w:val="center"/>
          </w:tcPr>
          <w:p>
            <w:pPr>
              <w:pStyle w:val="TableContents"/>
              <w:bidi w:val="0"/>
              <w:spacing w:before="0" w:after="0"/>
              <w:jc w:val="left"/>
              <w:rPr/>
            </w:pPr>
            <w:r>
              <w:rPr/>
              <w:t> </w:t>
            </w:r>
          </w:p>
        </w:tc>
      </w:tr>
      <w:tr>
        <w:trPr/>
        <w:tc>
          <w:tcPr>
            <w:tcW w:w="3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Rates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1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 - 15%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 - 15% </w:t>
            </w:r>
          </w:p>
        </w:tc>
      </w:tr>
      <w:tr>
        <w:trPr/>
        <w:tc>
          <w:tcPr>
            <w:tcW w:w="3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2024 - 2025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 - 15.99%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jc w:val="center"/>
              <w:rPr>
                <w:color w:val="000000"/>
              </w:rPr>
            </w:pPr>
            <w:r>
              <w:rPr>
                <w:color w:val="000000"/>
              </w:rPr>
              <w:t>—</w:t>
            </w:r>
            <w:r>
              <w:rPr>
                <w:rFonts w:ascii="Times New Roman;Times;serif" w:hAnsi="Times New Roman;Times;serif"/>
                <w:color w:val="000000"/>
                <w:sz w:val="20"/>
              </w:rPr>
              <w:t xml:space="preserve">%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6,634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rPr>
              <w:t>9,545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unamortized debt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(2,133)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(912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Long-term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notes payable, excluding debt issuance costs, and notes payable to related parties mature as follows: </w:t>
      </w:r>
    </w:p>
    <w:tbl>
      <w:tblPr>
        <w:tblW w:w="3020" w:type="dxa"/>
        <w:jc w:val="left"/>
        <w:tblInd w:w="0" w:type="dxa"/>
        <w:tblLayout w:type="fixed"/>
        <w:tblCellMar>
          <w:top w:w="0" w:type="dxa"/>
          <w:left w:w="0" w:type="dxa"/>
          <w:bottom w:w="0" w:type="dxa"/>
          <w:right w:w="0" w:type="dxa"/>
        </w:tblCellMar>
      </w:tblPr>
      <w:tblGrid>
        <w:gridCol w:w="1985"/>
        <w:gridCol w:w="140"/>
        <w:gridCol w:w="140"/>
        <w:gridCol w:w="75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$14,625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7,295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8,244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4,561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$34,725</w:t>
            </w:r>
          </w:p>
        </w:tc>
      </w:tr>
      <w:tr>
        <w:trPr/>
        <w:tc>
          <w:tcPr>
            <w:tcW w:w="1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57508x2_424b3_202-finnotes01_pg1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1 Promissory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Noteholders converted their Series 1 promissory notes into Class B Preferred Units as follows: </w:t>
      </w:r>
    </w:p>
    <w:tbl>
      <w:tblPr>
        <w:tblW w:w="6425" w:type="dxa"/>
        <w:jc w:val="left"/>
        <w:tblInd w:w="0" w:type="dxa"/>
        <w:tblLayout w:type="fixed"/>
        <w:tblCellMar>
          <w:top w:w="0" w:type="dxa"/>
          <w:left w:w="0" w:type="dxa"/>
          <w:bottom w:w="0" w:type="dxa"/>
          <w:right w:w="0" w:type="dxa"/>
        </w:tblCellMar>
      </w:tblPr>
      <w:tblGrid>
        <w:gridCol w:w="1430"/>
        <w:gridCol w:w="140"/>
        <w:gridCol w:w="140"/>
        <w:gridCol w:w="1415"/>
        <w:gridCol w:w="140"/>
        <w:gridCol w:w="140"/>
        <w:gridCol w:w="1265"/>
        <w:gridCol w:w="140"/>
        <w:gridCol w:w="140"/>
        <w:gridCol w:w="1475"/>
      </w:tblGrid>
      <w:tr>
        <w:trPr/>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1,310 </w:t>
            </w:r>
          </w:p>
        </w:tc>
      </w:tr>
      <w:tr>
        <w:trPr/>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40,829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135,133</w:t>
            </w:r>
          </w:p>
        </w:tc>
      </w:tr>
      <w:tr>
        <w:trPr/>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Extensions on Series 1 promissory notes were as follow: </w:t>
      </w:r>
    </w:p>
    <w:tbl>
      <w:tblPr>
        <w:tblW w:w="8960" w:type="dxa"/>
        <w:jc w:val="left"/>
        <w:tblInd w:w="0" w:type="dxa"/>
        <w:tblLayout w:type="fixed"/>
        <w:tblCellMar>
          <w:top w:w="0" w:type="dxa"/>
          <w:left w:w="0" w:type="dxa"/>
          <w:bottom w:w="0" w:type="dxa"/>
          <w:right w:w="0" w:type="dxa"/>
        </w:tblCellMar>
      </w:tblPr>
      <w:tblGrid>
        <w:gridCol w:w="4265"/>
        <w:gridCol w:w="140"/>
        <w:gridCol w:w="140"/>
        <w:gridCol w:w="965"/>
        <w:gridCol w:w="140"/>
        <w:gridCol w:w="140"/>
        <w:gridCol w:w="1415"/>
        <w:gridCol w:w="140"/>
        <w:gridCol w:w="140"/>
        <w:gridCol w:w="1475"/>
      </w:tblGrid>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 of 1st extension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$829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 of 2nd extension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$603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$890</w:t>
            </w:r>
          </w:p>
        </w:tc>
      </w:tr>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Series 1 promissory notes was as follows: </w:t>
      </w:r>
    </w:p>
    <w:tbl>
      <w:tblPr>
        <w:tblW w:w="9305" w:type="dxa"/>
        <w:jc w:val="left"/>
        <w:tblInd w:w="0" w:type="dxa"/>
        <w:tblLayout w:type="fixed"/>
        <w:tblCellMar>
          <w:top w:w="0" w:type="dxa"/>
          <w:left w:w="0" w:type="dxa"/>
          <w:bottom w:w="0" w:type="dxa"/>
          <w:right w:w="0" w:type="dxa"/>
        </w:tblCellMar>
      </w:tblPr>
      <w:tblGrid>
        <w:gridCol w:w="4310"/>
        <w:gridCol w:w="140"/>
        <w:gridCol w:w="140"/>
        <w:gridCol w:w="1415"/>
        <w:gridCol w:w="140"/>
        <w:gridCol w:w="140"/>
        <w:gridCol w:w="1265"/>
        <w:gridCol w:w="140"/>
        <w:gridCol w:w="140"/>
        <w:gridCol w:w="147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$329</w:t>
            </w:r>
          </w:p>
        </w:tc>
      </w:tr>
      <w:tr>
        <w:trPr/>
        <w:tc>
          <w:tcPr>
            <w:tcW w:w="4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57508x2_424b3_202-finnotes01_pg16"/>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party contained interest at the rate of 11.50% per annum. The principal amounts, loan fees and accrued interest were repayable at the earlier of October 15, 2024 and the first business day following the date of consummation of the 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the related party notes was as follows: </w:t>
      </w:r>
    </w:p>
    <w:tbl>
      <w:tblPr>
        <w:tblW w:w="6815"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265"/>
        <w:gridCol w:w="140"/>
        <w:gridCol w:w="140"/>
        <w:gridCol w:w="147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Promissory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 in Note 4. Fair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 statements of operations and comprehensive income (loss) in the Predecessor period from January 1, 2024 through October 1, 2024.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the 2025 Notes was as follows: </w:t>
      </w:r>
    </w:p>
    <w:tbl>
      <w:tblPr>
        <w:tblW w:w="8435" w:type="dxa"/>
        <w:jc w:val="left"/>
        <w:tblInd w:w="0" w:type="dxa"/>
        <w:tblLayout w:type="fixed"/>
        <w:tblCellMar>
          <w:top w:w="0" w:type="dxa"/>
          <w:left w:w="0" w:type="dxa"/>
          <w:bottom w:w="0" w:type="dxa"/>
          <w:right w:w="0" w:type="dxa"/>
        </w:tblCellMar>
      </w:tblPr>
      <w:tblGrid>
        <w:gridCol w:w="3440"/>
        <w:gridCol w:w="140"/>
        <w:gridCol w:w="140"/>
        <w:gridCol w:w="1415"/>
        <w:gridCol w:w="140"/>
        <w:gridCol w:w="140"/>
        <w:gridCol w:w="1265"/>
        <w:gridCol w:w="140"/>
        <w:gridCol w:w="140"/>
        <w:gridCol w:w="147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 </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57508x2_424b3_202-finnotes01_pg17"/>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tbl>
      <w:tblPr>
        <w:tblW w:w="9620" w:type="dxa"/>
        <w:jc w:val="left"/>
        <w:tblInd w:w="0" w:type="dxa"/>
        <w:tblLayout w:type="fixed"/>
        <w:tblCellMar>
          <w:top w:w="0" w:type="dxa"/>
          <w:left w:w="0" w:type="dxa"/>
          <w:bottom w:w="0" w:type="dxa"/>
          <w:right w:w="0" w:type="dxa"/>
        </w:tblCellMar>
      </w:tblPr>
      <w:tblGrid>
        <w:gridCol w:w="4625"/>
        <w:gridCol w:w="140"/>
        <w:gridCol w:w="140"/>
        <w:gridCol w:w="1415"/>
        <w:gridCol w:w="140"/>
        <w:gridCol w:w="140"/>
        <w:gridCol w:w="1265"/>
        <w:gridCol w:w="140"/>
        <w:gridCol w:w="140"/>
        <w:gridCol w:w="1475"/>
      </w:tblGrid>
      <w:tr>
        <w:trPr/>
        <w:tc>
          <w:tcPr>
            <w:tcW w:w="4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implied discounts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456 </w:t>
            </w:r>
          </w:p>
        </w:tc>
      </w:tr>
      <w:tr>
        <w:trPr/>
        <w:tc>
          <w:tcPr>
            <w:tcW w:w="46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$1,039</w:t>
            </w:r>
          </w:p>
        </w:tc>
      </w:tr>
      <w:tr>
        <w:trPr/>
        <w:tc>
          <w:tcPr>
            <w:tcW w:w="4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accrued interest of $— and $634 in convertible promissory notes as of December 31, 2024 and 2023, respectively. As of December 31, 2024 and 2023, the unamortized discount was $— and $2,133,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WTI Facility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Successor period ended December 31, 2024 was 13.50%.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 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 loan commitment fee asset on the consolidated statements of operations and comprehensive income (loss) as the commitment fee asset could no longer benefit the Company in receiving debt financing capital.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57508x2_424b3_202-finnotes01_pg18"/>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this facility was as follows: </w:t>
      </w:r>
    </w:p>
    <w:tbl>
      <w:tblPr>
        <w:tblW w:w="9305" w:type="dxa"/>
        <w:jc w:val="left"/>
        <w:tblInd w:w="0" w:type="dxa"/>
        <w:tblLayout w:type="fixed"/>
        <w:tblCellMar>
          <w:top w:w="0" w:type="dxa"/>
          <w:left w:w="0" w:type="dxa"/>
          <w:bottom w:w="0" w:type="dxa"/>
          <w:right w:w="0" w:type="dxa"/>
        </w:tblCellMar>
      </w:tblPr>
      <w:tblGrid>
        <w:gridCol w:w="4310"/>
        <w:gridCol w:w="140"/>
        <w:gridCol w:w="140"/>
        <w:gridCol w:w="1415"/>
        <w:gridCol w:w="140"/>
        <w:gridCol w:w="140"/>
        <w:gridCol w:w="1265"/>
        <w:gridCol w:w="140"/>
        <w:gridCol w:w="140"/>
        <w:gridCol w:w="147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$352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40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Inventories </w:t>
      </w:r>
    </w:p>
    <w:tbl>
      <w:tblPr>
        <w:tblW w:w="4985" w:type="dxa"/>
        <w:jc w:val="left"/>
        <w:tblInd w:w="0" w:type="dxa"/>
        <w:tblLayout w:type="fixed"/>
        <w:tblCellMar>
          <w:top w:w="0" w:type="dxa"/>
          <w:left w:w="0" w:type="dxa"/>
          <w:bottom w:w="0" w:type="dxa"/>
          <w:right w:w="0" w:type="dxa"/>
        </w:tblCellMar>
      </w:tblPr>
      <w:tblGrid>
        <w:gridCol w:w="1535"/>
        <w:gridCol w:w="140"/>
        <w:gridCol w:w="140"/>
        <w:gridCol w:w="1415"/>
        <w:gridCol w:w="140"/>
        <w:gridCol w:w="140"/>
        <w:gridCol w:w="147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$2,974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Work in process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Finished goods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inventories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$5,178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Property, Plant and Equipment </w:t>
      </w:r>
    </w:p>
    <w:tbl>
      <w:tblPr>
        <w:tblW w:w="6755" w:type="dxa"/>
        <w:jc w:val="left"/>
        <w:tblInd w:w="0" w:type="dxa"/>
        <w:tblLayout w:type="fixed"/>
        <w:tblCellMar>
          <w:top w:w="0" w:type="dxa"/>
          <w:left w:w="0" w:type="dxa"/>
          <w:bottom w:w="0" w:type="dxa"/>
          <w:right w:w="0" w:type="dxa"/>
        </w:tblCellMar>
      </w:tblPr>
      <w:tblGrid>
        <w:gridCol w:w="3305"/>
        <w:gridCol w:w="140"/>
        <w:gridCol w:w="140"/>
        <w:gridCol w:w="1415"/>
        <w:gridCol w:w="140"/>
        <w:gridCol w:w="140"/>
        <w:gridCol w:w="1475"/>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Leasehold improvements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664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Computers &amp; office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Plant and Equipment, Gross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rPr>
            </w:pPr>
            <w:r>
              <w:rPr>
                <w:rFonts w:ascii="Times New Roman;Times;serif" w:hAnsi="Times New Roman;Times;serif"/>
                <w:b/>
                <w:color w:val="000000"/>
                <w:sz w:val="20"/>
              </w:rPr>
              <w:t>1,492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645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$637</w:t>
            </w:r>
          </w:p>
        </w:tc>
      </w:tr>
      <w:tr>
        <w:trPr/>
        <w:tc>
          <w:tcPr>
            <w:tcW w:w="3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depreciation expense on property, plant and equipment was as follows: </w:t>
      </w:r>
    </w:p>
    <w:tbl>
      <w:tblPr>
        <w:tblW w:w="6815"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265"/>
        <w:gridCol w:w="140"/>
        <w:gridCol w:w="140"/>
        <w:gridCol w:w="147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Business Combinations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Note 1. Nature of Business, the Closing of the Business Combination occurred on October 2, 2024 pursuant to the terms of the Business Combination Agreement. Upon Closing, 250,000,000 shares of the 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57508x2_424b3_202-finnotes01_pg19"/>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Consideration Transferred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issued and outstanding at the Closing of the Business Combination were: </w:t>
      </w:r>
    </w:p>
    <w:tbl>
      <w:tblPr>
        <w:tblW w:w="9125" w:type="dxa"/>
        <w:jc w:val="left"/>
        <w:tblInd w:w="0" w:type="dxa"/>
        <w:tblLayout w:type="fixed"/>
        <w:tblCellMar>
          <w:top w:w="0" w:type="dxa"/>
          <w:left w:w="0" w:type="dxa"/>
          <w:bottom w:w="0" w:type="dxa"/>
          <w:right w:w="0" w:type="dxa"/>
        </w:tblCellMar>
      </w:tblPr>
      <w:tblGrid>
        <w:gridCol w:w="4610"/>
        <w:gridCol w:w="140"/>
        <w:gridCol w:w="140"/>
        <w:gridCol w:w="1190"/>
        <w:gridCol w:w="140"/>
        <w:gridCol w:w="140"/>
        <w:gridCol w:w="1295"/>
        <w:gridCol w:w="140"/>
        <w:gridCol w:w="140"/>
        <w:gridCol w:w="1190"/>
      </w:tblGrid>
      <w:tr>
        <w:trPr/>
        <w:tc>
          <w:tcPr>
            <w:tcW w:w="4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4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Innventure LLC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Closing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 Preferred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10,875,000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22,754,664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B-1 Preferred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5,609,951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11,738,165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342,608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716,867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C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1,570,125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3,285,303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18,397,684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38,494,999 </w:t>
            </w:r>
          </w:p>
        </w:tc>
      </w:tr>
      <w:tr>
        <w:trPr/>
        <w:tc>
          <w:tcPr>
            <w:tcW w:w="46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Learn CW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Learn CW Public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1,027,674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1,027,674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Learn CW Class B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5,000,000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6,027,674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6,027,674</w:t>
            </w:r>
          </w:p>
        </w:tc>
      </w:tr>
      <w:tr>
        <w:trPr/>
        <w:tc>
          <w:tcPr>
            <w:tcW w:w="46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Learn CW shares subject to clawback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(932,823</w:t>
            </w:r>
            <w:r>
              <w:rPr>
                <w:rFonts w:ascii="Times New Roman;Times;serif" w:hAnsi="Times New Roman;Times;serif"/>
                <w:color w:val="000000"/>
                <w:sz w:val="20"/>
              </w:rPr>
              <w:t>)</w:t>
            </w:r>
          </w:p>
        </w:tc>
      </w:tr>
      <w:tr>
        <w:trPr/>
        <w:tc>
          <w:tcPr>
            <w:tcW w:w="46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Common Stock Issued and Outstanding at 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43,589,850</w:t>
            </w:r>
          </w:p>
        </w:tc>
      </w:tr>
      <w:tr>
        <w:trPr/>
        <w:tc>
          <w:tcPr>
            <w:tcW w:w="4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consideration transferred for the Business Combination is summarized as follows: </w:t>
      </w:r>
    </w:p>
    <w:tbl>
      <w:tblPr>
        <w:tblW w:w="6140" w:type="dxa"/>
        <w:jc w:val="left"/>
        <w:tblInd w:w="0" w:type="dxa"/>
        <w:tblLayout w:type="fixed"/>
        <w:tblCellMar>
          <w:top w:w="0" w:type="dxa"/>
          <w:left w:w="0" w:type="dxa"/>
          <w:bottom w:w="0" w:type="dxa"/>
          <w:right w:w="0" w:type="dxa"/>
        </w:tblCellMar>
      </w:tblPr>
      <w:tblGrid>
        <w:gridCol w:w="5000"/>
        <w:gridCol w:w="140"/>
        <w:gridCol w:w="140"/>
        <w:gridCol w:w="860"/>
      </w:tblGrid>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r>
        <w:trPr/>
        <w:tc>
          <w:tcPr>
            <w:tcW w:w="50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Holdco Common Stock transferred to Innventure Members(1)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$418,441 </w:t>
            </w:r>
          </w:p>
        </w:tc>
      </w:tr>
      <w:tr>
        <w:trPr/>
        <w:tc>
          <w:tcPr>
            <w:tcW w:w="50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Contingent consideration(2)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53,980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472,421</w:t>
            </w:r>
            <w:r>
              <w:rPr>
                <w:rFonts w:ascii="Times New Roman;Times;serif" w:hAnsi="Times New Roman;Times;serif"/>
                <w:b/>
                <w:color w:val="000000"/>
                <w:sz w:val="20"/>
              </w:rPr>
              <w:t xml:space="preserve"> </w:t>
            </w:r>
          </w:p>
        </w:tc>
      </w:tr>
      <w:tr>
        <w:trPr/>
        <w:tc>
          <w:tcPr>
            <w:tcW w:w="50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343,030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business enterprise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$815,451</w:t>
            </w:r>
          </w:p>
        </w:tc>
      </w:tr>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57508x2_424b3_202-finnotes01_pg20"/>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of the 38,494,999 of aggregate consideration paid in shares (excluding the Company Earnout shares) at a Closing share price of $10.87.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of the Company Earnout Shares issued and contingently issuable to Innventure Members. Refer to Note 10. Earnout Shares for more details.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Investing cash flow activity as a result of the Business Combination is summarized as follows: </w:t>
      </w:r>
    </w:p>
    <w:tbl>
      <w:tblPr>
        <w:tblW w:w="6605" w:type="dxa"/>
        <w:jc w:val="left"/>
        <w:tblInd w:w="0" w:type="dxa"/>
        <w:tblLayout w:type="fixed"/>
        <w:tblCellMar>
          <w:top w:w="0" w:type="dxa"/>
          <w:left w:w="0" w:type="dxa"/>
          <w:bottom w:w="0" w:type="dxa"/>
          <w:right w:w="0" w:type="dxa"/>
        </w:tblCellMar>
      </w:tblPr>
      <w:tblGrid>
        <w:gridCol w:w="5660"/>
        <w:gridCol w:w="140"/>
        <w:gridCol w:w="140"/>
        <w:gridCol w:w="665"/>
      </w:tblGrid>
      <w:tr>
        <w:trPr/>
        <w:tc>
          <w:tcPr>
            <w:tcW w:w="5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5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5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 Cash and cash equivalents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 </w:t>
            </w:r>
          </w:p>
        </w:tc>
      </w:tr>
      <w:tr>
        <w:trPr/>
        <w:tc>
          <w:tcPr>
            <w:tcW w:w="5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cash flow activity as a result of the Business Combination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$16</w:t>
            </w:r>
          </w:p>
        </w:tc>
      </w:tr>
      <w:tr>
        <w:trPr/>
        <w:tc>
          <w:tcPr>
            <w:tcW w:w="56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 </w:t>
      </w:r>
    </w:p>
    <w:tbl>
      <w:tblPr>
        <w:tblW w:w="6110" w:type="dxa"/>
        <w:jc w:val="left"/>
        <w:tblInd w:w="0" w:type="dxa"/>
        <w:tblLayout w:type="fixed"/>
        <w:tblCellMar>
          <w:top w:w="0" w:type="dxa"/>
          <w:left w:w="0" w:type="dxa"/>
          <w:bottom w:w="0" w:type="dxa"/>
          <w:right w:w="0" w:type="dxa"/>
        </w:tblCellMar>
      </w:tblPr>
      <w:tblGrid>
        <w:gridCol w:w="5075"/>
        <w:gridCol w:w="140"/>
        <w:gridCol w:w="140"/>
        <w:gridCol w:w="75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proceeds from Learn CW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11,342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proceeds from Series B Preferred Stock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10,572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Innventure, Inc. cash sources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$21,914</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Learn CW accounts payable and 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9,233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Learn CW promissory note due to Sponsor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4,628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Innventure LLC transaction costs at 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6,206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cash uses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$20,067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proceeds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$1,847</w:t>
            </w:r>
          </w:p>
        </w:tc>
      </w:tr>
      <w:tr>
        <w:trPr/>
        <w:tc>
          <w:tcPr>
            <w:tcW w:w="50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purchase consideration was allocated to the following assets and liabilities: </w:t>
      </w:r>
    </w:p>
    <w:tbl>
      <w:tblPr>
        <w:tblW w:w="4505" w:type="dxa"/>
        <w:jc w:val="left"/>
        <w:tblInd w:w="0" w:type="dxa"/>
        <w:tblLayout w:type="fixed"/>
        <w:tblCellMar>
          <w:top w:w="0" w:type="dxa"/>
          <w:left w:w="0" w:type="dxa"/>
          <w:bottom w:w="0" w:type="dxa"/>
          <w:right w:w="0" w:type="dxa"/>
        </w:tblCellMar>
      </w:tblPr>
      <w:tblGrid>
        <w:gridCol w:w="3365"/>
        <w:gridCol w:w="140"/>
        <w:gridCol w:w="140"/>
        <w:gridCol w:w="860"/>
      </w:tblGrid>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2,824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1,955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18,449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10,172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1,227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187,500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829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$223,299 </w:t>
            </w:r>
          </w:p>
        </w:tc>
      </w:tr>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57508x2_424b3_202-finnotes01_pg21"/>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tbl>
      <w:tblPr>
        <w:tblW w:w="3785" w:type="dxa"/>
        <w:jc w:val="left"/>
        <w:tblInd w:w="0" w:type="dxa"/>
        <w:tblLayout w:type="fixed"/>
        <w:tblCellMar>
          <w:top w:w="0" w:type="dxa"/>
          <w:left w:w="0" w:type="dxa"/>
          <w:bottom w:w="0" w:type="dxa"/>
          <w:right w:w="0" w:type="dxa"/>
        </w:tblCellMar>
      </w:tblPr>
      <w:tblGrid>
        <w:gridCol w:w="2645"/>
        <w:gridCol w:w="140"/>
        <w:gridCol w:w="140"/>
        <w:gridCol w:w="860"/>
      </w:tblGrid>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 assumed: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6,286 </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7,617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1,972 </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13,932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 </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13,600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30,654 </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748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$75,784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identifiable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both"/>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$147,515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$667,936</w:t>
            </w:r>
          </w:p>
        </w:tc>
      </w:tr>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definite-lived intangible assets as of the Closing Date included: </w:t>
      </w:r>
    </w:p>
    <w:tbl>
      <w:tblPr>
        <w:tblW w:w="3005" w:type="dxa"/>
        <w:jc w:val="left"/>
        <w:tblInd w:w="0" w:type="dxa"/>
        <w:tblLayout w:type="fixed"/>
        <w:tblCellMar>
          <w:top w:w="0" w:type="dxa"/>
          <w:left w:w="0" w:type="dxa"/>
          <w:bottom w:w="0" w:type="dxa"/>
          <w:right w:w="0" w:type="dxa"/>
        </w:tblCellMar>
      </w:tblPr>
      <w:tblGrid>
        <w:gridCol w:w="1910"/>
        <w:gridCol w:w="140"/>
        <w:gridCol w:w="140"/>
        <w:gridCol w:w="815"/>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165,100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$187,500</w:t>
            </w:r>
          </w:p>
        </w:tc>
      </w:tr>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Refer to Note 9. Goodwill and Intangible Assets for additional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57508x2_424b3_202-finnotes01_pg22"/>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 Forma Financial Information (Unaudited)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Goodwill and Intangible Assets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intangible assets, net: </w:t>
      </w:r>
    </w:p>
    <w:tbl>
      <w:tblPr>
        <w:tblW w:w="8660" w:type="dxa"/>
        <w:jc w:val="left"/>
        <w:tblInd w:w="0" w:type="dxa"/>
        <w:tblLayout w:type="fixed"/>
        <w:tblCellMar>
          <w:top w:w="0" w:type="dxa"/>
          <w:left w:w="0" w:type="dxa"/>
          <w:bottom w:w="0" w:type="dxa"/>
          <w:right w:w="0" w:type="dxa"/>
        </w:tblCellMar>
      </w:tblPr>
      <w:tblGrid>
        <w:gridCol w:w="2840"/>
        <w:gridCol w:w="140"/>
        <w:gridCol w:w="140"/>
        <w:gridCol w:w="1430"/>
        <w:gridCol w:w="140"/>
        <w:gridCol w:w="140"/>
        <w:gridCol w:w="1205"/>
        <w:gridCol w:w="140"/>
        <w:gridCol w:w="140"/>
        <w:gridCol w:w="1010"/>
        <w:gridCol w:w="140"/>
        <w:gridCol w:w="140"/>
        <w:gridCol w:w="10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gridSpan w:val="7"/>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(Successor)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Intangible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17,800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17,523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4,600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4,218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165,100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160,382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finite-lived 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$(5,377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$182,153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intangible assets on the consolidated balance sheets during the Predecessor periods; therefore, no amortization expense was recognized. Amortization expense was $5,377 for the Successor period from October 2, 2024 through December 31, 2024 and is recorded on the consolidated statements of operations and comprehensive income (loss).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Estimated future amortization expense is as follows: </w:t>
      </w:r>
    </w:p>
    <w:tbl>
      <w:tblPr>
        <w:tblW w:w="2195" w:type="dxa"/>
        <w:jc w:val="left"/>
        <w:tblInd w:w="0" w:type="dxa"/>
        <w:tblLayout w:type="fixed"/>
        <w:tblCellMar>
          <w:top w:w="0" w:type="dxa"/>
          <w:left w:w="0" w:type="dxa"/>
          <w:bottom w:w="0" w:type="dxa"/>
          <w:right w:w="0" w:type="dxa"/>
        </w:tblCellMar>
      </w:tblPr>
      <w:tblGrid>
        <w:gridCol w:w="860"/>
        <w:gridCol w:w="140"/>
        <w:gridCol w:w="140"/>
        <w:gridCol w:w="105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Expense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21,616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21,616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21,234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20,073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18,853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78,761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$182,153</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 Earnout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Closing of the Business Combination, 5,000,000 Company Earnout Shares were contingently issuable to Innventure Members. Additionally, 344,828 earnout shares were issued to the Sponsor who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57508x2_424b3_202-finnotes01_pg23"/>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consideration in the Business Combination. These shares, referred to as “Sponsor Earnout Shares,” are subject to clawback. The Company Earnout Shares and the Sponsor Earnout Shares are collectively referred to as the “Earnout Shares”.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Earnout Shares will vest upon the following milestone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of the Earnout Shares will vest upon Accelsius having entered into binding contracts providing for revenue for the Company (as defined in the Business Combination Agreement) within 7 years following the Closing (the “Vesting Period”) in excess of $15,000 in revenue (“Milestone 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of the Earnout Shares will vest upon the Company’s formation of a new subsidiary, in partnership with an MNC, as determined using the Innventure LLC’s “DownSelect” process, within the Vesting Period (“Milestone Two”);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 of the Earnout Shares will vest upon AeroFlexx having received in excess of $15,000 revenue within the Vesting Period (“Milestone Three”).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Earnout Shares related to Milestone Three are classified as a liability. At Closing, 1,068,966 liability-classified Earnout Shares were fair valued at $11,352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 Warrants </w:t>
      </w:r>
    </w:p>
    <w:tbl>
      <w:tblPr>
        <w:tblW w:w="8615" w:type="dxa"/>
        <w:jc w:val="left"/>
        <w:tblInd w:w="0" w:type="dxa"/>
        <w:tblLayout w:type="fixed"/>
        <w:tblCellMar>
          <w:top w:w="0" w:type="dxa"/>
          <w:left w:w="0" w:type="dxa"/>
          <w:bottom w:w="0" w:type="dxa"/>
          <w:right w:w="0" w:type="dxa"/>
        </w:tblCellMar>
      </w:tblPr>
      <w:tblGrid>
        <w:gridCol w:w="3770"/>
        <w:gridCol w:w="140"/>
        <w:gridCol w:w="140"/>
        <w:gridCol w:w="1340"/>
        <w:gridCol w:w="140"/>
        <w:gridCol w:w="140"/>
        <w:gridCol w:w="1430"/>
        <w:gridCol w:w="140"/>
        <w:gridCol w:w="140"/>
        <w:gridCol w:w="123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Private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11,499,997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66" w:right="0" w:hanging="0"/>
              <w:jc w:val="left"/>
              <w:rPr>
                <w:color w:val="000000"/>
              </w:rPr>
            </w:pPr>
            <w:r>
              <w:rPr>
                <w:color w:val="00000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(259,309)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66" w:right="0" w:hanging="0"/>
              <w:jc w:val="left"/>
              <w:rPr>
                <w:color w:val="000000"/>
              </w:rPr>
            </w:pPr>
            <w:r>
              <w:rPr>
                <w:color w:val="00000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11,240,688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66"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warrants outstanding during the Predecessor period from January 1, 2024 through October 1, 2024 nor the Predecessor year ended December 31, 2023.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and Private Placement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57508x2_424b3_202-finnotes01_pg24"/>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Public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Private Placement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 financial liabilities on the consolidated statements of operations and comprehensive income (loss). There were no private warrants exercised for the year ended December 31, 2024. </w:t>
      </w:r>
    </w:p>
    <w:tbl>
      <w:tblPr>
        <w:tblW w:w="6305" w:type="dxa"/>
        <w:jc w:val="left"/>
        <w:tblInd w:w="0" w:type="dxa"/>
        <w:tblLayout w:type="fixed"/>
        <w:tblCellMar>
          <w:top w:w="0" w:type="dxa"/>
          <w:left w:w="0" w:type="dxa"/>
          <w:bottom w:w="0" w:type="dxa"/>
          <w:right w:w="0" w:type="dxa"/>
        </w:tblCellMar>
      </w:tblPr>
      <w:tblGrid>
        <w:gridCol w:w="1370"/>
        <w:gridCol w:w="140"/>
        <w:gridCol w:w="140"/>
        <w:gridCol w:w="845"/>
        <w:gridCol w:w="140"/>
        <w:gridCol w:w="140"/>
        <w:gridCol w:w="665"/>
        <w:gridCol w:w="140"/>
        <w:gridCol w:w="140"/>
        <w:gridCol w:w="875"/>
        <w:gridCol w:w="140"/>
        <w:gridCol w:w="140"/>
        <w:gridCol w:w="1430"/>
      </w:tblGrid>
      <w:tr>
        <w:trPr/>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3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13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$11.50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WTI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WTI Lenders choose to exercise the warrants for Subsequent Round Stock, the exercise price shall be the lowest price per share paid by any person for the Company’s equity securities issued in a corresponding subsequent round.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57508x2_424b3_202-finnotes01_pg25"/>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WTI Warrants are considered freestanding financial instruments and are recorded at fair value on the consolidated balance sheets as a warrant liability. The fair value of the WTI Warrants upon issuance was $15,690. For the period from issuance to December 31, 2024, the Company recognized a loss of $1,540 in Change in fair value of financial liabilities on the consolidated statements of operations and comprehensive income (loss). See Note 4. Fair Value for details on the valuation. </w:t>
      </w:r>
    </w:p>
    <w:tbl>
      <w:tblPr>
        <w:tblW w:w="6095" w:type="dxa"/>
        <w:jc w:val="left"/>
        <w:tblInd w:w="0" w:type="dxa"/>
        <w:tblLayout w:type="fixed"/>
        <w:tblCellMar>
          <w:top w:w="0" w:type="dxa"/>
          <w:left w:w="0" w:type="dxa"/>
          <w:bottom w:w="0" w:type="dxa"/>
          <w:right w:w="0" w:type="dxa"/>
        </w:tblCellMar>
      </w:tblPr>
      <w:tblGrid>
        <w:gridCol w:w="1160"/>
        <w:gridCol w:w="140"/>
        <w:gridCol w:w="140"/>
        <w:gridCol w:w="845"/>
        <w:gridCol w:w="140"/>
        <w:gridCol w:w="140"/>
        <w:gridCol w:w="665"/>
        <w:gridCol w:w="140"/>
        <w:gridCol w:w="140"/>
        <w:gridCol w:w="875"/>
        <w:gridCol w:w="140"/>
        <w:gridCol w:w="140"/>
        <w:gridCol w:w="1430"/>
      </w:tblGrid>
      <w:tr>
        <w:trPr/>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1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varies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r>
      <w:tr>
        <w:trPr/>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 Mezzanine Capital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Predecessor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Valuation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Liquidation Preference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Distributions to Class PCTA and Class I Unit holders are based on their ownership percentage of the respective class.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Redemption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distribute the Class I investments held by Innventus ESG Fund I, L.P., to the investor in-kind at the election of WE-INN LLC. There is no maximum amount that the Company could be required to pay if the instrument is redeemed.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57508x2_424b3_202-finnotes01_pg26"/>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 Stockholders’ Equity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B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 (ii) the Reset Conversion Price, where the “Reset Conversion Price” means the greater of: (a) $5.00 and (b) the 10-trading day volume-weighted average closing price of the Common Stock. Any fractional shares resulting from conversion will be rounded up to the next whole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57508x2_424b3_202-finnotes01_pg27"/>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the SEPA with YA II PN, LTD., an exempt limited partnership from the Cayman Islands (“Yorkville”). Concurrently with the Business Combination, this agreement became effective.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 As consideration, Innventure agreed and paid, to YA Global II SPV, LLC, a subsidiary of Yorkville, (i) a structuring fee in the amount of $25 and (ii) 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24, 2024, the Company issued and sold 60,000 shares of Common Stock in amount of $770, based on the settlement date closing stock price. Additionally, on December 30, 2024, the Company issued and sold 75,000 shares of Common Stock in an amount of $965.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2024, the Company sold 135,000 shares of Common Stock under the SEPA, raising $1,735 which is classified within Issuance of common shares, net of issuance costs in the consolidated statements of changes in stockholders’ equity (deficit).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 Risk Sponsor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Agreement, the Company entered into the Sponsor Support Agreement under which 5,000,000 shares were issued to the Sponsor at the Closing, as follows: 2,775,172 Fixed Shares, 344,828 Sponsor Earnout Shares, and 1,880,000 At Risk Sponsor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57508x2_424b3_202-finnotes01_pg28"/>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to the Sponsor Earnout Shares, all the At-Risk Sponsor Shares were entitled to non-forfeitable dividends or distributions along with other common stockholders of the Company, from their issuance date.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Service Provider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 resulting liabilities for these unissued securities are included within Obligation to issue equity on the consolidated balance sheets.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 Stock-based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Incentive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compensation costs related to the Capital Incentive Plan as follows: </w:t>
      </w:r>
    </w:p>
    <w:tbl>
      <w:tblPr>
        <w:tblW w:w="6830" w:type="dxa"/>
        <w:jc w:val="left"/>
        <w:tblInd w:w="0" w:type="dxa"/>
        <w:tblLayout w:type="fixed"/>
        <w:tblCellMar>
          <w:top w:w="0" w:type="dxa"/>
          <w:left w:w="0" w:type="dxa"/>
          <w:bottom w:w="0" w:type="dxa"/>
          <w:right w:w="0" w:type="dxa"/>
        </w:tblCellMar>
      </w:tblPr>
      <w:tblGrid>
        <w:gridCol w:w="1925"/>
        <w:gridCol w:w="140"/>
        <w:gridCol w:w="140"/>
        <w:gridCol w:w="1415"/>
        <w:gridCol w:w="140"/>
        <w:gridCol w:w="140"/>
        <w:gridCol w:w="1220"/>
        <w:gridCol w:w="140"/>
        <w:gridCol w:w="140"/>
        <w:gridCol w:w="143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2023</w:t>
            </w:r>
          </w:p>
        </w:tc>
      </w:tr>
      <w:tr>
        <w:trPr/>
        <w:tc>
          <w:tcPr>
            <w:tcW w:w="19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r>
      <w:tr>
        <w:trPr/>
        <w:tc>
          <w:tcPr>
            <w:tcW w:w="1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Equity and Incentive Compensation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 May 1, 2027 and all stock options will be vested by April 30, 2027. The fair value of the Awards issued to employees is recognized as compensation expense on a straight-line basis over the requisite service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57508x2_424b3_202-finnotes01_pg29"/>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summary of RSU activity for the Successor period from October 2, 2024 through December 31, 2024 is as follows: </w:t>
      </w:r>
    </w:p>
    <w:tbl>
      <w:tblPr>
        <w:tblW w:w="5615" w:type="dxa"/>
        <w:jc w:val="left"/>
        <w:tblInd w:w="0" w:type="dxa"/>
        <w:tblLayout w:type="fixed"/>
        <w:tblCellMar>
          <w:top w:w="0" w:type="dxa"/>
          <w:left w:w="0" w:type="dxa"/>
          <w:bottom w:w="0" w:type="dxa"/>
          <w:right w:w="0" w:type="dxa"/>
        </w:tblCellMar>
      </w:tblPr>
      <w:tblGrid>
        <w:gridCol w:w="2780"/>
        <w:gridCol w:w="140"/>
        <w:gridCol w:w="140"/>
        <w:gridCol w:w="845"/>
        <w:gridCol w:w="140"/>
        <w:gridCol w:w="140"/>
        <w:gridCol w:w="1430"/>
      </w:tblGrid>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Granted on December 9, 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 </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 xml:space="preserve">— </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Non-vested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1,905,008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$12.20</w:t>
            </w:r>
          </w:p>
        </w:tc>
      </w:tr>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options activity for the Successor period from October 2, 2024 through December 31, 2024 is as follows: </w:t>
      </w:r>
    </w:p>
    <w:tbl>
      <w:tblPr>
        <w:tblW w:w="7010" w:type="dxa"/>
        <w:jc w:val="left"/>
        <w:tblInd w:w="0" w:type="dxa"/>
        <w:tblLayout w:type="fixed"/>
        <w:tblCellMar>
          <w:top w:w="0" w:type="dxa"/>
          <w:left w:w="0" w:type="dxa"/>
          <w:bottom w:w="0" w:type="dxa"/>
          <w:right w:w="0" w:type="dxa"/>
        </w:tblCellMar>
      </w:tblPr>
      <w:tblGrid>
        <w:gridCol w:w="2855"/>
        <w:gridCol w:w="140"/>
        <w:gridCol w:w="140"/>
        <w:gridCol w:w="845"/>
        <w:gridCol w:w="140"/>
        <w:gridCol w:w="140"/>
        <w:gridCol w:w="1040"/>
        <w:gridCol w:w="140"/>
        <w:gridCol w:w="140"/>
        <w:gridCol w:w="1430"/>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on December 9,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975,409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61,560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color w:val="000000"/>
              </w:rPr>
            </w:pPr>
            <w:r>
              <w:rPr>
                <w:color w:val="000000"/>
              </w:rPr>
              <w:t xml:space="preserve">—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color w:val="000000"/>
                <w:bdr w:val="single" w:sz="8" w:space="2" w:color="000000"/>
              </w:rPr>
            </w:pPr>
            <w:r>
              <w:rPr>
                <w:color w:val="000000"/>
                <w:bdr w:val="single" w:sz="8" w:space="2" w:color="000000"/>
              </w:rPr>
              <w:t xml:space="preserv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913,849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$6.63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color w:val="000000"/>
                <w:bdr w:val="single" w:sz="8" w:space="2" w:color="000000"/>
              </w:rPr>
            </w:pPr>
            <w:r>
              <w:rPr>
                <w:color w:val="000000"/>
                <w:bdr w:val="single" w:sz="8" w:space="2" w:color="000000"/>
              </w:rPr>
              <w:t>—</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Appreciation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57508x2_424b3_202-finnotes01_pg30"/>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Both the cash-settled SARs and stock-settled SARs will be automatically exercised upon the two-year anniversary of the date of grant. The weighted average contractual term is 2 years.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estimated grant date fair value of the cash-settled SARs and the stock-settled SARs was $1,160 and $12,371, respectively. The SARs were valued using the Black-Scholes option-pricing model based on an expected volatility of 70%, an expected term of approximately 2 years, and risk-free rate of return of 4%. The SARs are considered fully vested at the date of grant and compensation cost for both SARs was recognized immediately at the date of grant. During the Successor period from October 2, 2024 through December 31, 2024, the Company recorded $13,531 in compensation expense related to the SARs within General and administrative expense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summary of SARs activity for the Successor period from October 2, 2024 through December 31, 2024 is as follows: </w:t>
      </w:r>
    </w:p>
    <w:tbl>
      <w:tblPr>
        <w:tblW w:w="9560" w:type="dxa"/>
        <w:jc w:val="left"/>
        <w:tblInd w:w="0" w:type="dxa"/>
        <w:tblLayout w:type="fixed"/>
        <w:tblCellMar>
          <w:top w:w="0" w:type="dxa"/>
          <w:left w:w="0" w:type="dxa"/>
          <w:bottom w:w="0" w:type="dxa"/>
          <w:right w:w="0" w:type="dxa"/>
        </w:tblCellMar>
      </w:tblPr>
      <w:tblGrid>
        <w:gridCol w:w="2855"/>
        <w:gridCol w:w="140"/>
        <w:gridCol w:w="140"/>
        <w:gridCol w:w="845"/>
        <w:gridCol w:w="140"/>
        <w:gridCol w:w="140"/>
        <w:gridCol w:w="755"/>
        <w:gridCol w:w="140"/>
        <w:gridCol w:w="140"/>
        <w:gridCol w:w="905"/>
        <w:gridCol w:w="140"/>
        <w:gridCol w:w="140"/>
        <w:gridCol w:w="845"/>
        <w:gridCol w:w="140"/>
        <w:gridCol w:w="140"/>
        <w:gridCol w:w="755"/>
        <w:gridCol w:w="140"/>
        <w:gridCol w:w="140"/>
        <w:gridCol w:w="920"/>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7"/>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Cash-settled 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Stock-settled SARs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on December 9,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$38.66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$38.66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 xml:space="preserv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$38.66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Subsidiary Equity Plans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Accelsius Subsidiary Equity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summary of Accelsius Subsidiary Equity Plan activity is as follows: </w:t>
      </w:r>
    </w:p>
    <w:tbl>
      <w:tblPr>
        <w:tblW w:w="8930" w:type="dxa"/>
        <w:jc w:val="left"/>
        <w:tblInd w:w="0" w:type="dxa"/>
        <w:tblLayout w:type="fixed"/>
        <w:tblCellMar>
          <w:top w:w="0" w:type="dxa"/>
          <w:left w:w="0" w:type="dxa"/>
          <w:bottom w:w="0" w:type="dxa"/>
          <w:right w:w="0" w:type="dxa"/>
        </w:tblCellMar>
      </w:tblPr>
      <w:tblGrid>
        <w:gridCol w:w="3935"/>
        <w:gridCol w:w="140"/>
        <w:gridCol w:w="140"/>
        <w:gridCol w:w="1415"/>
        <w:gridCol w:w="140"/>
        <w:gridCol w:w="140"/>
        <w:gridCol w:w="1265"/>
        <w:gridCol w:w="140"/>
        <w:gridCol w:w="140"/>
        <w:gridCol w:w="1475"/>
      </w:tblGrid>
      <w:tr>
        <w:trPr/>
        <w:tc>
          <w:tcPr>
            <w:tcW w:w="3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9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 Period</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Period </w:t>
            </w:r>
          </w:p>
        </w:tc>
      </w:tr>
      <w:tr>
        <w:trPr/>
        <w:tc>
          <w:tcPr>
            <w:tcW w:w="39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705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C units 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168,500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110,000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365,500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grant date fair value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r>
      <w:tr>
        <w:trPr/>
        <w:tc>
          <w:tcPr>
            <w:tcW w:w="3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Note: The grant date fair value per share for the year ended December 31, 2023 is an average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57508x2_424b3_202-finnotes01_pg31"/>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A Issuance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 Revenues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2024, the Company began selling products and services in its technology segment.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breakout of revenue by source: </w:t>
      </w:r>
    </w:p>
    <w:tbl>
      <w:tblPr>
        <w:tblW w:w="7625" w:type="dxa"/>
        <w:jc w:val="left"/>
        <w:tblInd w:w="0" w:type="dxa"/>
        <w:tblLayout w:type="fixed"/>
        <w:tblCellMar>
          <w:top w:w="0" w:type="dxa"/>
          <w:left w:w="0" w:type="dxa"/>
          <w:bottom w:w="0" w:type="dxa"/>
          <w:right w:w="0" w:type="dxa"/>
        </w:tblCellMar>
      </w:tblPr>
      <w:tblGrid>
        <w:gridCol w:w="2630"/>
        <w:gridCol w:w="140"/>
        <w:gridCol w:w="140"/>
        <w:gridCol w:w="1415"/>
        <w:gridCol w:w="140"/>
        <w:gridCol w:w="140"/>
        <w:gridCol w:w="1265"/>
        <w:gridCol w:w="140"/>
        <w:gridCol w:w="140"/>
        <w:gridCol w:w="1475"/>
      </w:tblGrid>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fees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223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892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225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$456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$1,117</w:t>
            </w:r>
          </w:p>
        </w:tc>
      </w:tr>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57508x2_424b3_202-finnotes01_pg32"/>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major customer concentration of revenue: </w:t>
      </w:r>
    </w:p>
    <w:tbl>
      <w:tblPr>
        <w:tblW w:w="9260" w:type="dxa"/>
        <w:jc w:val="left"/>
        <w:tblInd w:w="0" w:type="dxa"/>
        <w:tblLayout w:type="fixed"/>
        <w:tblCellMar>
          <w:top w:w="0" w:type="dxa"/>
          <w:left w:w="0" w:type="dxa"/>
          <w:bottom w:w="0" w:type="dxa"/>
          <w:right w:w="0" w:type="dxa"/>
        </w:tblCellMar>
      </w:tblPr>
      <w:tblGrid>
        <w:gridCol w:w="4265"/>
        <w:gridCol w:w="140"/>
        <w:gridCol w:w="140"/>
        <w:gridCol w:w="1415"/>
        <w:gridCol w:w="140"/>
        <w:gridCol w:w="140"/>
        <w:gridCol w:w="1265"/>
        <w:gridCol w:w="140"/>
        <w:gridCol w:w="140"/>
        <w:gridCol w:w="1475"/>
      </w:tblGrid>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rPr>
              <w:t>43.0%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color w:val="000000"/>
              </w:rPr>
            </w:pPr>
            <w:r>
              <w:rPr>
                <w:color w:val="000000"/>
              </w:rPr>
              <w:t>—</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color w:val="000000"/>
              </w:rPr>
            </w:pPr>
            <w:r>
              <w:rPr>
                <w:color w:val="000000"/>
              </w:rPr>
              <w:t>—</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48.9</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color w:val="000000"/>
              </w:rPr>
            </w:pPr>
            <w:r>
              <w:rPr>
                <w:color w:val="000000"/>
                <w:bdr w:val="single" w:sz="8" w:space="2" w:color="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color w:val="000000"/>
              </w:rPr>
            </w:pPr>
            <w:r>
              <w:rPr>
                <w:color w:val="000000"/>
                <w:bdr w:val="single" w:sz="8" w:space="2" w:color="000000"/>
              </w:rPr>
              <w:t>—</w:t>
            </w:r>
            <w:r>
              <w:rPr>
                <w:rFonts w:ascii="Times New Roman;Times;serif" w:hAnsi="Times New Roman;Times;serif"/>
                <w:color w:val="000000"/>
                <w:sz w:val="20"/>
              </w:rPr>
              <w:t xml:space="preserve">%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 Concentration of Major Customers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97.8</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100.0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100.0</w:t>
            </w:r>
            <w:r>
              <w:rPr>
                <w:rFonts w:ascii="Times New Roman;Times;serif" w:hAnsi="Times New Roman;Times;serif"/>
                <w:b/>
                <w:color w:val="000000"/>
                <w:sz w:val="20"/>
              </w:rPr>
              <w:t>%</w:t>
            </w:r>
          </w:p>
        </w:tc>
      </w:tr>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16. 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provision for income taxes was as follows: </w:t>
      </w:r>
    </w:p>
    <w:tbl>
      <w:tblPr>
        <w:tblW w:w="7040" w:type="dxa"/>
        <w:jc w:val="left"/>
        <w:tblInd w:w="0" w:type="dxa"/>
        <w:tblLayout w:type="fixed"/>
        <w:tblCellMar>
          <w:top w:w="0" w:type="dxa"/>
          <w:left w:w="0" w:type="dxa"/>
          <w:bottom w:w="0" w:type="dxa"/>
          <w:right w:w="0" w:type="dxa"/>
        </w:tblCellMar>
      </w:tblPr>
      <w:tblGrid>
        <w:gridCol w:w="2045"/>
        <w:gridCol w:w="140"/>
        <w:gridCol w:w="140"/>
        <w:gridCol w:w="1415"/>
        <w:gridCol w:w="140"/>
        <w:gridCol w:w="140"/>
        <w:gridCol w:w="1265"/>
        <w:gridCol w:w="140"/>
        <w:gridCol w:w="140"/>
        <w:gridCol w:w="1475"/>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 xml:space="preserve">—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 xml:space="preserve">—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 xml:space="preserve">— </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(3,301)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 xml:space="preserve">—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 xml:space="preserve">—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(3,301</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$(3,282</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57508x2_424b3_202-finnotes01_pg33"/>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reconciliation of the expected statutory federal tax and the total income tax expense (benefit) was as follows: </w:t>
      </w:r>
    </w:p>
    <w:tbl>
      <w:tblPr>
        <w:tblW w:w="8975" w:type="dxa"/>
        <w:jc w:val="left"/>
        <w:tblInd w:w="0" w:type="dxa"/>
        <w:tblLayout w:type="fixed"/>
        <w:tblCellMar>
          <w:top w:w="0" w:type="dxa"/>
          <w:left w:w="0" w:type="dxa"/>
          <w:bottom w:w="0" w:type="dxa"/>
          <w:right w:w="0" w:type="dxa"/>
        </w:tblCellMar>
      </w:tblPr>
      <w:tblGrid>
        <w:gridCol w:w="3980"/>
        <w:gridCol w:w="140"/>
        <w:gridCol w:w="140"/>
        <w:gridCol w:w="1415"/>
        <w:gridCol w:w="140"/>
        <w:gridCol w:w="140"/>
        <w:gridCol w:w="1265"/>
        <w:gridCol w:w="140"/>
        <w:gridCol w:w="140"/>
        <w:gridCol w:w="1475"/>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Pre-tax book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$(73,375)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$(27,766)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taxes at federal statutory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(15,405)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taxes, net of federal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(1,801)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on pre-tax earnings of corporate subsidiaries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(2,229)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3,685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earnout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differences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(423)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11,664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1,602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R&amp;D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(294</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provision (benefit) for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$(3,282</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2024 and 2023 are as follows: </w:t>
      </w:r>
    </w:p>
    <w:tbl>
      <w:tblPr>
        <w:tblW w:w="6215" w:type="dxa"/>
        <w:jc w:val="left"/>
        <w:tblInd w:w="0" w:type="dxa"/>
        <w:tblLayout w:type="fixed"/>
        <w:tblCellMar>
          <w:top w:w="0" w:type="dxa"/>
          <w:left w:w="0" w:type="dxa"/>
          <w:bottom w:w="0" w:type="dxa"/>
          <w:right w:w="0" w:type="dxa"/>
        </w:tblCellMar>
      </w:tblPr>
      <w:tblGrid>
        <w:gridCol w:w="3530"/>
        <w:gridCol w:w="140"/>
        <w:gridCol w:w="140"/>
        <w:gridCol w:w="1055"/>
        <w:gridCol w:w="140"/>
        <w:gridCol w:w="140"/>
        <w:gridCol w:w="1070"/>
      </w:tblGrid>
      <w:tr>
        <w:trPr/>
        <w:tc>
          <w:tcPr>
            <w:tcW w:w="3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189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Capitalized R&amp;D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 and intangibles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3,614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and other accruals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4,873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carry-forwards and other tax attributes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1,663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rPr>
            </w:pPr>
            <w:r>
              <w:rPr>
                <w:rFonts w:ascii="Times New Roman;Times;serif" w:hAnsi="Times New Roman;Times;serif"/>
                <w:b/>
                <w:color w:val="000000"/>
                <w:sz w:val="20"/>
              </w:rPr>
              <w:t>26,368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6,410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(11,664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(5,910</w:t>
            </w:r>
            <w:r>
              <w:rPr>
                <w:rFonts w:ascii="Times New Roman;Times;serif" w:hAnsi="Times New Roman;Times;serif"/>
                <w:color w:val="000000"/>
                <w:sz w:val="20"/>
              </w:rPr>
              <w:t xml:space="preserve">)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$500 </w:t>
            </w:r>
          </w:p>
        </w:tc>
      </w:tr>
      <w:tr>
        <w:trPr/>
        <w:tc>
          <w:tcPr>
            <w:tcW w:w="3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(323)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Partnerships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color w:val="000000"/>
              </w:rPr>
            </w:pPr>
            <w:r>
              <w:rPr>
                <w:color w:val="000000"/>
              </w:rPr>
              <w:t xml:space="preserve">—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w:t>
            </w:r>
            <w:r>
              <w:rPr>
                <w:rFonts w:ascii="Times New Roman;Times;serif" w:hAnsi="Times New Roman;Times;serif"/>
                <w:color w:val="000000"/>
                <w:sz w:val="20"/>
              </w:rPr>
              <w:t xml:space="preserve">)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(42,057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(500</w:t>
            </w:r>
            <w:r>
              <w:rPr>
                <w:rFonts w:ascii="Times New Roman;Times;serif" w:hAnsi="Times New Roman;Times;serif"/>
                <w:b/>
                <w:color w:val="000000"/>
                <w:sz w:val="20"/>
              </w:rPr>
              <w:t xml:space="preserve">)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$(27,353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3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57508x2_424b3_202-finnotes01_pg34"/>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Valuation allowances are established when it is more likely than not that all or a portion of a deferred tax asset will not be realized. The valuation allowance on deferred tax assets was $11,664 as of December 31, 2024 and $5,910 as of December 31, 2023, resulting in a net change of $5,754. The increase in valuation allowance of $15,115 during the period mainly relates to U.S. federal and state operating loss carryforwards and equity based compensation deferred tax assets that were deemed unrealizable. During this period, Accelsius recognized significant deferred tax liabilities from acquired intangible assets as part of the Business Combination. The deferred tax liability provided a new source of income to realize the existing deferred tax assets, which provided enough positive evidence to release the valuation allowance of $9,361.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and 2023,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tax years 2022 through 2024 remain open and subject to examination by the Internal Revenue Service and the states where the Company has nexus.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17. Net Loss Per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Presented in the table below is a reconciliation of the numerator and denominator for the EPS calculations for the Successor period from October 2, 2024 through December 31, 2024: </w:t>
      </w:r>
    </w:p>
    <w:tbl>
      <w:tblPr>
        <w:tblW w:w="7205" w:type="dxa"/>
        <w:jc w:val="left"/>
        <w:tblInd w:w="0" w:type="dxa"/>
        <w:tblLayout w:type="fixed"/>
        <w:tblCellMar>
          <w:top w:w="0" w:type="dxa"/>
          <w:left w:w="0" w:type="dxa"/>
          <w:bottom w:w="0" w:type="dxa"/>
          <w:right w:w="0" w:type="dxa"/>
        </w:tblCellMar>
      </w:tblPr>
      <w:tblGrid>
        <w:gridCol w:w="5450"/>
        <w:gridCol w:w="140"/>
        <w:gridCol w:w="140"/>
        <w:gridCol w:w="1475"/>
      </w:tblGrid>
      <w:tr>
        <w:trPr/>
        <w:tc>
          <w:tcPr>
            <w:tcW w:w="5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5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Innventure, Inc.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$(61,754) </w:t>
            </w:r>
          </w:p>
        </w:tc>
      </w:tr>
      <w:tr>
        <w:trPr/>
        <w:tc>
          <w:tcPr>
            <w:tcW w:w="54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Cumulative earnings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217 </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Undistributed loss for participating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(61,971) </w:t>
            </w:r>
          </w:p>
        </w:tc>
      </w:tr>
      <w:tr>
        <w:trPr/>
        <w:tc>
          <w:tcPr>
            <w:tcW w:w="54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Undistributed loss attributable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$(61,971</w:t>
            </w:r>
            <w:r>
              <w:rPr>
                <w:rFonts w:ascii="Times New Roman;Times;serif" w:hAnsi="Times New Roman;Times;serif"/>
                <w:color w:val="000000"/>
                <w:sz w:val="20"/>
              </w:rPr>
              <w:t xml:space="preserve">) </w:t>
            </w:r>
          </w:p>
        </w:tc>
      </w:tr>
      <w:tr>
        <w:trPr/>
        <w:tc>
          <w:tcPr>
            <w:tcW w:w="5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57508x2_424b3_202-finnotes01_pg35"/>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tbl>
      <w:tblPr>
        <w:tblW w:w="7970" w:type="dxa"/>
        <w:jc w:val="left"/>
        <w:tblInd w:w="0" w:type="dxa"/>
        <w:tblLayout w:type="fixed"/>
        <w:tblCellMar>
          <w:top w:w="0" w:type="dxa"/>
          <w:left w:w="0" w:type="dxa"/>
          <w:bottom w:w="0" w:type="dxa"/>
          <w:right w:w="0" w:type="dxa"/>
        </w:tblCellMar>
      </w:tblPr>
      <w:tblGrid>
        <w:gridCol w:w="6215"/>
        <w:gridCol w:w="140"/>
        <w:gridCol w:w="140"/>
        <w:gridCol w:w="1475"/>
      </w:tblGrid>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number of units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43,951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per share attributable to common shareholders,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$(1.41</w:t>
            </w:r>
            <w:r>
              <w:rPr>
                <w:rFonts w:ascii="Times New Roman;Times;serif" w:hAnsi="Times New Roman;Times;serif"/>
                <w:b/>
                <w:color w:val="000000"/>
                <w:sz w:val="20"/>
              </w:rPr>
              <w:t>)</w:t>
            </w:r>
          </w:p>
        </w:tc>
      </w:tr>
      <w:tr>
        <w:trPr/>
        <w:tc>
          <w:tcPr>
            <w:tcW w:w="62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and diluted net loss per share was the same for each period presented as the inclusion of all potential common stock outstanding would have been anti-dilutive.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potential common stock outstanding that was excluded from the computation of diluted net loss per share of common stock for the periods presented because including them would have been antidilutive: </w:t>
      </w:r>
    </w:p>
    <w:tbl>
      <w:tblPr>
        <w:tblW w:w="3965" w:type="dxa"/>
        <w:jc w:val="left"/>
        <w:tblInd w:w="0" w:type="dxa"/>
        <w:tblLayout w:type="fixed"/>
        <w:tblCellMar>
          <w:top w:w="0" w:type="dxa"/>
          <w:left w:w="0" w:type="dxa"/>
          <w:bottom w:w="0" w:type="dxa"/>
          <w:right w:w="0" w:type="dxa"/>
        </w:tblCellMar>
      </w:tblPr>
      <w:tblGrid>
        <w:gridCol w:w="2210"/>
        <w:gridCol w:w="140"/>
        <w:gridCol w:w="140"/>
        <w:gridCol w:w="1475"/>
      </w:tblGrid>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1,011,869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975,409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2,036,476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r>
      <w:tr>
        <w:trPr/>
        <w:tc>
          <w:tcPr>
            <w:tcW w:w="22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Innventure1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the ESG Fund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57508x2_424b3_202-finnotes01_pg36"/>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as of December 31, 2023 was $294 and is included in Related party payables in the consolidated balance sheets.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the Company sold 23,712 of Accelsius Class A Series 2 Units to the ESG Fund for aggregate proceeds of approximately $104. This amount is reflected in Non-controlling interests in the consolidated statements of changes in stockholders’ equity (deficit).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19. Commitments and Contingencies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PCT Guaranty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Patent Agreement Contingent Fees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57508x2_424b3_202-finnotes01_pg37"/>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Minimum royalties included in Patent installment payables on the consolidated balance sheets are due as follows: </w:t>
      </w:r>
    </w:p>
    <w:tbl>
      <w:tblPr>
        <w:tblW w:w="3035" w:type="dxa"/>
        <w:jc w:val="left"/>
        <w:tblInd w:w="0" w:type="dxa"/>
        <w:tblLayout w:type="fixed"/>
        <w:tblCellMar>
          <w:top w:w="0" w:type="dxa"/>
          <w:left w:w="0" w:type="dxa"/>
          <w:bottom w:w="0" w:type="dxa"/>
          <w:right w:w="0" w:type="dxa"/>
        </w:tblCellMar>
      </w:tblPr>
      <w:tblGrid>
        <w:gridCol w:w="2045"/>
        <w:gridCol w:w="140"/>
        <w:gridCol w:w="140"/>
        <w:gridCol w:w="710"/>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0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Years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1,225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9,075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$13,600</w:t>
            </w:r>
          </w:p>
        </w:tc>
      </w:tr>
      <w:tr>
        <w:trPr/>
        <w:tc>
          <w:tcPr>
            <w:tcW w:w="2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License and Royalty Commitments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Technology License, the Company is committed to pay annual royalties based on Refinity related gross sales and licensing revenue starting in 2025. As of December 31, 2024, no royalty payments were made to the third party.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20. Business Segment Data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Chief Executive Officer is the Chief Operating Decision Maker (“CODM”) of the Company. The CODM makes operating decisions, allocates resources and assesses performance based on review of historical and potential future product sales, operating expenses, and net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 are not eliminated from segment results when management considers those transactions in assessing the results of the Technology segment.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57508x2_424b3_202-finnotes01_pg38"/>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tbl>
      <w:tblPr>
        <w:tblW w:w="7865" w:type="dxa"/>
        <w:jc w:val="left"/>
        <w:tblInd w:w="0" w:type="dxa"/>
        <w:tblLayout w:type="fixed"/>
        <w:tblCellMar>
          <w:top w:w="0" w:type="dxa"/>
          <w:left w:w="0" w:type="dxa"/>
          <w:bottom w:w="0" w:type="dxa"/>
          <w:right w:w="0" w:type="dxa"/>
        </w:tblCellMar>
      </w:tblPr>
      <w:tblGrid>
        <w:gridCol w:w="2870"/>
        <w:gridCol w:w="140"/>
        <w:gridCol w:w="140"/>
        <w:gridCol w:w="1415"/>
        <w:gridCol w:w="140"/>
        <w:gridCol w:w="140"/>
        <w:gridCol w:w="1265"/>
        <w:gridCol w:w="140"/>
        <w:gridCol w:w="140"/>
        <w:gridCol w:w="1475"/>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 from external customers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3,933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8,076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6,849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Facilities, equipment &amp; supplies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581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499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751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296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844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3,224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2,711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1,443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193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288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1,039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(3,637)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(635</w:t>
            </w:r>
            <w:r>
              <w:rPr>
                <w:rFonts w:ascii="Times New Roman;Times;serif" w:hAnsi="Times New Roman;Times;serif"/>
                <w:color w:val="000000"/>
                <w:sz w:val="20"/>
              </w:rPr>
              <w:t xml:space="preserve">)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$8,991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$10,631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$(8,758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$(16,652</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$(10,617</w:t>
            </w:r>
            <w:r>
              <w:rPr>
                <w:rFonts w:ascii="Times New Roman;Times;serif" w:hAnsi="Times New Roman;Times;serif"/>
                <w:b/>
                <w:color w:val="000000"/>
                <w:sz w:val="20"/>
              </w:rPr>
              <w:t>)</w:t>
            </w:r>
          </w:p>
        </w:tc>
      </w:tr>
      <w:tr>
        <w:trPr/>
        <w:tc>
          <w:tcPr>
            <w:tcW w:w="28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depreciation not already included in Cost of sales. </w:t>
            </w:r>
          </w:p>
        </w:tc>
      </w:tr>
    </w:tbl>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 change in fair value of financial liabilities, loss on conversion of promissory notes, travel and other miscellaneous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57508x2_424b3_202-finnotes01_pg39"/>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reconciles the reportable segment to amounts reflected in our consolidated financial statements. </w:t>
      </w:r>
    </w:p>
    <w:tbl>
      <w:tblPr>
        <w:tblW w:w="10010" w:type="dxa"/>
        <w:jc w:val="left"/>
        <w:tblInd w:w="0" w:type="dxa"/>
        <w:tblLayout w:type="fixed"/>
        <w:tblCellMar>
          <w:top w:w="0" w:type="dxa"/>
          <w:left w:w="0" w:type="dxa"/>
          <w:bottom w:w="0" w:type="dxa"/>
          <w:right w:w="0" w:type="dxa"/>
        </w:tblCellMar>
      </w:tblPr>
      <w:tblGrid>
        <w:gridCol w:w="5015"/>
        <w:gridCol w:w="140"/>
        <w:gridCol w:w="140"/>
        <w:gridCol w:w="1415"/>
        <w:gridCol w:w="140"/>
        <w:gridCol w:w="140"/>
        <w:gridCol w:w="1265"/>
        <w:gridCol w:w="140"/>
        <w:gridCol w:w="140"/>
        <w:gridCol w:w="1475"/>
      </w:tblGrid>
      <w:tr>
        <w:trPr/>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 </w:t>
            </w:r>
          </w:p>
        </w:tc>
      </w:tr>
      <w:tr>
        <w:trPr/>
        <w:tc>
          <w:tcPr>
            <w:tcW w:w="501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management services provided to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(81</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$1,117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1,039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328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$1,330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$1,367 </w:t>
            </w:r>
          </w:p>
        </w:tc>
      </w:tr>
      <w:tr>
        <w:trPr/>
        <w:tc>
          <w:tcPr>
            <w:tcW w:w="50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129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$143</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Depreciation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 </w:t>
            </w:r>
          </w:p>
        </w:tc>
      </w:tr>
      <w:tr>
        <w:trPr/>
        <w:tc>
          <w:tcPr>
            <w:tcW w:w="50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(8,758)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$(16,652)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$(10,617)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(61,335</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(11,546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(20,367</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$(70,093</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$(28,198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$(30,984</w:t>
            </w:r>
            <w:r>
              <w:rPr>
                <w:rFonts w:ascii="Times New Roman;Times;serif" w:hAnsi="Times New Roman;Times;serif"/>
                <w:b/>
                <w:color w:val="000000"/>
                <w:sz w:val="20"/>
              </w:rPr>
              <w:t xml:space="preserve">)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645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$645</w:t>
            </w:r>
          </w:p>
        </w:tc>
      </w:tr>
      <w:tr>
        <w:trPr/>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long-lived assets are located entirely in the United States of America (USA). Segment assets are not reviewed by the CODM and therefore are not disclosed.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57508x2_424b3_202-finnotes01_pg40"/>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21. Subsequent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sold 422,999 of Accelsius Series A Units for aggregate proceeds of approximately $5,150. This amount will be reflected in non-controlling interests in the consolidated statements of changes in stockholders’ equity (deficit) in future periods.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7, 2025, the VWAP Completion Event, as discussed in Note 10. Earnout Shares, occurred and 344,828 Sponsor Earnout Shares vested and were no longer subject to contingencies.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determined that as of January 8, 2025, the creation of Refinity, a consolidated subsidiary of the Company, satisfied the vesting condition applicable to Milestone 2 of the Company Earnout Shares. As such, 2,000,000 shares of common stock were issued on February 4, 2025 as a result of the satisfaction of the Milestone.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3, 2025, and February 27, 2025, two of the Company’s Series 1 Promissory Notes, discussed in Note 5. Borrowings, matured in an aggregate amount of $300 and were paid as they became due.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3, 2025, the Company issued 85,471 shares of Common Stock for financial advisory and investment banking services rendered.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57508x2_424b3_202-finnotes01_pg4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 March 5, 2025. Approved by the Board of Directors, this dividend payment is in accordance with the Investment Agreement dated September 27,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24, 2025, the Company issued an aggregate of 300,000 shares of Series C Preferred Stock for financial advisory and merchant banking services rendered. </w:t>
      </w:r>
    </w:p>
    <w:p>
      <w:pPr>
        <w:pStyle w:val="TextBody"/>
        <w:bidi w:val="0"/>
        <w:spacing w:before="120" w:after="283"/>
        <w:ind w:left="0" w:right="0" w:hanging="0"/>
        <w:jc w:val="left"/>
        <w:rPr>
          <w:rFonts w:ascii="Times New Roman;Times;serif" w:hAnsi="Times New Roman;Times;serif"/>
          <w:color w:val="000000"/>
          <w:sz w:val="20"/>
        </w:rPr>
      </w:pPr>
      <w:bookmarkStart w:id="189" w:name="tFS"/>
      <w:bookmarkEnd w:id="189"/>
      <w:r>
        <w:rPr>
          <w:rFonts w:ascii="Times New Roman;Times;serif" w:hAnsi="Times New Roman;Times;serif"/>
          <w:color w:val="000000"/>
          <w:sz w:val="20"/>
        </w:rPr>
        <w:t xml:space="preserve">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this Form 10-K,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57508x2_424b3_203-fintab02_pg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1" w:name="tCCB"/>
      <w:bookmarkEnd w:id="191"/>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471"/>
        <w:gridCol w:w="140"/>
        <w:gridCol w:w="140"/>
        <w:gridCol w:w="945"/>
        <w:gridCol w:w="140"/>
        <w:gridCol w:w="140"/>
        <w:gridCol w:w="1229"/>
      </w:tblGrid>
      <w:tr>
        <w:trPr/>
        <w:tc>
          <w:tcPr>
            <w:tcW w:w="7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0"/>
              <w:jc w:val="left"/>
              <w:rPr/>
            </w:pPr>
            <w:r>
              <w:rPr/>
              <w:t> </w:t>
            </w:r>
          </w:p>
        </w:tc>
      </w:tr>
      <w:tr>
        <w:trPr/>
        <w:tc>
          <w:tcPr>
            <w:tcW w:w="7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11,119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283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4,536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Inventories,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5,178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3,170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21,129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24,286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32,424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28,734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1,972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1,414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171,345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182,153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323,463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667,936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766 </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555,985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$905,289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3,248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10,603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9,273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2,594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2,478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Contract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 payable -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14,000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27,502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625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1,225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4,158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22,996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34,023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promissory notes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317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72,317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69,347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13,654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Term convertible notes, net of current portion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promissory notes,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14,752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net of current portion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12,375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23,458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27,353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355 </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129,925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138,996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0"/>
              <w:jc w:val="center"/>
              <w:rPr>
                <w:color w:val="000000"/>
              </w:rPr>
            </w:pPr>
            <w:r>
              <w:rPr>
                <w:color w:val="000000"/>
              </w:rPr>
              <w:t>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 $0.0001 par value, 25,000,000 shares authorized;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600" w:right="0" w:hanging="200"/>
              <w:jc w:val="left"/>
              <w:rPr>
                <w:rFonts w:ascii="Times New Roman;Times;serif" w:hAnsi="Times New Roman;Times;serif"/>
                <w:color w:val="000000"/>
                <w:sz w:val="20"/>
              </w:rPr>
            </w:pPr>
            <w:r>
              <w:rPr>
                <w:rFonts w:ascii="Times New Roman;Times;serif" w:hAnsi="Times New Roman;Times;serif"/>
                <w:color w:val="000000"/>
                <w:sz w:val="20"/>
              </w:rPr>
              <w:t>Series B Preferred Stock, $0.0001 par value, 3,000,000 shares designated, 33,144 and 1,102,000 shares issued and outstanding as of June 30, 2025 and December 31, 2024,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shd w:fill="CCEEFF" w:val="clear"/>
            <w:vAlign w:val="center"/>
          </w:tcPr>
          <w:p>
            <w:pPr>
              <w:pStyle w:val="TableContents"/>
              <w:bidi w:val="0"/>
              <w:spacing w:before="0" w:after="283"/>
              <w:ind w:left="600" w:right="0" w:hanging="200"/>
              <w:jc w:val="left"/>
              <w:rPr>
                <w:rFonts w:ascii="Times New Roman;Times;serif" w:hAnsi="Times New Roman;Times;serif"/>
                <w:color w:val="000000"/>
                <w:sz w:val="20"/>
              </w:rPr>
            </w:pPr>
            <w:r>
              <w:rPr>
                <w:rFonts w:ascii="Times New Roman;Times;serif" w:hAnsi="Times New Roman;Times;serif"/>
                <w:color w:val="000000"/>
                <w:sz w:val="20"/>
              </w:rPr>
              <w:t>Series C Preferred Stock, $0.0001 par value, 5,000,000 shares designated, 150,000 and — shares issued and outstanding as of June 30, 2025 and December 31, 2024,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 xml:space="preserve">— </w:t>
            </w:r>
          </w:p>
        </w:tc>
      </w:tr>
      <w:tr>
        <w:trPr/>
        <w:tc>
          <w:tcPr>
            <w:tcW w:w="7471"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$0.0001 par value, 250,000,000 shares authorized, 55,221,494 and 44,597,154 shares issued and outstanding as of June 30, 2025 and December 31, 2024,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525,346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502,865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909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(305,512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(78,262</w:t>
            </w:r>
            <w:r>
              <w:rPr>
                <w:rFonts w:ascii="Times New Roman;Times;serif" w:hAnsi="Times New Roman;Times;serif"/>
                <w:color w:val="000000"/>
                <w:sz w:val="20"/>
              </w:rPr>
              <w:t xml:space="preserve">) </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Innventure, Inc.,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218,551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425,516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340,777 </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426,060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766,293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$555,985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$905,289</w:t>
            </w:r>
          </w:p>
        </w:tc>
      </w:tr>
      <w:tr>
        <w:trPr/>
        <w:tc>
          <w:tcPr>
            <w:tcW w:w="747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57508x2_424b3_203-fintab02_pg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3" w:name="tUCC"/>
      <w:bookmarkEnd w:id="193"/>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Operations and Comprehensive Income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5006"/>
        <w:gridCol w:w="140"/>
        <w:gridCol w:w="140"/>
        <w:gridCol w:w="1019"/>
        <w:gridCol w:w="140"/>
        <w:gridCol w:w="140"/>
        <w:gridCol w:w="1012"/>
        <w:gridCol w:w="140"/>
        <w:gridCol w:w="140"/>
        <w:gridCol w:w="1019"/>
        <w:gridCol w:w="140"/>
        <w:gridCol w:w="140"/>
        <w:gridCol w:w="1029"/>
      </w:tblGrid>
      <w:tr>
        <w:trPr/>
        <w:tc>
          <w:tcPr>
            <w:tcW w:w="50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1"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gridSpan w:val="4"/>
            <w:tcBorders/>
            <w:vAlign w:val="center"/>
          </w:tcPr>
          <w:p>
            <w:pPr>
              <w:pStyle w:val="TableContents"/>
              <w:bidi w:val="0"/>
              <w:spacing w:before="0" w:after="0"/>
              <w:jc w:val="left"/>
              <w:rPr/>
            </w:pPr>
            <w:r>
              <w:rPr/>
              <w:t>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1" w:type="dxa"/>
            <w:gridSpan w:val="4"/>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gridSpan w:val="4"/>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447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18,569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8,379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16,283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2,549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3,433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113,344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143,050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404,472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22,265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(142,574)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(11,286)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(403,772)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(21,818)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Non-operating (Expense) and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(448)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4,399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gain (loss) on investments – due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784 </w:t>
            </w:r>
          </w:p>
        </w:tc>
      </w:tr>
      <w:tr>
        <w:trPr/>
        <w:tc>
          <w:tcPr>
            <w:tcW w:w="500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50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(921)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5,204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2,978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(143,495)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(398,568)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(18,840)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(2,220</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(141,275)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(18,840)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(57,048</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(4,026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 xml:space="preserve">) </w:t>
            </w:r>
          </w:p>
        </w:tc>
      </w:tr>
      <w:tr>
        <w:trPr/>
        <w:tc>
          <w:tcPr>
            <w:tcW w:w="500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(84,227</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(7,288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(227,224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(12,507</w:t>
            </w:r>
            <w:r>
              <w:rPr>
                <w:rFonts w:ascii="Times New Roman;Times;serif" w:hAnsi="Times New Roman;Times;serif"/>
                <w:b/>
                <w:color w:val="000000"/>
                <w:sz w:val="20"/>
              </w:rPr>
              <w:t xml:space="preserve">)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loss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52,546,491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49,417,092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comprehensive income,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 sale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realized gain on conversion of available for sale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(1,507</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(141,086)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(397,147)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(18,840)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(57,048</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(4,026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 xml:space="preserve">) </w:t>
            </w:r>
          </w:p>
        </w:tc>
      </w:tr>
      <w:tr>
        <w:trPr/>
        <w:tc>
          <w:tcPr>
            <w:tcW w:w="500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$(84,038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$(7,288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$(229,422</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$(12,507</w:t>
            </w:r>
            <w:r>
              <w:rPr>
                <w:rFonts w:ascii="Times New Roman;Times;serif" w:hAnsi="Times New Roman;Times;serif"/>
                <w:b/>
                <w:color w:val="000000"/>
                <w:sz w:val="20"/>
              </w:rPr>
              <w:t>)</w:t>
            </w:r>
          </w:p>
        </w:tc>
      </w:tr>
      <w:tr>
        <w:trPr/>
        <w:tc>
          <w:tcPr>
            <w:tcW w:w="500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57508x2_424b3_203-fintab02_pg3"/>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UCS"/>
      <w:bookmarkEnd w:id="195"/>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Changes in Unitholders’ Deficit (Predecessor)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2920"/>
        <w:gridCol w:w="140"/>
        <w:gridCol w:w="140"/>
        <w:gridCol w:w="725"/>
        <w:gridCol w:w="140"/>
        <w:gridCol w:w="140"/>
        <w:gridCol w:w="729"/>
        <w:gridCol w:w="140"/>
        <w:gridCol w:w="140"/>
        <w:gridCol w:w="590"/>
        <w:gridCol w:w="140"/>
        <w:gridCol w:w="140"/>
        <w:gridCol w:w="560"/>
        <w:gridCol w:w="140"/>
        <w:gridCol w:w="140"/>
        <w:gridCol w:w="977"/>
        <w:gridCol w:w="140"/>
        <w:gridCol w:w="140"/>
        <w:gridCol w:w="872"/>
        <w:gridCol w:w="140"/>
        <w:gridCol w:w="140"/>
        <w:gridCol w:w="872"/>
      </w:tblGrid>
      <w:tr>
        <w:trPr/>
        <w:tc>
          <w:tcPr>
            <w:tcW w:w="2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r>
      <w:tr>
        <w:trPr/>
        <w:tc>
          <w:tcPr>
            <w:tcW w:w="2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(Deficit)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$38,122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rFonts w:ascii="Times New Roman;Times;serif" w:hAnsi="Times New Roman;Times;serif"/>
                <w:b/>
                <w:color w:val="000000"/>
                <w:sz w:val="20"/>
              </w:rPr>
            </w:pPr>
            <w:r>
              <w:rPr>
                <w:rFonts w:ascii="Times New Roman;Times;serif" w:hAnsi="Times New Roman;Times;serif"/>
                <w:b/>
                <w:color w:val="000000"/>
                <w:sz w:val="20"/>
              </w:rPr>
              <w:t>$844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$(64,284)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1,559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$(18,486) </w:t>
            </w:r>
          </w:p>
        </w:tc>
      </w:tr>
      <w:tr>
        <w:trPr/>
        <w:tc>
          <w:tcPr>
            <w:tcW w:w="2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(5,219)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(7,526) </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3,503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3,503 </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7,566 </w:t>
            </w:r>
          </w:p>
        </w:tc>
      </w:tr>
      <w:tr>
        <w:trPr/>
        <w:tc>
          <w:tcPr>
            <w:tcW w:w="2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396 </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8,443 </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(4,415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(4,415</w:t>
            </w:r>
            <w:r>
              <w:rPr>
                <w:rFonts w:ascii="Times New Roman;Times;serif" w:hAnsi="Times New Roman;Times;serif"/>
                <w:color w:val="000000"/>
                <w:sz w:val="20"/>
              </w:rPr>
              <w:t xml:space="preserve">) </w:t>
            </w:r>
          </w:p>
        </w:tc>
      </w:tr>
      <w:tr>
        <w:trPr/>
        <w:tc>
          <w:tcPr>
            <w:tcW w:w="2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March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$45,688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$(73,918</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$(10,519</w:t>
            </w:r>
            <w:r>
              <w:rPr>
                <w:rFonts w:ascii="Times New Roman;Times;serif" w:hAnsi="Times New Roman;Times;serif"/>
                <w:b/>
                <w:color w:val="000000"/>
                <w:sz w:val="20"/>
              </w:rPr>
              <w:t xml:space="preserve">) </w:t>
            </w:r>
          </w:p>
        </w:tc>
      </w:tr>
      <w:tr>
        <w:trPr/>
        <w:tc>
          <w:tcPr>
            <w:tcW w:w="2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(11,314) </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7,348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7,348 </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units,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2,852 </w:t>
            </w:r>
          </w:p>
        </w:tc>
      </w:tr>
      <w:tr>
        <w:trPr/>
        <w:tc>
          <w:tcPr>
            <w:tcW w:w="2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293 </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(362</w:t>
            </w:r>
            <w:r>
              <w:rPr>
                <w:rFonts w:ascii="Times New Roman;Times;serif" w:hAnsi="Times New Roman;Times;serif"/>
                <w:color w:val="000000"/>
                <w:sz w:val="20"/>
              </w:rPr>
              <w:t xml:space="preserve">) </w:t>
            </w:r>
          </w:p>
        </w:tc>
      </w:tr>
      <w:tr>
        <w:trPr/>
        <w:tc>
          <w:tcPr>
            <w:tcW w:w="2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June 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$48,540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$(81,568</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$(11,702</w:t>
            </w:r>
            <w:r>
              <w:rPr>
                <w:rFonts w:ascii="Times New Roman;Times;serif" w:hAnsi="Times New Roman;Times;serif"/>
                <w:b/>
                <w:color w:val="000000"/>
                <w:sz w:val="20"/>
              </w:rPr>
              <w:t>)</w:t>
            </w:r>
          </w:p>
        </w:tc>
      </w:tr>
      <w:tr>
        <w:trPr/>
        <w:tc>
          <w:tcPr>
            <w:tcW w:w="2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57508x2_424b3_203-fintab02_pg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197" w:name="tSE"/>
      <w:bookmarkEnd w:id="197"/>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Changes in Mezzanine and Stockholders’ Equity (Deficit) (Successor)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and per share amounts) </w:t>
      </w:r>
    </w:p>
    <w:tbl>
      <w:tblPr>
        <w:tblW w:w="12665" w:type="dxa"/>
        <w:jc w:val="left"/>
        <w:tblInd w:w="0" w:type="dxa"/>
        <w:tblLayout w:type="fixed"/>
        <w:tblCellMar>
          <w:top w:w="0" w:type="dxa"/>
          <w:left w:w="0" w:type="dxa"/>
          <w:bottom w:w="0" w:type="dxa"/>
          <w:right w:w="0" w:type="dxa"/>
        </w:tblCellMar>
      </w:tblPr>
      <w:tblGrid>
        <w:gridCol w:w="815"/>
        <w:gridCol w:w="140"/>
        <w:gridCol w:w="140"/>
        <w:gridCol w:w="650"/>
        <w:gridCol w:w="140"/>
        <w:gridCol w:w="140"/>
        <w:gridCol w:w="485"/>
        <w:gridCol w:w="140"/>
        <w:gridCol w:w="140"/>
        <w:gridCol w:w="500"/>
        <w:gridCol w:w="140"/>
        <w:gridCol w:w="140"/>
        <w:gridCol w:w="485"/>
        <w:gridCol w:w="140"/>
        <w:gridCol w:w="140"/>
        <w:gridCol w:w="680"/>
        <w:gridCol w:w="140"/>
        <w:gridCol w:w="140"/>
        <w:gridCol w:w="485"/>
        <w:gridCol w:w="140"/>
        <w:gridCol w:w="140"/>
        <w:gridCol w:w="665"/>
        <w:gridCol w:w="140"/>
        <w:gridCol w:w="140"/>
        <w:gridCol w:w="785"/>
        <w:gridCol w:w="140"/>
        <w:gridCol w:w="140"/>
        <w:gridCol w:w="785"/>
        <w:gridCol w:w="140"/>
        <w:gridCol w:w="140"/>
        <w:gridCol w:w="725"/>
        <w:gridCol w:w="140"/>
        <w:gridCol w:w="140"/>
        <w:gridCol w:w="800"/>
        <w:gridCol w:w="140"/>
        <w:gridCol w:w="140"/>
        <w:gridCol w:w="650"/>
        <w:gridCol w:w="140"/>
        <w:gridCol w:w="140"/>
        <w:gridCol w:w="515"/>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45" w:type="dxa"/>
            <w:gridSpan w:val="31"/>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45" w:type="dxa"/>
            <w:gridSpan w:val="31"/>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Stockholders’ Equity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Mezzanine Equity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Series B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Series 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Preferred Stock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Additional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Accumulated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Accumulated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OCI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Controlling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Stockholders’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1,102,000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44,597,154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b/>
                <w:color w:val="000000"/>
                <w:sz w:val="14"/>
              </w:rPr>
            </w:pPr>
            <w:r>
              <w:rPr>
                <w:rFonts w:ascii="Times New Roman;Times;serif" w:hAnsi="Times New Roman;Times;serif"/>
                <w:b/>
                <w:color w:val="000000"/>
                <w:sz w:val="14"/>
              </w:rPr>
              <w:t>$502,865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(78,262)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909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340,777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 xml:space="preserve">766,293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 xml:space="preserve">— </w:t>
            </w:r>
          </w:p>
        </w:tc>
      </w:tr>
      <w:tr>
        <w:trPr/>
        <w:tc>
          <w:tcPr>
            <w:tcW w:w="815" w:type="dxa"/>
            <w:tcBorders/>
            <w:vAlign w:val="center"/>
          </w:tcPr>
          <w:p>
            <w:pPr>
              <w:pStyle w:val="TableContents"/>
              <w:bidi w:val="0"/>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(142,997)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(110,677)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(253,674)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Series B Preferred Stock buyback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Series B Preferred Stock issued for paid-in-kind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21,808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218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common shares,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161,964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1,927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1,927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Vesting of earnout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2,344,682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874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Other comprehensive gain,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4"/>
              </w:rPr>
            </w:pPr>
            <w:r>
              <w:rPr>
                <w:rFonts w:ascii="Times New Roman;Times;serif" w:hAnsi="Times New Roman;Times;serif"/>
                <w:color w:val="000000"/>
                <w:sz w:val="14"/>
              </w:rPr>
              <w:t>(2,387)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(2,387)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Conversion of 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2,310,848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23,109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Series C Preferred Stock,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5,663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Non-controlling interest issued and related transfers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(26,303)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33,249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6,946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Distributions to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4,943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898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5,841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Accrued preferred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(217</w:t>
            </w:r>
            <w:r>
              <w:rPr>
                <w:rFonts w:ascii="Times New Roman;Times;serif" w:hAnsi="Times New Roman;Times;serif"/>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(217</w:t>
            </w:r>
            <w:r>
              <w:rPr>
                <w:rFonts w:ascii="Times New Roman;Times;serif" w:hAnsi="Times New Roman;Times;serif"/>
                <w:color w:val="000000"/>
                <w:sz w:val="14"/>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(44</w:t>
            </w:r>
            <w:r>
              <w:rPr>
                <w:rFonts w:ascii="Times New Roman;Times;serif" w:hAnsi="Times New Roman;Times;serif"/>
                <w:color w:val="000000"/>
                <w:sz w:val="14"/>
              </w:rPr>
              <w:t xml:space="preserve">)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March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1,118,808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47,103,800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$484,256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$(221,285</w:t>
            </w: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$(1,478</w:t>
            </w: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$264,247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$525,745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2,885,848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$28,728 </w:t>
            </w:r>
          </w:p>
        </w:tc>
      </w:tr>
      <w:tr>
        <w:trPr/>
        <w:tc>
          <w:tcPr>
            <w:tcW w:w="8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(84,227)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(57,048)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(141,275)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common shares,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481,325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2,625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Other comprehensive gain,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4"/>
              </w:rPr>
            </w:pPr>
            <w:r>
              <w:rPr>
                <w:rFonts w:ascii="Times New Roman;Times;serif" w:hAnsi="Times New Roman;Times;serif"/>
                <w:color w:val="000000"/>
                <w:sz w:val="14"/>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189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Non-controlling interest issued and related transfers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(602)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434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8,494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9,406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Accrued preferred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198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Conversion to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(1,085,664)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7,636,369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27,269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27,270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(2,735,848)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(27,272)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Transfer of Series C Preferred Stock from Mezzanine equity to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1,468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(150,000</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(1,468</w:t>
            </w:r>
            <w:r>
              <w:rPr>
                <w:rFonts w:ascii="Times New Roman;Times;serif" w:hAnsi="Times New Roman;Times;serif"/>
                <w:color w:val="000000"/>
                <w:sz w:val="14"/>
              </w:rPr>
              <w:t xml:space="preserve">)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33,144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55,221,494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$525,346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$(305,512</w:t>
            </w: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$(1,289</w:t>
            </w: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$207,509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$426,060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57508x2_424b3_203-fintab02_pg5"/>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CF"/>
      <w:bookmarkEnd w:id="199"/>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7077"/>
        <w:gridCol w:w="140"/>
        <w:gridCol w:w="140"/>
        <w:gridCol w:w="1275"/>
        <w:gridCol w:w="140"/>
        <w:gridCol w:w="140"/>
        <w:gridCol w:w="1293"/>
      </w:tblGrid>
      <w:tr>
        <w:trPr/>
        <w:tc>
          <w:tcPr>
            <w:tcW w:w="70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left"/>
              <w:rPr/>
            </w:pPr>
            <w:r>
              <w:rPr/>
              <w:t> </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$(394,949)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$(18,840) </w:t>
            </w:r>
          </w:p>
        </w:tc>
      </w:tr>
      <w:tr>
        <w:trPr/>
        <w:tc>
          <w:tcPr>
            <w:tcW w:w="7077" w:type="dxa"/>
            <w:tcBorders/>
            <w:shd w:fill="CCEEFF" w:val="clear"/>
            <w:vAlign w:val="center"/>
          </w:tcPr>
          <w:p>
            <w:pPr>
              <w:pStyle w:val="TableContents"/>
              <w:bidi w:val="0"/>
              <w:spacing w:before="0" w:after="283"/>
              <w:ind w:left="200" w:right="0" w:hanging="200"/>
              <w:jc w:val="left"/>
              <w:rPr>
                <w:rFonts w:ascii="Times New Roman;Times;serif" w:hAnsi="Times New Roman;Times;serif"/>
                <w:i/>
                <w:color w:val="000000"/>
                <w:sz w:val="20"/>
              </w:rPr>
            </w:pPr>
            <w:r>
              <w:rPr>
                <w:rFonts w:ascii="Times New Roman;Times;serif" w:hAnsi="Times New Roman;Times;serif"/>
                <w:i/>
                <w:color w:val="000000"/>
                <w:sz w:val="20"/>
              </w:rPr>
              <w:t>Adjustments to reconcile net loss to net cash and cash equivalents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15,247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on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payables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on 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on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(4,399)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(784)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(3,897)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11,182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patent installment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(525)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165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(3,312)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(965)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(1,442)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(662) </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315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3,181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1,330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2,803 </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Contract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690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 xml:space="preserve">—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(36,754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(16,391</w:t>
            </w:r>
            <w:r>
              <w:rPr>
                <w:rFonts w:ascii="Times New Roman;Times;serif" w:hAnsi="Times New Roman;Times;serif"/>
                <w:b/>
                <w:color w:val="000000"/>
                <w:sz w:val="20"/>
              </w:rPr>
              <w:t xml:space="preserve">) </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available-for-sale debt securities -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(2,708)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(5,035)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(932)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(706)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1,364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(3,640</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(4,377</w:t>
            </w:r>
            <w:r>
              <w:rPr>
                <w:rFonts w:ascii="Times New Roman;Times;serif" w:hAnsi="Times New Roman;Times;serif"/>
                <w:b/>
                <w:color w:val="000000"/>
                <w:sz w:val="20"/>
              </w:rPr>
              <w:t xml:space="preserve">) </w:t>
            </w:r>
          </w:p>
        </w:tc>
      </w:tr>
      <w:tr>
        <w:trPr/>
        <w:tc>
          <w:tcPr>
            <w:tcW w:w="707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equity,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3,675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10,037 </w:t>
            </w:r>
          </w:p>
        </w:tc>
      </w:tr>
      <w:tr>
        <w:trPr/>
        <w:tc>
          <w:tcPr>
            <w:tcW w:w="707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equity to non-controlling interest,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5,367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10,827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the issuance of related party 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3,999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the issuance of term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debt securities,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27,000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debts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(1,176)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(590)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stockholders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 xml:space="preserve">—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41,240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20,274 </w:t>
            </w:r>
          </w:p>
        </w:tc>
      </w:tr>
      <w:tr>
        <w:trPr/>
        <w:tc>
          <w:tcPr>
            <w:tcW w:w="707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(494</w:t>
            </w:r>
            <w:r>
              <w:rPr>
                <w:rFonts w:ascii="Times New Roman;Times;serif" w:hAnsi="Times New Roman;Times;serif"/>
                <w:b/>
                <w:color w:val="000000"/>
                <w:sz w:val="20"/>
              </w:rPr>
              <w:t xml:space="preserve">)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11,119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2,575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$11,965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$2,081</w:t>
            </w:r>
          </w:p>
        </w:tc>
      </w:tr>
      <w:tr>
        <w:trPr/>
        <w:tc>
          <w:tcPr>
            <w:tcW w:w="70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57508x2_424b3_203-fintab02_pg6"/>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7239"/>
        <w:gridCol w:w="140"/>
        <w:gridCol w:w="140"/>
        <w:gridCol w:w="1175"/>
        <w:gridCol w:w="140"/>
        <w:gridCol w:w="140"/>
        <w:gridCol w:w="1231"/>
      </w:tblGrid>
      <w:tr>
        <w:trPr/>
        <w:tc>
          <w:tcPr>
            <w:tcW w:w="72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0"/>
              <w:jc w:val="left"/>
              <w:rPr/>
            </w:pPr>
            <w:r>
              <w:rPr/>
              <w:t> </w:t>
            </w:r>
          </w:p>
        </w:tc>
      </w:tr>
      <w:tr>
        <w:trPr/>
        <w:tc>
          <w:tcPr>
            <w:tcW w:w="7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tc>
      </w:tr>
      <w:tr>
        <w:trPr/>
        <w:tc>
          <w:tcPr>
            <w:tcW w:w="723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Cash Flow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center"/>
              <w:rPr>
                <w:color w:val="000000"/>
              </w:rPr>
            </w:pPr>
            <w:r>
              <w:rPr>
                <w:color w:val="000000"/>
              </w:rPr>
              <w:t>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99 </w:t>
            </w:r>
          </w:p>
        </w:tc>
      </w:tr>
      <w:tr>
        <w:trPr/>
        <w:tc>
          <w:tcPr>
            <w:tcW w:w="723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Financing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center"/>
              <w:rPr>
                <w:color w:val="000000"/>
              </w:rPr>
            </w:pPr>
            <w:r>
              <w:rPr>
                <w:color w:val="000000"/>
              </w:rPr>
              <w:t>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4,777 </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7,324 </w:t>
            </w:r>
          </w:p>
        </w:tc>
      </w:tr>
      <w:tr>
        <w:trPr/>
        <w:tc>
          <w:tcPr>
            <w:tcW w:w="723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working capital loans to equity method investee into investments in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Extinguishment of debt with Series C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 of Series C Preferred Stock to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5,783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AFX available-for-sale term loan into equity 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8,757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common stock as repayment of convertible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2,533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stock in exchange for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4,095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Conversion of preferred stock into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36,910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Transfer of Series C Preferred Stock from Mezzanine to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1,468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in association with Convertible Debentures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1,774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 xml:space="preserve">— </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Equity reallocation between non-controlling interest and 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25,268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condensed consolidated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57508x2_424b3_204-finnotes02_pg1"/>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300" w:after="283"/>
        <w:ind w:left="0" w:right="0" w:hanging="0"/>
        <w:jc w:val="left"/>
        <w:rPr>
          <w:rFonts w:ascii="Times New Roman;Times;serif" w:hAnsi="Times New Roman;Times;serif"/>
          <w:b/>
          <w:color w:val="000000"/>
          <w:sz w:val="20"/>
        </w:rPr>
      </w:pPr>
      <w:bookmarkStart w:id="202" w:name="tNCC"/>
      <w:bookmarkEnd w:id="202"/>
      <w:r>
        <w:rPr>
          <w:rFonts w:ascii="Times New Roman;Times;serif" w:hAnsi="Times New Roman;Times;serif"/>
          <w:b/>
          <w:color w:val="000000"/>
          <w:sz w:val="20"/>
        </w:rPr>
        <w:t xml:space="preserve">Note 1. Nature of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use the same accounting policies in preparing quarterly and annual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57508x2_424b3_204-finnotes02_pg2"/>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an immaterial out of period adjustment of $16,915 to correct an understatement of Non-controlling interest. The impact of the adjustments are not material to the condensed consolidated financial statements for any interim or annual periods prior to June 30, 2025 nor the current financial period. The out of period adjustment to Additional paid-in capital is included in the Non-controlling interest issued and related transfers within the condensed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Reclassifications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amounts reported previously have been reclassified to conform to the current year presentation with no effect on total stockholders’ deficit, or net loss as previously reported.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Going Concern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 had cash balance of $6,965, a restricted cash balance of $5,000, accumulated deficit of $305,512 and a working capital deficit of $51,188. During the three and six months ended June 30, 2025 (Successor), the Company incurred a net loss of $141,275 and $394,949, respectively. We have experienced recurring losses from operations and negative cash flows from operating activities. In addition, we continue to have an ongoing need to raise significant additional cash from outside sources to sustain our operations and fund our growth plans.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our assessment of going concern considerations in accordance with Financial Accounting Standard Board’s (“FASB”) Accounting Standards Update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See “Item 1A. Risk Factors—Risks Related to Innventure’s Business—There is uncertainty regarding Innventure’s ability to maintain liquidity sufficient to operate its business effectively, which raises substantial doubt about its ability to continue as a going concern.” in our 2024 Annual Report.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57508x2_424b3_204-finnotes02_pg3"/>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Adopted Accounting Pronouncements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2023, the FASB issued ASU 2023-07, </w:t>
      </w:r>
      <w:r>
        <w:rPr>
          <w:rFonts w:ascii="Times New Roman;Times;serif" w:hAnsi="Times New Roman;Times;serif"/>
          <w:i/>
          <w:color w:val="000000"/>
          <w:sz w:val="20"/>
        </w:rPr>
        <w:t>Segment Reporting (Topic 280): Improvements to Reportable Segment Disclosures</w:t>
      </w:r>
      <w:r>
        <w:rPr>
          <w:rFonts w:ascii="Times New Roman;Times;serif" w:hAnsi="Times New Roman;Times;serif"/>
          <w:color w:val="000000"/>
          <w:sz w:val="20"/>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But Not Yet Adopted Accounting Standards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the FASB issued ASU 2023-06, </w:t>
      </w:r>
      <w:r>
        <w:rPr>
          <w:rFonts w:ascii="Times New Roman;Times;serif" w:hAnsi="Times New Roman;Times;serif"/>
          <w:i/>
          <w:color w:val="000000"/>
          <w:sz w:val="20"/>
        </w:rPr>
        <w:t xml:space="preserve">Disclosure Improvements: Codification Amendments in Response to the SEC’s Disclosure Update and Simplification Initiative </w:t>
      </w:r>
      <w:r>
        <w:rPr>
          <w:rFonts w:ascii="Times New Roman;Times;serif" w:hAnsi="Times New Roman;Times;serif"/>
          <w:color w:val="000000"/>
          <w:sz w:val="20"/>
        </w:rPr>
        <w:t xml:space="preserve">(“ASU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w:t>
      </w:r>
      <w:r>
        <w:rPr>
          <w:rFonts w:ascii="Times New Roman;Times;serif" w:hAnsi="Times New Roman;Times;serif"/>
          <w:i/>
          <w:color w:val="000000"/>
          <w:sz w:val="20"/>
        </w:rPr>
        <w:t>Income Taxes (Topic 740): Improvements to Income Tax Disclosures</w:t>
      </w:r>
      <w:r>
        <w:rPr>
          <w:rFonts w:ascii="Times New Roman;Times;serif" w:hAnsi="Times New Roman;Times;serif"/>
          <w:color w:val="000000"/>
          <w:sz w:val="20"/>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w:t>
      </w:r>
      <w:r>
        <w:rPr>
          <w:rFonts w:ascii="Times New Roman;Times;serif" w:hAnsi="Times New Roman;Times;serif"/>
          <w:i/>
          <w:color w:val="000000"/>
          <w:sz w:val="20"/>
        </w:rPr>
        <w:t xml:space="preserve">Income Statement—Reporting Comprehensive Income—Expense Disaggregation Disclosures (Subtopic 220-40): Disaggregation of Income Statement Expenses </w:t>
      </w:r>
      <w:r>
        <w:rPr>
          <w:rFonts w:ascii="Times New Roman;Times;serif" w:hAnsi="Times New Roman;Times;serif"/>
          <w:color w:val="000000"/>
          <w:sz w:val="20"/>
        </w:rPr>
        <w:t xml:space="preserve">(“ASU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2025-04, </w:t>
      </w:r>
      <w:r>
        <w:rPr>
          <w:rFonts w:ascii="Times New Roman;Times;serif" w:hAnsi="Times New Roman;Times;serif"/>
          <w:i/>
          <w:color w:val="000000"/>
          <w:sz w:val="20"/>
        </w:rPr>
        <w:t>Compensation—Stock Compensation (Topic 718) and Revenue from Contracts with Customers (Topic 606): Clarifications to Share-Based Consideration Payable to a Customer</w:t>
      </w:r>
      <w:r>
        <w:rPr>
          <w:rFonts w:ascii="Times New Roman;Times;serif" w:hAnsi="Times New Roman;Times;serif"/>
          <w:color w:val="000000"/>
          <w:sz w:val="20"/>
        </w:rPr>
        <w:t xml:space="preserve">,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2025, the FASB issued ASU 2025-05, </w:t>
      </w:r>
      <w:r>
        <w:rPr>
          <w:rFonts w:ascii="Times New Roman;Times;serif" w:hAnsi="Times New Roman;Times;serif"/>
          <w:i/>
          <w:color w:val="000000"/>
          <w:sz w:val="20"/>
        </w:rPr>
        <w:t>Financial Instruments—Credit Losses (Topic 326): Measurement of Credit Losses for Accounts Receivable and Contract Assets</w:t>
      </w:r>
      <w:r>
        <w:rPr>
          <w:rFonts w:ascii="Times New Roman;Times;serif" w:hAnsi="Times New Roman;Times;serif"/>
          <w:color w:val="000000"/>
          <w:sz w:val="20"/>
        </w:rPr>
        <w:t xml:space="preserve">,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condensed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57508x2_424b3_204-finnotes02_pg4"/>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Investments </w:t>
      </w:r>
    </w:p>
    <w:tbl>
      <w:tblPr>
        <w:tblW w:w="5930" w:type="dxa"/>
        <w:jc w:val="left"/>
        <w:tblInd w:w="0" w:type="dxa"/>
        <w:tblLayout w:type="fixed"/>
        <w:tblCellMar>
          <w:top w:w="0" w:type="dxa"/>
          <w:left w:w="0" w:type="dxa"/>
          <w:bottom w:w="0" w:type="dxa"/>
          <w:right w:w="0" w:type="dxa"/>
        </w:tblCellMar>
      </w:tblPr>
      <w:tblGrid>
        <w:gridCol w:w="2855"/>
        <w:gridCol w:w="140"/>
        <w:gridCol w:w="140"/>
        <w:gridCol w:w="1040"/>
        <w:gridCol w:w="140"/>
        <w:gridCol w:w="140"/>
        <w:gridCol w:w="1475"/>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$23,407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$17,547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11,187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$28,734</w:t>
            </w:r>
          </w:p>
        </w:tc>
      </w:tr>
      <w:tr>
        <w:trPr/>
        <w:tc>
          <w:tcPr>
            <w:tcW w:w="28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Equity-method investments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ESG Fund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June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held a 37% and 34% equity method investment interest in AeroFlexx as of June 30, 2025 and December 31,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 in debt securities - Available for Sale (“AFS”)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1, 2024, the Company entered into a loan agreement with AeroFlexx under which the Company will lend up to $10,000 to 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six months ended June 30, 2025 (Successor) and is included in non-operating income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June 30, 2025 (Successor), $371 was drawn down by AeroFlexx under the term loan. During the six months ended June 30, 2025 (Successor), $4,375 was reclassified from Due from related parties under the term loan and $2,708 was drawn down by AeroFlexx under the term loan. The total balance drawn as of June 30, 2025 was $10,000.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57508x2_424b3_204-finnotes02_pg5"/>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the contractual maturity of the loan is December 31, 2026, it is included in the non-current line item Investments of the condensed consolidated balance sheets. The increase of $189 and decrease of $691 in fair value of this investment in debt securities for the three and six months ended June 30, 2025 (Successor), respectively, is included as Unrealized gain (loss) on available for sale debt securities - related party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Company’s carrying amount and maximum exposure relating to AeroFlexx advances and other receivables were $3,897 and $4,472 as of June 30, 2025 and December 31, 2024, included in Due from related parties on the condensed consolidated balance sheets.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Fair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fair value hierarchy for assets and liabilities measured at fair value on a recurring basis as of June 30, 2025 and December 31, 2024: </w:t>
      </w:r>
    </w:p>
    <w:tbl>
      <w:tblPr>
        <w:tblW w:w="9455" w:type="dxa"/>
        <w:jc w:val="left"/>
        <w:tblInd w:w="0" w:type="dxa"/>
        <w:tblLayout w:type="fixed"/>
        <w:tblCellMar>
          <w:top w:w="0" w:type="dxa"/>
          <w:left w:w="0" w:type="dxa"/>
          <w:bottom w:w="0" w:type="dxa"/>
          <w:right w:w="0" w:type="dxa"/>
        </w:tblCellMar>
      </w:tblPr>
      <w:tblGrid>
        <w:gridCol w:w="4565"/>
        <w:gridCol w:w="140"/>
        <w:gridCol w:w="140"/>
        <w:gridCol w:w="1175"/>
        <w:gridCol w:w="140"/>
        <w:gridCol w:w="140"/>
        <w:gridCol w:w="890"/>
        <w:gridCol w:w="140"/>
        <w:gridCol w:w="140"/>
        <w:gridCol w:w="1055"/>
        <w:gridCol w:w="140"/>
        <w:gridCol w:w="140"/>
        <w:gridCol w:w="650"/>
      </w:tblGrid>
      <w:tr>
        <w:trPr/>
        <w:tc>
          <w:tcPr>
            <w:tcW w:w="4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45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9,017</w:t>
            </w:r>
          </w:p>
        </w:tc>
      </w:tr>
      <w:tr>
        <w:trPr/>
        <w:tc>
          <w:tcPr>
            <w:tcW w:w="45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4,370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12,450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12,450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WTI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3,400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7,146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 - Convertible Debentures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r>
      <w:tr>
        <w:trPr/>
        <w:tc>
          <w:tcPr>
            <w:tcW w:w="45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7835" w:type="dxa"/>
        <w:jc w:val="left"/>
        <w:tblInd w:w="0" w:type="dxa"/>
        <w:tblLayout w:type="fixed"/>
        <w:tblCellMar>
          <w:top w:w="0" w:type="dxa"/>
          <w:left w:w="0" w:type="dxa"/>
          <w:bottom w:w="0" w:type="dxa"/>
          <w:right w:w="0" w:type="dxa"/>
        </w:tblCellMar>
      </w:tblPr>
      <w:tblGrid>
        <w:gridCol w:w="2840"/>
        <w:gridCol w:w="140"/>
        <w:gridCol w:w="140"/>
        <w:gridCol w:w="1175"/>
        <w:gridCol w:w="140"/>
        <w:gridCol w:w="140"/>
        <w:gridCol w:w="890"/>
        <w:gridCol w:w="140"/>
        <w:gridCol w:w="140"/>
        <w:gridCol w:w="1055"/>
        <w:gridCol w:w="140"/>
        <w:gridCol w:w="140"/>
        <w:gridCol w:w="7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Inputs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r>
      <w:tr>
        <w:trPr/>
        <w:tc>
          <w:tcPr>
            <w:tcW w:w="28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$14,752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17,230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Gains and losses for such assets and liabilities categorized within the Level 3 table set forth may include changes in fair value that are attributable to both observable inputs (Levels 1 and 2) and unobservable inputs (Level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57508x2_424b3_204-finnotes02_pg6"/>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Changes in the estimated fair value of Level 3 financial assets and liabilities that are measured on a recurring basis for the six months ended June 30, 2025 (Successor) and the six months ended June 30, 2024 (Predecessor), respectively, are as follows: </w:t>
      </w:r>
    </w:p>
    <w:tbl>
      <w:tblPr>
        <w:tblW w:w="10205" w:type="dxa"/>
        <w:jc w:val="left"/>
        <w:tblInd w:w="0" w:type="dxa"/>
        <w:tblLayout w:type="fixed"/>
        <w:tblCellMar>
          <w:top w:w="0" w:type="dxa"/>
          <w:left w:w="0" w:type="dxa"/>
          <w:bottom w:w="0" w:type="dxa"/>
          <w:right w:w="0" w:type="dxa"/>
        </w:tblCellMar>
      </w:tblPr>
      <w:tblGrid>
        <w:gridCol w:w="2644"/>
        <w:gridCol w:w="140"/>
        <w:gridCol w:w="140"/>
        <w:gridCol w:w="1238"/>
        <w:gridCol w:w="140"/>
        <w:gridCol w:w="140"/>
        <w:gridCol w:w="1169"/>
        <w:gridCol w:w="140"/>
        <w:gridCol w:w="140"/>
        <w:gridCol w:w="695"/>
        <w:gridCol w:w="140"/>
        <w:gridCol w:w="140"/>
        <w:gridCol w:w="758"/>
        <w:gridCol w:w="140"/>
        <w:gridCol w:w="140"/>
        <w:gridCol w:w="746"/>
        <w:gridCol w:w="140"/>
        <w:gridCol w:w="140"/>
        <w:gridCol w:w="1275"/>
      </w:tblGrid>
      <w:tr>
        <w:trPr/>
        <w:tc>
          <w:tcPr>
            <w:tcW w:w="26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r>
      <w:tr>
        <w:trPr/>
        <w:tc>
          <w:tcPr>
            <w:tcW w:w="26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liability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in debt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liability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Debentures </w:t>
            </w:r>
          </w:p>
        </w:tc>
      </w:tr>
      <w:tr>
        <w:trPr/>
        <w:tc>
          <w:tcPr>
            <w:tcW w:w="264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2024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6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(2,472)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color w:val="000000"/>
              </w:rPr>
            </w:pPr>
            <w:r>
              <w:rPr>
                <w:color w:val="000000"/>
              </w:rPr>
              <w:t xml:space="preserve">— </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color w:val="000000"/>
                <w:bdr w:val="single" w:sz="8" w:space="2" w:color="000000"/>
              </w:rPr>
            </w:pPr>
            <w:r>
              <w:rPr>
                <w:color w:val="000000"/>
                <w:bdr w:val="single" w:sz="8" w:space="2" w:color="000000"/>
              </w:rPr>
              <w:t xml:space="preserve">— </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June 30,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r>
      <w:tr>
        <w:trPr/>
        <w:tc>
          <w:tcPr>
            <w:tcW w:w="264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$14,752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rPr>
            </w:pPr>
            <w:r>
              <w:rPr>
                <w:rFonts w:ascii="Times New Roman;Times;serif" w:hAnsi="Times New Roman;Times;serif"/>
                <w:b/>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3,090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1,774 </w:t>
            </w:r>
          </w:p>
        </w:tc>
      </w:tr>
      <w:tr>
        <w:trPr/>
        <w:tc>
          <w:tcPr>
            <w:tcW w:w="26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(8,757)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color w:val="000000"/>
              </w:rPr>
            </w:pPr>
            <w:r>
              <w:rPr>
                <w:color w:val="000000"/>
              </w:rPr>
              <w:t xml:space="preserve">— </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(9,509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June 30,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$1,796</w:t>
            </w:r>
          </w:p>
        </w:tc>
      </w:tr>
      <w:tr>
        <w:trPr/>
        <w:tc>
          <w:tcPr>
            <w:tcW w:w="26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in or out of levels during the three and six months ended June 30, 2025 (Successor) nor for the three and six months ended June 30, 2024 (Predecessor).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significant unobservable inputs (Level 3): </w:t>
      </w:r>
    </w:p>
    <w:tbl>
      <w:tblPr>
        <w:tblW w:w="8630" w:type="dxa"/>
        <w:jc w:val="left"/>
        <w:tblInd w:w="0" w:type="dxa"/>
        <w:tblLayout w:type="fixed"/>
        <w:tblCellMar>
          <w:top w:w="0" w:type="dxa"/>
          <w:left w:w="0" w:type="dxa"/>
          <w:bottom w:w="0" w:type="dxa"/>
          <w:right w:w="0" w:type="dxa"/>
        </w:tblCellMar>
      </w:tblPr>
      <w:tblGrid>
        <w:gridCol w:w="155"/>
        <w:gridCol w:w="140"/>
        <w:gridCol w:w="140"/>
        <w:gridCol w:w="2360"/>
        <w:gridCol w:w="140"/>
        <w:gridCol w:w="140"/>
        <w:gridCol w:w="2765"/>
        <w:gridCol w:w="140"/>
        <w:gridCol w:w="140"/>
        <w:gridCol w:w="755"/>
        <w:gridCol w:w="140"/>
        <w:gridCol w:w="140"/>
        <w:gridCol w:w="14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Valuation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Techniques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Inputs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 in debt securities - AFS: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Black-Scholes model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Time to liquidity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 years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 for lack of marketability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31.00%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cost of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45.00%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4.23%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AeroFlexx yield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13.31%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8630" w:type="dxa"/>
            <w:gridSpan w:val="13"/>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Earnout Shares: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6.3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6.8 years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4.42%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36.10%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176.00%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2024 WTI Warrants: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18.80%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WTI Warrants: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Embedded derivative liability - Convertible Debentures: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57508x2_424b3_204-finnotes02_pg7"/>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and defined in Note 5. Borrowings, the Company issued Convertible Debentures (as defined below) which contain certain features which qualify as embedded derivates requiring bifurcation. The fair value of the embedded derivative liability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further information on the Earnout Shares (as defined below), 2024 WTI Warrants (as defined below), and 2025 WTI Warrants, refer to Note 9. Earnout Shares and Note 10. Warrants.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Borrowings </w:t>
      </w:r>
    </w:p>
    <w:tbl>
      <w:tblPr>
        <w:tblW w:w="10205" w:type="dxa"/>
        <w:jc w:val="left"/>
        <w:tblInd w:w="0" w:type="dxa"/>
        <w:tblLayout w:type="fixed"/>
        <w:tblCellMar>
          <w:top w:w="0" w:type="dxa"/>
          <w:left w:w="0" w:type="dxa"/>
          <w:bottom w:w="0" w:type="dxa"/>
          <w:right w:w="0" w:type="dxa"/>
        </w:tblCellMar>
      </w:tblPr>
      <w:tblGrid>
        <w:gridCol w:w="3623"/>
        <w:gridCol w:w="140"/>
        <w:gridCol w:w="140"/>
        <w:gridCol w:w="952"/>
        <w:gridCol w:w="140"/>
        <w:gridCol w:w="140"/>
        <w:gridCol w:w="957"/>
        <w:gridCol w:w="140"/>
        <w:gridCol w:w="140"/>
        <w:gridCol w:w="951"/>
        <w:gridCol w:w="140"/>
        <w:gridCol w:w="140"/>
        <w:gridCol w:w="1318"/>
        <w:gridCol w:w="140"/>
        <w:gridCol w:w="140"/>
        <w:gridCol w:w="1004"/>
      </w:tblGrid>
      <w:tr>
        <w:trPr/>
        <w:tc>
          <w:tcPr>
            <w:tcW w:w="36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r>
        <w:trPr/>
        <w:tc>
          <w:tcPr>
            <w:tcW w:w="36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Rates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1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 - 15%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- 15.99%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debentures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28,172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317" w:right="0" w:hanging="0"/>
              <w:jc w:val="lef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3.94% - 15%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55,050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unamortized debt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(9,791)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(27,502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Long-term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$16,755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57508x2_424b3_204-finnotes02_pg8"/>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notes payable, excluding debt issuance costs, mature as follows: </w:t>
      </w:r>
    </w:p>
    <w:tbl>
      <w:tblPr>
        <w:tblW w:w="3275" w:type="dxa"/>
        <w:jc w:val="left"/>
        <w:tblInd w:w="0" w:type="dxa"/>
        <w:tblLayout w:type="fixed"/>
        <w:tblCellMar>
          <w:top w:w="0" w:type="dxa"/>
          <w:left w:w="0" w:type="dxa"/>
          <w:bottom w:w="0" w:type="dxa"/>
          <w:right w:w="0" w:type="dxa"/>
        </w:tblCellMar>
      </w:tblPr>
      <w:tblGrid>
        <w:gridCol w:w="2240"/>
        <w:gridCol w:w="140"/>
        <w:gridCol w:w="140"/>
        <w:gridCol w:w="755"/>
      </w:tblGrid>
      <w:tr>
        <w:trPr/>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(remaining 6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13,011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29,234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8,244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4,561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$55,050</w:t>
            </w:r>
          </w:p>
        </w:tc>
      </w:tr>
      <w:tr>
        <w:trPr/>
        <w:tc>
          <w:tcPr>
            <w:tcW w:w="22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1 Promissory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Extensions on Series 1 promissory notes were as follows: </w:t>
      </w:r>
    </w:p>
    <w:tbl>
      <w:tblPr>
        <w:tblW w:w="10205" w:type="dxa"/>
        <w:jc w:val="left"/>
        <w:tblInd w:w="0" w:type="dxa"/>
        <w:tblLayout w:type="fixed"/>
        <w:tblCellMar>
          <w:top w:w="0" w:type="dxa"/>
          <w:left w:w="0" w:type="dxa"/>
          <w:bottom w:w="0" w:type="dxa"/>
          <w:right w:w="0" w:type="dxa"/>
        </w:tblCellMar>
      </w:tblPr>
      <w:tblGrid>
        <w:gridCol w:w="3697"/>
        <w:gridCol w:w="140"/>
        <w:gridCol w:w="140"/>
        <w:gridCol w:w="902"/>
        <w:gridCol w:w="140"/>
        <w:gridCol w:w="140"/>
        <w:gridCol w:w="1034"/>
        <w:gridCol w:w="140"/>
        <w:gridCol w:w="140"/>
        <w:gridCol w:w="1060"/>
        <w:gridCol w:w="140"/>
        <w:gridCol w:w="140"/>
        <w:gridCol w:w="1034"/>
        <w:gridCol w:w="140"/>
        <w:gridCol w:w="140"/>
        <w:gridCol w:w="1078"/>
      </w:tblGrid>
      <w:tr>
        <w:trPr/>
        <w:tc>
          <w:tcPr>
            <w:tcW w:w="3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2" w:type="dxa"/>
            <w:gridSpan w:val="4"/>
            <w:tcBorders/>
            <w:vAlign w:val="center"/>
          </w:tcPr>
          <w:p>
            <w:pPr>
              <w:pStyle w:val="TableContents"/>
              <w:bidi w:val="0"/>
              <w:spacing w:before="0" w:after="0"/>
              <w:jc w:val="left"/>
              <w:rPr/>
            </w:pPr>
            <w:r>
              <w:rPr/>
              <w:t> </w:t>
            </w:r>
          </w:p>
        </w:tc>
      </w:tr>
      <w:tr>
        <w:trPr/>
        <w:tc>
          <w:tcPr>
            <w:tcW w:w="3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69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Principal amount of 1st extension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 </w:t>
            </w:r>
          </w:p>
        </w:tc>
      </w:tr>
      <w:tr>
        <w:trPr/>
        <w:tc>
          <w:tcPr>
            <w:tcW w:w="369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Principal amount of 2nd extension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$300</w:t>
            </w:r>
          </w:p>
        </w:tc>
      </w:tr>
      <w:tr>
        <w:trPr/>
        <w:tc>
          <w:tcPr>
            <w:tcW w:w="3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Series 1 promissory notes was as follows: </w:t>
      </w:r>
    </w:p>
    <w:tbl>
      <w:tblPr>
        <w:tblW w:w="8915" w:type="dxa"/>
        <w:jc w:val="left"/>
        <w:tblInd w:w="0" w:type="dxa"/>
        <w:tblLayout w:type="fixed"/>
        <w:tblCellMar>
          <w:top w:w="0" w:type="dxa"/>
          <w:left w:w="0" w:type="dxa"/>
          <w:bottom w:w="0" w:type="dxa"/>
          <w:right w:w="0" w:type="dxa"/>
        </w:tblCellMar>
      </w:tblPr>
      <w:tblGrid>
        <w:gridCol w:w="3440"/>
        <w:gridCol w:w="140"/>
        <w:gridCol w:w="140"/>
        <w:gridCol w:w="1085"/>
        <w:gridCol w:w="140"/>
        <w:gridCol w:w="140"/>
        <w:gridCol w:w="1085"/>
        <w:gridCol w:w="140"/>
        <w:gridCol w:w="140"/>
        <w:gridCol w:w="1085"/>
        <w:gridCol w:w="140"/>
        <w:gridCol w:w="140"/>
        <w:gridCol w:w="1100"/>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57508x2_424b3_204-finnotes02_pg9"/>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per the amended note with the second party, the maturity date was extended to January 31, 2025 and the interest rate was increased to 13.50% per annum. Additionally, $1,000 of the principal amount became due on or around the amendment date.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the related party notes was as follows: </w:t>
      </w:r>
    </w:p>
    <w:tbl>
      <w:tblPr>
        <w:tblW w:w="7295" w:type="dxa"/>
        <w:jc w:val="left"/>
        <w:tblInd w:w="0" w:type="dxa"/>
        <w:tblLayout w:type="fixed"/>
        <w:tblCellMar>
          <w:top w:w="0" w:type="dxa"/>
          <w:left w:w="0" w:type="dxa"/>
          <w:bottom w:w="0" w:type="dxa"/>
          <w:right w:w="0" w:type="dxa"/>
        </w:tblCellMar>
      </w:tblPr>
      <w:tblGrid>
        <w:gridCol w:w="1820"/>
        <w:gridCol w:w="140"/>
        <w:gridCol w:w="140"/>
        <w:gridCol w:w="1085"/>
        <w:gridCol w:w="140"/>
        <w:gridCol w:w="140"/>
        <w:gridCol w:w="1085"/>
        <w:gridCol w:w="140"/>
        <w:gridCol w:w="140"/>
        <w:gridCol w:w="1085"/>
        <w:gridCol w:w="140"/>
        <w:gridCol w:w="140"/>
        <w:gridCol w:w="1100"/>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six months ended June 30, 2025 (Successor), respectively.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WTI Facility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six months ended June 30, 2025 (Successor) was 13.50%.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Company is amortizing the discount over the term of the WTI Facility using the straight-line method.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57508x2_424b3_204-finnotes02_pg10"/>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accounted for as an extinguishment of debt though the WTI Facility remains outstanding, resulting in a loss on extinguishment of $3,462 recorded on the condensed consolidated statements of operations and comprehensive income (loss) for the three and six months ended June 30, 2025 (Successor). The legal requirement to maintain at least $5,000 of cash on deposit is presented as Restricted cash on the condensed consolidated balance sheets.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this facility was as follows: </w:t>
      </w:r>
    </w:p>
    <w:tbl>
      <w:tblPr>
        <w:tblW w:w="10205" w:type="dxa"/>
        <w:jc w:val="left"/>
        <w:tblInd w:w="0" w:type="dxa"/>
        <w:tblLayout w:type="fixed"/>
        <w:tblCellMar>
          <w:top w:w="0" w:type="dxa"/>
          <w:left w:w="0" w:type="dxa"/>
          <w:bottom w:w="0" w:type="dxa"/>
          <w:right w:w="0" w:type="dxa"/>
        </w:tblCellMar>
      </w:tblPr>
      <w:tblGrid>
        <w:gridCol w:w="4858"/>
        <w:gridCol w:w="140"/>
        <w:gridCol w:w="140"/>
        <w:gridCol w:w="1041"/>
        <w:gridCol w:w="140"/>
        <w:gridCol w:w="140"/>
        <w:gridCol w:w="1064"/>
        <w:gridCol w:w="140"/>
        <w:gridCol w:w="140"/>
        <w:gridCol w:w="1041"/>
        <w:gridCol w:w="140"/>
        <w:gridCol w:w="140"/>
        <w:gridCol w:w="1081"/>
      </w:tblGrid>
      <w:tr>
        <w:trPr/>
        <w:tc>
          <w:tcPr>
            <w:tcW w:w="4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2" w:type="dxa"/>
            <w:gridSpan w:val="4"/>
            <w:tcBorders/>
            <w:vAlign w:val="center"/>
          </w:tcPr>
          <w:p>
            <w:pPr>
              <w:pStyle w:val="TableContents"/>
              <w:bidi w:val="0"/>
              <w:spacing w:before="0" w:after="0"/>
              <w:jc w:val="left"/>
              <w:rPr/>
            </w:pPr>
            <w:r>
              <w:rPr/>
              <w:t> </w:t>
            </w:r>
          </w:p>
        </w:tc>
      </w:tr>
      <w:tr>
        <w:trPr/>
        <w:tc>
          <w:tcPr>
            <w:tcW w:w="4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8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5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 and discounts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 xml:space="preserve">— </w:t>
            </w:r>
          </w:p>
        </w:tc>
      </w:tr>
      <w:tr>
        <w:trPr/>
        <w:tc>
          <w:tcPr>
            <w:tcW w:w="485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8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Debentures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25, 2025, the Company entered into a securities purchase agreement (“Securities Purchase Agreement”) with Yorkville related to the issuance and sale of convertible debentures (“Convertible Debentures”) with an aggregate principal amount of up to $30,000. These Convertible Debentures are convertible into shares of Common Stock (as converted, the “Conversion Shares”). The Convertible Debentures contain certain features which qualify as embedded derivatives requiring bifurcation. Therefore, the bifurcated features are accounted for separately as a compound embedded derivative and included within Embedded derivative liability on the condensed consolidated balance sheets. The host contract, which represents the Convertible Debentures excluding the embedded derivative liability is included in Notes payable - current on the condensed consolidated balance sheets. The Company issued the aggregate principal amount of Convertible Debentures in two tranches tied to separate reporting and filing requirements.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14, 2025, the Company issued the first tranche of the Convertible Debentures with a principal amount of $20,000 in accordance with the Securities Purchase Agreement. The first tranche resulted in gross proceeds to the Company of approximately $18,000, representing an original issue discount of 10% and is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For further information on the 2025 WTI Warrants, refer to Note 10.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15, 2025, the Company issued the second tranche of Convertible Debentures with a principal amount of $10,000 in accordance with the Securities Purchase Agreement. The second tranche resulted in gross proceeds to the Company of approximately $9,000, representing an original issue discount of 10% and is scheduled to be repaid in eleven monthly payments with a 5% payment premium due to the lender with each payment. There is no contractual interest associated with amounts outstanding for the Convertible Debentures for the three and six months ended June 30, 2025 (Successor).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4, 2025, the Company entered into an amendment to the Securities Purchase Agreement. The amendment changed the share conversion price to the lessor of: a) $10.00 per share of Common Stock, subject to downward assessment on two reset dates (October 14, 2025, and January 14, 2026) or b) the greater of (i) the average volume-weighted average price (“VWAP”) for the ten trading days prior to the two reset dates and (ii) $2.00, subject to adjustments for stock splits or combinations.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2025 (Successor), the Company issued 473,825 shares of its Common Stock pursuant to the SEPA in payment of $2,335 of principal and $117 of payment premium of the Convertible Debentures. For further information on this conversion, see Note 11. Stockholders’ Equity. During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57508x2_424b3_204-finnotes02_pg11"/>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three and six months ended June 30, 2025 (Successor), the Company made cash payments toward the outstanding loan balance totaling $834 of principal and $42 of payment premium.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expense on this facility was as follows: </w:t>
      </w:r>
    </w:p>
    <w:tbl>
      <w:tblPr>
        <w:tblW w:w="9785" w:type="dxa"/>
        <w:jc w:val="left"/>
        <w:tblInd w:w="0" w:type="dxa"/>
        <w:tblLayout w:type="fixed"/>
        <w:tblCellMar>
          <w:top w:w="0" w:type="dxa"/>
          <w:left w:w="0" w:type="dxa"/>
          <w:bottom w:w="0" w:type="dxa"/>
          <w:right w:w="0" w:type="dxa"/>
        </w:tblCellMar>
      </w:tblPr>
      <w:tblGrid>
        <w:gridCol w:w="4310"/>
        <w:gridCol w:w="140"/>
        <w:gridCol w:w="140"/>
        <w:gridCol w:w="1085"/>
        <w:gridCol w:w="140"/>
        <w:gridCol w:w="140"/>
        <w:gridCol w:w="1085"/>
        <w:gridCol w:w="140"/>
        <w:gridCol w:w="140"/>
        <w:gridCol w:w="1085"/>
        <w:gridCol w:w="140"/>
        <w:gridCol w:w="140"/>
        <w:gridCol w:w="1100"/>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 xml:space="preserve">—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 Convertible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interest expense on the Term Convertible Notes was $1 for the three and six months ended June 30, 2025 (Successor).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Convertible Notes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 published by the Internal Revenue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57508x2_424b3_204-finnotes02_pg12"/>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 Term Convertible Notes, which are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interest expense on Related Party Convertible Notes, including the amortization of the loan fee, was $3 for the three and six months ended June 30, 2025 (Successor).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Inventories, net </w:t>
      </w:r>
    </w:p>
    <w:tbl>
      <w:tblPr>
        <w:tblW w:w="4565" w:type="dxa"/>
        <w:jc w:val="left"/>
        <w:tblInd w:w="0" w:type="dxa"/>
        <w:tblLayout w:type="fixed"/>
        <w:tblCellMar>
          <w:top w:w="0" w:type="dxa"/>
          <w:left w:w="0" w:type="dxa"/>
          <w:bottom w:w="0" w:type="dxa"/>
          <w:right w:w="0" w:type="dxa"/>
        </w:tblCellMar>
      </w:tblPr>
      <w:tblGrid>
        <w:gridCol w:w="1490"/>
        <w:gridCol w:w="140"/>
        <w:gridCol w:w="140"/>
        <w:gridCol w:w="1040"/>
        <w:gridCol w:w="140"/>
        <w:gridCol w:w="140"/>
        <w:gridCol w:w="1475"/>
      </w:tblGrid>
      <w:tr>
        <w:trPr/>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$2,974 </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Work in process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Finished goods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2,154 </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inventories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$6,620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$5,178</w:t>
            </w:r>
          </w:p>
        </w:tc>
      </w:tr>
      <w:tr>
        <w:trPr/>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Property, Plant and Equipment </w:t>
      </w:r>
    </w:p>
    <w:tbl>
      <w:tblPr>
        <w:tblW w:w="6230" w:type="dxa"/>
        <w:jc w:val="left"/>
        <w:tblInd w:w="0" w:type="dxa"/>
        <w:tblLayout w:type="fixed"/>
        <w:tblCellMar>
          <w:top w:w="0" w:type="dxa"/>
          <w:left w:w="0" w:type="dxa"/>
          <w:bottom w:w="0" w:type="dxa"/>
          <w:right w:w="0" w:type="dxa"/>
        </w:tblCellMar>
      </w:tblPr>
      <w:tblGrid>
        <w:gridCol w:w="3155"/>
        <w:gridCol w:w="140"/>
        <w:gridCol w:w="140"/>
        <w:gridCol w:w="1040"/>
        <w:gridCol w:w="140"/>
        <w:gridCol w:w="140"/>
        <w:gridCol w:w="1475"/>
      </w:tblGrid>
      <w:tr>
        <w:trPr/>
        <w:tc>
          <w:tcPr>
            <w:tcW w:w="3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548 </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664 </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Computers &amp; office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266 </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gross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2,425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1,492 </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(453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w:t>
            </w:r>
            <w:r>
              <w:rPr>
                <w:rFonts w:ascii="Times New Roman;Times;serif" w:hAnsi="Times New Roman;Times;serif"/>
                <w:color w:val="000000"/>
                <w:sz w:val="20"/>
              </w:rPr>
              <w:t xml:space="preserve">) </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$1,414</w:t>
            </w:r>
          </w:p>
        </w:tc>
      </w:tr>
      <w:tr>
        <w:trPr/>
        <w:tc>
          <w:tcPr>
            <w:tcW w:w="3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Goodwill and Intangible Assets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Goodwill </w:t>
      </w:r>
    </w:p>
    <w:tbl>
      <w:tblPr>
        <w:tblW w:w="3980" w:type="dxa"/>
        <w:jc w:val="left"/>
        <w:tblInd w:w="0" w:type="dxa"/>
        <w:tblLayout w:type="fixed"/>
        <w:tblCellMar>
          <w:top w:w="0" w:type="dxa"/>
          <w:left w:w="0" w:type="dxa"/>
          <w:bottom w:w="0" w:type="dxa"/>
          <w:right w:w="0" w:type="dxa"/>
        </w:tblCellMar>
      </w:tblPr>
      <w:tblGrid>
        <w:gridCol w:w="2825"/>
        <w:gridCol w:w="140"/>
        <w:gridCol w:w="140"/>
        <w:gridCol w:w="875"/>
      </w:tblGrid>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667,936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(346,557)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2,084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$323,463</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and six months ended June 30, 2025 (Successor), the Company recorded $113,344 and $346,557 non-deductible, non-cash goodwill impairment charges, respectively,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The Company’s stock price had not yet recovered as of June 30,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57508x2_424b3_204-finnotes02_pg13"/>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intangible assets, net </w:t>
      </w:r>
    </w:p>
    <w:tbl>
      <w:tblPr>
        <w:tblW w:w="10205" w:type="dxa"/>
        <w:jc w:val="left"/>
        <w:tblInd w:w="0" w:type="dxa"/>
        <w:tblLayout w:type="fixed"/>
        <w:tblCellMar>
          <w:top w:w="0" w:type="dxa"/>
          <w:left w:w="0" w:type="dxa"/>
          <w:bottom w:w="0" w:type="dxa"/>
          <w:right w:w="0" w:type="dxa"/>
        </w:tblCellMar>
      </w:tblPr>
      <w:tblGrid>
        <w:gridCol w:w="1320"/>
        <w:gridCol w:w="140"/>
        <w:gridCol w:w="140"/>
        <w:gridCol w:w="1425"/>
        <w:gridCol w:w="140"/>
        <w:gridCol w:w="140"/>
        <w:gridCol w:w="890"/>
        <w:gridCol w:w="140"/>
        <w:gridCol w:w="140"/>
        <w:gridCol w:w="998"/>
        <w:gridCol w:w="140"/>
        <w:gridCol w:w="140"/>
        <w:gridCol w:w="853"/>
        <w:gridCol w:w="140"/>
        <w:gridCol w:w="140"/>
        <w:gridCol w:w="890"/>
        <w:gridCol w:w="140"/>
        <w:gridCol w:w="140"/>
        <w:gridCol w:w="998"/>
        <w:gridCol w:w="140"/>
        <w:gridCol w:w="140"/>
        <w:gridCol w:w="871"/>
      </w:tblGrid>
      <w:tr>
        <w:trPr/>
        <w:tc>
          <w:tcPr>
            <w:tcW w:w="1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6"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9" w:type="dxa"/>
            <w:gridSpan w:val="7"/>
            <w:tcBorders/>
            <w:vAlign w:val="center"/>
          </w:tcPr>
          <w:p>
            <w:pPr>
              <w:pStyle w:val="TableContents"/>
              <w:bidi w:val="0"/>
              <w:spacing w:before="0" w:after="0"/>
              <w:jc w:val="left"/>
              <w:rPr/>
            </w:pPr>
            <w:r>
              <w:rPr/>
              <w:t> </w:t>
            </w:r>
          </w:p>
        </w:tc>
      </w:tr>
      <w:tr>
        <w:trPr/>
        <w:tc>
          <w:tcPr>
            <w:tcW w:w="1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6"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9"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Intangible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15.3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17,523 </w:t>
            </w:r>
          </w:p>
        </w:tc>
      </w:tr>
      <w:tr>
        <w:trPr/>
        <w:tc>
          <w:tcPr>
            <w:tcW w:w="13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4,218 </w:t>
            </w:r>
          </w:p>
        </w:tc>
      </w:tr>
      <w:tr>
        <w:trPr/>
        <w:tc>
          <w:tcPr>
            <w:tcW w:w="132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165,100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(14,198)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150,902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165,100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$160,382 </w:t>
            </w:r>
          </w:p>
        </w:tc>
      </w:tr>
      <w:tr>
        <w:trPr/>
        <w:tc>
          <w:tcPr>
            <w:tcW w:w="13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finite-lived 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r>
      <w:tr>
        <w:trPr/>
        <w:tc>
          <w:tcPr>
            <w:tcW w:w="132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$187,530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$(16,185</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$171,345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$187,530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$(5,377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$182,153</w:t>
            </w:r>
          </w:p>
        </w:tc>
      </w:tr>
      <w:tr>
        <w:trPr/>
        <w:tc>
          <w:tcPr>
            <w:tcW w:w="1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Amortization expense of $5,405 and $10,808 was recognized for the three and six months ended June 30, 2025 (Successor), respectively, and is recorded within Cost of sales, General and administrative and Research and development on the condensed consolidated statements of operations and comprehensive income (loss).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Estimated future amortization expense is as follows: </w:t>
      </w:r>
    </w:p>
    <w:tbl>
      <w:tblPr>
        <w:tblW w:w="6545" w:type="dxa"/>
        <w:jc w:val="left"/>
        <w:tblInd w:w="0" w:type="dxa"/>
        <w:tblLayout w:type="fixed"/>
        <w:tblCellMar>
          <w:top w:w="0" w:type="dxa"/>
          <w:left w:w="0" w:type="dxa"/>
          <w:bottom w:w="0" w:type="dxa"/>
          <w:right w:w="0" w:type="dxa"/>
        </w:tblCellMar>
      </w:tblPr>
      <w:tblGrid>
        <w:gridCol w:w="4580"/>
        <w:gridCol w:w="140"/>
        <w:gridCol w:w="140"/>
        <w:gridCol w:w="1685"/>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Expense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(excluding the first six months of fiscal year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10,808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21,616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21,234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20,073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18,853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 and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78,761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$171,345</w:t>
            </w:r>
          </w:p>
        </w:tc>
      </w:tr>
      <w:tr>
        <w:trPr/>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Earnout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57508x2_424b3_204-finnotes02_pg14"/>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Earnout Shares related to milestone three are liability classified and were fair valued at $4,370 and $14,752 as of June 30, 2025 and December 31, 2024, respectively. The Company recognized a gain of $3,100 and $9,509 in Change in fair value of financial liabilities on the condensed consolidated statements of operations and comprehensive income (loss) for the three and six months ended June 30, 2025 (Successor), respectively.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 Warrants </w:t>
      </w:r>
    </w:p>
    <w:tbl>
      <w:tblPr>
        <w:tblW w:w="10205" w:type="dxa"/>
        <w:jc w:val="left"/>
        <w:tblInd w:w="0" w:type="dxa"/>
        <w:tblLayout w:type="fixed"/>
        <w:tblCellMar>
          <w:top w:w="0" w:type="dxa"/>
          <w:left w:w="0" w:type="dxa"/>
          <w:bottom w:w="0" w:type="dxa"/>
          <w:right w:w="0" w:type="dxa"/>
        </w:tblCellMar>
      </w:tblPr>
      <w:tblGrid>
        <w:gridCol w:w="3404"/>
        <w:gridCol w:w="140"/>
        <w:gridCol w:w="140"/>
        <w:gridCol w:w="1290"/>
        <w:gridCol w:w="140"/>
        <w:gridCol w:w="140"/>
        <w:gridCol w:w="1355"/>
        <w:gridCol w:w="140"/>
        <w:gridCol w:w="140"/>
        <w:gridCol w:w="1509"/>
        <w:gridCol w:w="140"/>
        <w:gridCol w:w="140"/>
        <w:gridCol w:w="1527"/>
      </w:tblGrid>
      <w:tr>
        <w:trPr/>
        <w:tc>
          <w:tcPr>
            <w:tcW w:w="34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0"/>
              <w:jc w:val="left"/>
              <w:rPr/>
            </w:pPr>
            <w:r>
              <w:rPr/>
              <w:t> </w:t>
            </w:r>
          </w:p>
        </w:tc>
      </w:tr>
      <w:tr>
        <w:trPr/>
        <w:tc>
          <w:tcPr>
            <w:tcW w:w="34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Private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2024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2025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tc>
      </w:tr>
      <w:tr>
        <w:trPr/>
        <w:tc>
          <w:tcPr>
            <w:tcW w:w="340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Outstanding, December 31,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0" w:type="dxa"/>
            <w:tcBorders/>
            <w:shd w:fill="CCEEFF" w:val="clear"/>
            <w:vAlign w:val="center"/>
          </w:tcPr>
          <w:p>
            <w:pPr>
              <w:pStyle w:val="TableContents"/>
              <w:bidi w:val="0"/>
              <w:spacing w:before="0" w:after="283"/>
              <w:ind w:left="176"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11,240,688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7,146,000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9" w:type="dxa"/>
            <w:tcBorders/>
            <w:shd w:fill="CCEEFF" w:val="clear"/>
            <w:vAlign w:val="center"/>
          </w:tcPr>
          <w:p>
            <w:pPr>
              <w:pStyle w:val="TableContents"/>
              <w:bidi w:val="0"/>
              <w:spacing w:before="0" w:after="283"/>
              <w:ind w:left="65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7" w:type="dxa"/>
            <w:tcBorders/>
            <w:shd w:fill="CCEEFF" w:val="clear"/>
            <w:vAlign w:val="center"/>
          </w:tcPr>
          <w:p>
            <w:pPr>
              <w:pStyle w:val="TableContents"/>
              <w:bidi w:val="0"/>
              <w:spacing w:before="0" w:after="283"/>
              <w:ind w:left="652" w:right="0" w:hanging="0"/>
              <w:jc w:val="left"/>
              <w:rPr>
                <w:color w:val="000000"/>
              </w:rPr>
            </w:pPr>
            <w:r>
              <w:rPr>
                <w:color w:val="000000"/>
              </w:rPr>
              <w:t xml:space="preserve">— </w:t>
            </w:r>
          </w:p>
        </w:tc>
      </w:tr>
      <w:tr>
        <w:trPr/>
        <w:tc>
          <w:tcPr>
            <w:tcW w:w="34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283"/>
              <w:ind w:left="17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5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283"/>
              <w:ind w:left="6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283"/>
              <w:ind w:left="652" w:right="0" w:hanging="0"/>
              <w:jc w:val="left"/>
              <w:rPr>
                <w:color w:val="000000"/>
              </w:rPr>
            </w:pPr>
            <w:r>
              <w:rPr>
                <w:color w:val="000000"/>
              </w:rPr>
              <w:t xml:space="preserve">— </w:t>
            </w:r>
          </w:p>
        </w:tc>
      </w:tr>
      <w:tr>
        <w:trPr/>
        <w:tc>
          <w:tcPr>
            <w:tcW w:w="34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0" w:type="dxa"/>
            <w:tcBorders/>
            <w:shd w:fill="CCEEFF" w:val="clear"/>
            <w:vAlign w:val="center"/>
          </w:tcPr>
          <w:p>
            <w:pPr>
              <w:pStyle w:val="TableContents"/>
              <w:bidi w:val="0"/>
              <w:spacing w:before="0" w:after="283"/>
              <w:ind w:left="176"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51"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9" w:type="dxa"/>
            <w:tcBorders/>
            <w:shd w:fill="CCEEFF" w:val="clear"/>
            <w:vAlign w:val="center"/>
          </w:tcPr>
          <w:p>
            <w:pPr>
              <w:pStyle w:val="TableContents"/>
              <w:bidi w:val="0"/>
              <w:spacing w:before="0" w:after="283"/>
              <w:ind w:left="652"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7" w:type="dxa"/>
            <w:tcBorders/>
            <w:shd w:fill="CCEEFF" w:val="clear"/>
            <w:vAlign w:val="center"/>
          </w:tcPr>
          <w:p>
            <w:pPr>
              <w:pStyle w:val="TableContents"/>
              <w:bidi w:val="0"/>
              <w:spacing w:before="0" w:after="283"/>
              <w:ind w:left="65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 </w:t>
            </w:r>
          </w:p>
        </w:tc>
      </w:tr>
      <w:tr>
        <w:trPr/>
        <w:tc>
          <w:tcPr>
            <w:tcW w:w="340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Outstanding, June 30,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283"/>
              <w:ind w:left="1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11,240,688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7,146,000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283"/>
              <w:ind w:left="65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283"/>
              <w:ind w:left="65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w:t>
            </w:r>
          </w:p>
        </w:tc>
      </w:tr>
      <w:tr>
        <w:trPr/>
        <w:tc>
          <w:tcPr>
            <w:tcW w:w="34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warrants outstanding during the three and six months ended June 30, 2024 (Predecessor).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equity-classified public warrants expire on October 2, 2029 or earlier upon redemption or liquidation and are exercisable for $11.50 per share.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June 30, 2025 (Successor) and December 31, 2024 (Predecessor), the fair value of the private placement warrants is $7,146 and $16,793, respectively, and is presented as a current liability in the condensed consolidated balance sheets. For the three and six months ended June 30, 2025 (Successor), the Company recognized a gain of $3,507 and $9,647, respectively, in Change in fair value of financial liabilities on the condensed consolidated statements of operations and comprehensive income (loss).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WTI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$12,450 and $17,230 as of June 30, 2025 (Successor) and December 31, 2024 (Predecessor), respectively. For the three and six months ended June 30, 2025 (Successor), the Company recognized a gain of $900 and $4,780, respectively, in change in fair value of financial liabilities on the condensed consolidated statements of operations and comprehensive income (loss). The 2024 WTI Warrants expire on March 31, 2035. See Note 4. Fair Value for details on the valuation.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$3,400 as of June 30, 2025 (Successor).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57508x2_424b3_204-finnotes02_pg15"/>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three and six months ended June 30, 2025 (Successor), the Company recognized a loss of $310, in the change in fair value of financial liabilities on the condensed consolidated statements of operations and comprehensive income (loss). The 2025 WTI Warrants expire on March 31, 2035. See Note 4. Fair Value for details on the valuation.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 Stockholders’ Equity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Preferred Stock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25,000,000 shares of preferred stock with a par value of $0.0001 per share.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B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3,000,000 shares of the authorized preferred stock are designated as Series B preferred stock, $0.0001 par value per share (“Series B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three and six months ended June 30, 2025 (Successor), the holders of Series B Preferred Stock exercised their conversion right and converted 1,085,664 shares of Series B Preferred Stock for 2,164,673 shares of Common Stock. Upon conversion, all the converted Series B Preferred Stock shares were canceled and retired.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the Company had a total of 33,144 shares of Series B Preferred Stock issued and outstanding as of June 30, 2025. As of June 30, 2025, the Company accrued $20 for the 8% dividend in the Obligation to issue equity on the condensed consolidated balance sheets.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C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three and six months ended June 30, 2025 (Successor), the holders of Series C Preferred Stock exercised their conversion right and converted 2,735,848 shares of Series C Preferred Stock for 5,471,696 shares of Common Stock. Upon conversion, all the converted Series C Preferred Stock shares were canceled and retired.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Series C Preferred Stock is subject to similar terms and conditions as the Series B Preferred Stock. The Company had a total of 150,000 shares of Series C Preferred Stock issued and outstanding as of June 30, 2025. As of June 30, 2025, the Company accrued $32 for the 8% dividend in the Obligation to issue equity on the condensed consolidated balance sheets.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250,000,000 shares of Common Stock with a par value of $0.0001 per share. Holders of the Company’s Common Stock are entitled to one vote for each share. As of June 30, 2025 there were 55,221,494 shares of Common Stock issued and outstanding.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the SEPA with Yorkville. This agreement became effective concurrently with the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57508x2_424b3_204-finnotes02_pg16"/>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SEPA, the Company issued 473,825 shares of Common Stock to the investors as repayments under the Convertible Debentures referenced in Note 5. Borrowings during the three and six months ended June 30, 2025 (Successor).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three and six months ended June 30, 2025 (Successor), in addition to the Common Stock issuances pursuant to the SEPA made in repayment towards the Convertible Debentures noted above, the Company sold nil and 73,993 shares of Common Stock under the SEPA, raising $— and $931 in cash proceeds, respectively, which is classified within Issuance of common shares, net of issuance costs in the condensed consolidated statements of changes in mezzanine and stockholders’ equity (deficit). As of June 30, 2025, the maximum remaining availability under the SEPA is approximately $70,000.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Service Provider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 Stock-based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Equity and Incentive Compensation Plan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25, 2025, the Company issued 111,525 restricted stock units (“RSUs”) to five directors pursuant to the Innventure Non-Management Director Compensation Plan . The RSUs had a grant date fair value of $600 based on a fair value per unit of $5.38. The fair value of RSUs is determined based on the closing market price of the Company’s Common Stock at the date of the grant.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2025 (Successor), the Company recognized compensation costs related to the RSUs of $6,979 and $10,895, respectively, in the condensed consolidated statements of operations and comprehensive income (loss). As of June 30, 2025, the Company had $12,946 in stock-based compensation expense remaining to be recognized over approximately 1.4 years.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26, 2025, the Company issued 140,000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57508x2_424b3_204-finnotes02_pg17"/>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2025 (Successor), the Company recognized compensation costs related to the stock options of $1,515 and $2,541, respectively, in the condensed consolidated statements of operations and comprehensive income (loss). As of June 30, 2025, the Company had $4,217 in compensation expense remaining to be recognized over approximately 1.6 years.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Appreciation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June 30, 2025 using the Black-Scholes option-pricing model based on an expected volatility of 80%, an expected term of approximately 1.5 years, and risk-free rate of return of 4%. The Company recognized a decrease in compensation expense in the amount of $244 and $693 in relation to the change in fair value of the cash-settled SARs for the three and six months ended June 30, 2025 (Successor),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Subsidiary Equity Plan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Accelsius Subsidiary Equity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2025 (Successor), there were 133,000 Class C units granted under the Accelsius Subsidiary Equity Plan, with a grant date fair value per share of $20.75. During the three and six months ended June 30, 2024 (Predecessor), there were nil and 110,000 Class C units granted, respectively, with a grant date fair value per unit of $— and $4.41,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compensation costs related to the Accelsius Subsidiary Equity Plan of $912 and $1,810 for the three and six months ended June 30, 2025 (Successor) and $248 and $593 for the three and six months ended June 30, 2024 (Predecessor), respectively, in the condensed consolidated statements of operations and comprehensive income (loss). As of June 30, 2025, the Company had $8,457 in unit-based compensation expense remaining to be recognized over approximately 2.21 years.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 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2025 (Successor), the Company recognized income tax benefits of $2,220 and $3,619, respectively. During the three and six months ended June 30, 2024 (Predecessor), no income tax provision or expense was recorded.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and six months ended June 30, 2025 (Successor) was a benefit of 1.58% and 0.92%, respectively, driven primarily by the impact of the goodwill impairment, which is not deductible for tax purposes.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 Net Loss Per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57508x2_424b3_204-finnotes02_pg18"/>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six months ended June 30, 2025 (Successor): </w:t>
      </w:r>
    </w:p>
    <w:tbl>
      <w:tblPr>
        <w:tblW w:w="9635" w:type="dxa"/>
        <w:jc w:val="left"/>
        <w:tblInd w:w="0" w:type="dxa"/>
        <w:tblLayout w:type="fixed"/>
        <w:tblCellMar>
          <w:top w:w="0" w:type="dxa"/>
          <w:left w:w="0" w:type="dxa"/>
          <w:bottom w:w="0" w:type="dxa"/>
          <w:right w:w="0" w:type="dxa"/>
        </w:tblCellMar>
      </w:tblPr>
      <w:tblGrid>
        <w:gridCol w:w="6215"/>
        <w:gridCol w:w="140"/>
        <w:gridCol w:w="140"/>
        <w:gridCol w:w="1520"/>
        <w:gridCol w:w="140"/>
        <w:gridCol w:w="140"/>
        <w:gridCol w:w="1340"/>
      </w:tblGrid>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Numerator: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Innventure, Inc.,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(227,224)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Cumulative earnings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Undistributed loss for participating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rPr>
            </w:pPr>
            <w:r>
              <w:rPr>
                <w:rFonts w:ascii="Times New Roman;Times;serif" w:hAnsi="Times New Roman;Times;serif"/>
                <w:b/>
                <w:color w:val="000000"/>
                <w:sz w:val="20"/>
              </w:rPr>
              <w:t>(84,264)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(227,266)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Undistributed loss attributable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color w:val="000000"/>
                <w:bdr w:val="single" w:sz="8" w:space="2" w:color="000000"/>
              </w:rPr>
            </w:pPr>
            <w:r>
              <w:rPr>
                <w:color w:val="000000"/>
                <w:bdr w:val="single" w:sz="8" w:space="2" w:color="000000"/>
              </w:rPr>
              <w:t xml:space="preserve">—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$(84,264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$(227,266</w:t>
            </w:r>
            <w:r>
              <w:rPr>
                <w:rFonts w:ascii="Times New Roman;Times;serif" w:hAnsi="Times New Roman;Times;serif"/>
                <w:b/>
                <w:color w:val="000000"/>
                <w:sz w:val="20"/>
              </w:rPr>
              <w:t xml:space="preserve">) </w:t>
            </w:r>
          </w:p>
        </w:tc>
      </w:tr>
      <w:tr>
        <w:trPr/>
        <w:tc>
          <w:tcPr>
            <w:tcW w:w="62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Denominator: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number of units outstanding,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52,546,491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49,417,092 </w:t>
            </w:r>
          </w:p>
        </w:tc>
      </w:tr>
      <w:tr>
        <w:trPr/>
        <w:tc>
          <w:tcPr>
            <w:tcW w:w="621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per share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$(1.60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$(4.60</w:t>
            </w:r>
            <w:r>
              <w:rPr>
                <w:rFonts w:ascii="Times New Roman;Times;serif" w:hAnsi="Times New Roman;Times;serif"/>
                <w:b/>
                <w:color w:val="000000"/>
                <w:sz w:val="20"/>
              </w:rPr>
              <w:t>)</w:t>
            </w:r>
          </w:p>
        </w:tc>
      </w:tr>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and diluted net loss per share was the same for each period presented as the inclusion of all potential Common Stock outstanding would have been anti-dilutive.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potential Common Stock outstanding that was excluded from the computation of diluted net loss per share of Common Stock for the periods presented because including them would have been antidilutive: </w:t>
      </w:r>
    </w:p>
    <w:tbl>
      <w:tblPr>
        <w:tblW w:w="5630" w:type="dxa"/>
        <w:jc w:val="left"/>
        <w:tblInd w:w="0" w:type="dxa"/>
        <w:tblLayout w:type="fixed"/>
        <w:tblCellMar>
          <w:top w:w="0" w:type="dxa"/>
          <w:left w:w="0" w:type="dxa"/>
          <w:bottom w:w="0" w:type="dxa"/>
          <w:right w:w="0" w:type="dxa"/>
        </w:tblCellMar>
      </w:tblPr>
      <w:tblGrid>
        <w:gridCol w:w="2210"/>
        <w:gridCol w:w="140"/>
        <w:gridCol w:w="140"/>
        <w:gridCol w:w="1520"/>
        <w:gridCol w:w="140"/>
        <w:gridCol w:w="140"/>
        <w:gridCol w:w="1340"/>
      </w:tblGrid>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11,240,688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11,240,688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Debentures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2,817,200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2,817,200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495,074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26,516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194,062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1,596,702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2,148,001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2,148,001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r>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57508x2_424b3_204-finnotes02_pg19"/>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thereto, which was converted during the three months ended March 31, 2024. During the three months ended June 30, 2025 (Successor), the Company entered into the Related Party Convertible Notes with various related parties, including other lenders.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the ESG Fund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more fully described in Note 2. Accounting Policies in our 2024 Annual Report, the Company earns a 1-2% management fee for administrative, finance and accounting, and other back-office functions from the ESG Fund. Management fees earned from the ESG Fund were $195 and $391 for the three and six months ended June 30, 2025 (Successor), respectively, and $196 and $393 for the three and six months ended June 30, 2024 (Predecessor), respectively, which is recorded as Revenue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AeroFlexx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16.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PCT Guaranty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June 30, 2025 (Successor) and December 31, 2024 (Predecessor), there was no principal outstanding under the guaranty.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Patent Agreement Contingent Fees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30, 2025, Accelsius entered into an amended and restated agreement with a certain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57508x2_424b3_204-finnotes02_pg20"/>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agreements, the Company is required to make fixed installment payments, as disclosed below, for each year of the agreement through December 31, 2040. </w:t>
      </w:r>
    </w:p>
    <w:tbl>
      <w:tblPr>
        <w:tblW w:w="5570" w:type="dxa"/>
        <w:jc w:val="left"/>
        <w:tblInd w:w="0" w:type="dxa"/>
        <w:tblLayout w:type="fixed"/>
        <w:tblCellMar>
          <w:top w:w="0" w:type="dxa"/>
          <w:left w:w="0" w:type="dxa"/>
          <w:bottom w:w="0" w:type="dxa"/>
          <w:right w:w="0" w:type="dxa"/>
        </w:tblCellMar>
      </w:tblPr>
      <w:tblGrid>
        <w:gridCol w:w="4580"/>
        <w:gridCol w:w="140"/>
        <w:gridCol w:w="140"/>
        <w:gridCol w:w="710"/>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4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Years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(excluding the first six months of fiscal year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700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825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9,075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$13,075</w:t>
            </w:r>
          </w:p>
        </w:tc>
      </w:tr>
      <w:tr>
        <w:trPr/>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License and Royalty Commitments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committed to pay a semi-annual fee of $65 until ownership transfers or the Gasification Technology is no longer licensed, which is accrued on a monthly basis. During the three and six months ended June 30, 2025 (Successor), $65 and $33, respectively, related to the Gasification Technology was recognized within General and administrative expense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committed to pay annual royalties based on Refinity-related gross sales and licensing revenue starting in 2025. For the three and six months ended June 30, 2025 (Successor), no royalty payments were made to the third party.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Framework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22, 2025, Refinity entered into the Framework Agreement (“Framework Agreement”) with a third party to obtain research services focusing on the further development and optimization of the Gasification Technology.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six months ended June 30, 2025 (Successor), Refinity incurred €425 and €516, respectively, of service expenses toward the Year 1 minimum fee. After currency conversion, Refinity incurred $526 and $619, respectively, toward the Year 1 minimum fee during the three and six months ended June 30, 2025 (Successor). Additionally, during the three and six months ended June 30, 2025 (Successor), Refinity made payments of $302 on costs incurred as a part of the Year 1 minimum fee.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17. Business Segment Data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Chief Executive Officer is the Chief Operating Decision Maker (“CODM”) of the Company. The CODM makes operating decisions, allocates resources and assesses performance based on review of historical and potential future product sales, operating expenses, and net income (loss).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57508x2_424b3_204-finnotes02_pg21"/>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the Company’s Technology segment for the three and six months ended June 30, 2025 (Successor) and the three and six months ended June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8135" w:type="dxa"/>
        <w:jc w:val="left"/>
        <w:tblInd w:w="0" w:type="dxa"/>
        <w:tblLayout w:type="fixed"/>
        <w:tblCellMar>
          <w:top w:w="0" w:type="dxa"/>
          <w:left w:w="0" w:type="dxa"/>
          <w:bottom w:w="0" w:type="dxa"/>
          <w:right w:w="0" w:type="dxa"/>
        </w:tblCellMar>
      </w:tblPr>
      <w:tblGrid>
        <w:gridCol w:w="2660"/>
        <w:gridCol w:w="140"/>
        <w:gridCol w:w="140"/>
        <w:gridCol w:w="1085"/>
        <w:gridCol w:w="140"/>
        <w:gridCol w:w="140"/>
        <w:gridCol w:w="1085"/>
        <w:gridCol w:w="140"/>
        <w:gridCol w:w="140"/>
        <w:gridCol w:w="1085"/>
        <w:gridCol w:w="140"/>
        <w:gridCol w:w="140"/>
        <w:gridCol w:w="1100"/>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254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26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3,045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3,517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7,804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5,330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Facilities, equipment &amp; supplies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840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3,235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809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3,678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8,023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1,343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432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317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491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(2,645)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113,344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346,557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1,750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$122,761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$4,309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$367,075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$10,437 </w:t>
            </w:r>
          </w:p>
        </w:tc>
      </w:tr>
      <w:tr>
        <w:trPr/>
        <w:tc>
          <w:tcPr>
            <w:tcW w:w="26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$(122,507</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$(4,309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$(366,816</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$(10,437</w:t>
            </w:r>
            <w:r>
              <w:rPr>
                <w:rFonts w:ascii="Times New Roman;Times;serif" w:hAnsi="Times New Roman;Times;serif"/>
                <w:b/>
                <w:color w:val="000000"/>
                <w:sz w:val="20"/>
              </w:rPr>
              <w:t>)</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depreciation expense not already included in Cost of sales. </w:t>
            </w:r>
          </w:p>
        </w:tc>
      </w:tr>
    </w:tbl>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 change in fair value of financial liabilities, loss on conversion of promissory notes, travel and other miscellaneous expenses.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reconciles the reportable segment to amounts reflected in our condensed consolidated financial statements. </w:t>
      </w:r>
    </w:p>
    <w:tbl>
      <w:tblPr>
        <w:tblW w:w="10205" w:type="dxa"/>
        <w:jc w:val="left"/>
        <w:tblInd w:w="0" w:type="dxa"/>
        <w:tblLayout w:type="fixed"/>
        <w:tblCellMar>
          <w:top w:w="0" w:type="dxa"/>
          <w:left w:w="0" w:type="dxa"/>
          <w:bottom w:w="0" w:type="dxa"/>
          <w:right w:w="0" w:type="dxa"/>
        </w:tblCellMar>
      </w:tblPr>
      <w:tblGrid>
        <w:gridCol w:w="4785"/>
        <w:gridCol w:w="140"/>
        <w:gridCol w:w="140"/>
        <w:gridCol w:w="1066"/>
        <w:gridCol w:w="140"/>
        <w:gridCol w:w="140"/>
        <w:gridCol w:w="1076"/>
        <w:gridCol w:w="140"/>
        <w:gridCol w:w="140"/>
        <w:gridCol w:w="1066"/>
        <w:gridCol w:w="140"/>
        <w:gridCol w:w="140"/>
        <w:gridCol w:w="1092"/>
      </w:tblGrid>
      <w:tr>
        <w:trPr/>
        <w:tc>
          <w:tcPr>
            <w:tcW w:w="4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2"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8" w:type="dxa"/>
            <w:gridSpan w:val="4"/>
            <w:tcBorders/>
            <w:vAlign w:val="center"/>
          </w:tcPr>
          <w:p>
            <w:pPr>
              <w:pStyle w:val="TableContents"/>
              <w:bidi w:val="0"/>
              <w:spacing w:before="0" w:after="0"/>
              <w:jc w:val="left"/>
              <w:rPr/>
            </w:pPr>
            <w:r>
              <w:rPr/>
              <w:t>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0"/>
              <w:jc w:val="center"/>
              <w:rPr>
                <w:color w:val="000000"/>
              </w:rPr>
            </w:pPr>
            <w:r>
              <w:rPr>
                <w:color w:val="000000"/>
              </w:rPr>
              <w:t> </w:t>
            </w:r>
          </w:p>
        </w:tc>
      </w:tr>
      <w:tr>
        <w:trPr/>
        <w:tc>
          <w:tcPr>
            <w:tcW w:w="4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501 </w:t>
            </w:r>
          </w:p>
        </w:tc>
      </w:tr>
      <w:tr>
        <w:trPr/>
        <w:tc>
          <w:tcPr>
            <w:tcW w:w="478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management services provided to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(54</w:t>
            </w:r>
            <w:r>
              <w:rPr>
                <w:rFonts w:ascii="Times New Roman;Times;serif" w:hAnsi="Times New Roman;Times;serif"/>
                <w:color w:val="000000"/>
                <w:sz w:val="20"/>
              </w:rPr>
              <w:t xml:space="preserve">) </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$447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r>
      <w:tr>
        <w:trPr/>
        <w:tc>
          <w:tcPr>
            <w:tcW w:w="4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57508x2_424b3_204-finnotes02_pg22"/>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tbl>
      <w:tblPr>
        <w:tblW w:w="10055" w:type="dxa"/>
        <w:jc w:val="left"/>
        <w:tblInd w:w="0" w:type="dxa"/>
        <w:tblLayout w:type="fixed"/>
        <w:tblCellMar>
          <w:top w:w="0" w:type="dxa"/>
          <w:left w:w="0" w:type="dxa"/>
          <w:bottom w:w="0" w:type="dxa"/>
          <w:right w:w="0" w:type="dxa"/>
        </w:tblCellMar>
      </w:tblPr>
      <w:tblGrid>
        <w:gridCol w:w="4580"/>
        <w:gridCol w:w="140"/>
        <w:gridCol w:w="140"/>
        <w:gridCol w:w="1085"/>
        <w:gridCol w:w="140"/>
        <w:gridCol w:w="140"/>
        <w:gridCol w:w="1085"/>
        <w:gridCol w:w="140"/>
        <w:gridCol w:w="140"/>
        <w:gridCol w:w="1085"/>
        <w:gridCol w:w="140"/>
        <w:gridCol w:w="140"/>
        <w:gridCol w:w="1100"/>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491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99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$2,937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$4,699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$590 </w:t>
            </w:r>
          </w:p>
        </w:tc>
      </w:tr>
      <w:tr>
        <w:trPr/>
        <w:tc>
          <w:tcPr>
            <w:tcW w:w="4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142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$142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5,629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458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Consolidated Depreciation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$11,182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$69 </w:t>
            </w:r>
          </w:p>
        </w:tc>
      </w:tr>
      <w:tr>
        <w:trPr/>
        <w:tc>
          <w:tcPr>
            <w:tcW w:w="4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$(122,508)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$(366,817)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$(10,437)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(18,767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(7,005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(28,132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(8,403</w:t>
            </w:r>
            <w:r>
              <w:rPr>
                <w:rFonts w:ascii="Times New Roman;Times;serif" w:hAnsi="Times New Roman;Times;serif"/>
                <w:color w:val="000000"/>
                <w:sz w:val="20"/>
              </w:rPr>
              <w:t xml:space="preserve">)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$(141,275</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$(11,314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$(394,949</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$(18,840</w:t>
            </w:r>
            <w:r>
              <w:rPr>
                <w:rFonts w:ascii="Times New Roman;Times;serif" w:hAnsi="Times New Roman;Times;serif"/>
                <w:b/>
                <w:color w:val="000000"/>
                <w:sz w:val="20"/>
              </w:rPr>
              <w:t xml:space="preserve">)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706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$706</w:t>
            </w:r>
          </w:p>
        </w:tc>
      </w:tr>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long-lived assets are located entirely in the United States. Segment assets are not reviewed by the CODM and therefore are not disclosed.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 Subsequent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preparation of the condensed consolidated financial statements and related disclosures for the period ended June 30, 2025, management has evaluated events through August 14, 2025, which is the date the condensed consolidated financial statements were available to be issued. Events occurring after June 30, 2025 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and August 2025, pursuant to the SEPA, the Company issued a total of 471,812 shares of Common Stock to Yorkville as repayments towards the Convertible Debentures referenced in Note 5. Borrowings. The repayments totaled $2,500, comprised of a principal amount of $2,381 and an $119 payment premium on the Convertible Debentures.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1, 2025, the Company entered into a Term Convertible Note with a related party for a principal amount of $5,000, on substantially the same terms and conditions as the Term Convertible Notes referenced in Note 5. Borrowings, including the maturity and interest rate.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19, 2025, the Company amended and restated the Accelsius Subsidiary Equity Plan. The Class C units available to be issued under the Accelsius Subsidiary Equity Plan was increased to 4,565,000.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21, 2025, the Company authorized the issuance of an additional 915,000 Class C Units under the Accelsius Subsidiary Equity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57508x2_424b3_204-finnotes02_pg23"/>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Innventure,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and August 2025, the Company issued an aggregate 5,000 shares of Common Stock to a third party for services in respect of public relations and investor communications.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12, 2025, Accelsius entered into unsecured convertible promissory notes with two parties, for an aggregate principal amount of $2,100. The unsecured convertible promissory notes bear interest at the rate of 6.5% per annum on the principal amount and is repayable on demand by the lenders on or after the two-year anniversary of the issuance date. However, the unsecured convertible promissory notes are subordinated in right of payment to the prior payment in full in cash or conversion, as applicable, of the WTI Facility, the Convertible Debentures, the Term Convertible Notes, the Related Party Convertible Notes and the indebtedness of Accelsius owed to Innventure LLC (together, the “Senior Indebtedness”) referenced in Note 5. Borrowings. Although the Company has the right to prepay these notes at any time without premium or penalty, the lenders will not demand repayment, and the Company will not repay the amounts due under these notes as long as any portion of the Senior Indebtedness remains outstanding.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unsecured convertible promissory notes are automatically convertible, after the first future preferred equity issuance by Accelsius, raising at least $5,000 in gross cash proceeds from unaffiliated investors (the “Next Funding Round”), into the units of the same series sold in the Next Funding Round at a price per unit equal to 80% of the price per unit in such Next Funding Round. Concurrently with the conversion, the Company will issue warrants to the lenders exercisable for Accelsius’ units of the same series sold in the Next Funding Round. These warrants will be exercisable for 0.5 units for every 1 unit that is issued as part of the conversion. The exercise price for the warrants will be set at 120% of the price the units in the Next Funding Round are sold. </w:t>
      </w:r>
    </w:p>
    <w:p>
      <w:pPr>
        <w:pStyle w:val="TextBody"/>
        <w:bidi w:val="0"/>
        <w:spacing w:before="120" w:after="283"/>
        <w:ind w:left="0" w:right="0" w:hanging="0"/>
        <w:jc w:val="left"/>
        <w:rPr>
          <w:rFonts w:ascii="Times New Roman;Times;serif" w:hAnsi="Times New Roman;Times;serif"/>
          <w:color w:val="000000"/>
          <w:sz w:val="20"/>
        </w:rPr>
      </w:pPr>
      <w:bookmarkStart w:id="225" w:name="tFSU"/>
      <w:bookmarkEnd w:id="225"/>
      <w:r>
        <w:rPr>
          <w:rFonts w:ascii="Times New Roman;Times;serif" w:hAnsi="Times New Roman;Times;serif"/>
          <w:color w:val="000000"/>
          <w:sz w:val="20"/>
        </w:rPr>
        <w:t xml:space="preserve">On August 14, 2025, the Board approved the accelerated vesting of 46,875 unvested Class C units, which were granted to a related party in 2024 pursuant to the Accelsius Subsidiary Equity Plan. The Company recognized the remaining stock-based compensation expense of $189 based on the acceleration.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107986</Words>
  <Characters>596672</Characters>
  <CharactersWithSpaces>713027</CharactersWithSpaces>
  <Paragraphs>20063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