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500"/>
        <w:spacing w:after="0"/>
        <w:rPr>
          <w:sz w:val="20"/>
          <w:szCs w:val="20"/>
          <w:color w:val="auto"/>
        </w:rPr>
      </w:pPr>
      <w:r>
        <w:rPr>
          <w:rFonts w:ascii="Times New Roman" w:cs="Times New Roman" w:eastAsia="Times New Roman" w:hAnsi="Times New Roman"/>
          <w:sz w:val="14"/>
          <w:szCs w:val="14"/>
          <w:color w:val="auto"/>
        </w:rPr>
        <w:t>SIDLEY AUSTIN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985520" cy="257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5520" cy="257175"/>
                    </a:xfrm>
                    <a:prstGeom prst="rect">
                      <a:avLst/>
                    </a:prstGeom>
                    <a:noFill/>
                  </pic:spPr>
                </pic:pic>
              </a:graphicData>
            </a:graphic>
          </wp:anchor>
        </w:drawing>
      </w:r>
    </w:p>
    <w:p>
      <w:pPr>
        <w:ind w:left="4500"/>
        <w:spacing w:after="0" w:line="226" w:lineRule="auto"/>
        <w:rPr>
          <w:sz w:val="20"/>
          <w:szCs w:val="20"/>
          <w:color w:val="auto"/>
        </w:rPr>
      </w:pPr>
      <w:r>
        <w:rPr>
          <w:rFonts w:ascii="Times New Roman" w:cs="Times New Roman" w:eastAsia="Times New Roman" w:hAnsi="Times New Roman"/>
          <w:sz w:val="14"/>
          <w:szCs w:val="14"/>
          <w:color w:val="auto"/>
        </w:rPr>
        <w:t>787 SEVENTH AVENUE</w:t>
      </w:r>
    </w:p>
    <w:p>
      <w:pPr>
        <w:ind w:left="4500"/>
        <w:spacing w:after="0" w:line="222" w:lineRule="auto"/>
        <w:rPr>
          <w:sz w:val="20"/>
          <w:szCs w:val="20"/>
          <w:color w:val="auto"/>
        </w:rPr>
      </w:pPr>
      <w:r>
        <w:rPr>
          <w:rFonts w:ascii="Times New Roman" w:cs="Times New Roman" w:eastAsia="Times New Roman" w:hAnsi="Times New Roman"/>
          <w:sz w:val="14"/>
          <w:szCs w:val="14"/>
          <w:color w:val="auto"/>
        </w:rPr>
        <w:t>NEW YORK, NY 10019</w:t>
      </w:r>
    </w:p>
    <w:p>
      <w:pPr>
        <w:ind w:left="4500"/>
        <w:spacing w:after="0" w:line="221" w:lineRule="auto"/>
        <w:rPr>
          <w:sz w:val="20"/>
          <w:szCs w:val="20"/>
          <w:color w:val="auto"/>
        </w:rPr>
      </w:pPr>
      <w:r>
        <w:rPr>
          <w:rFonts w:ascii="Times New Roman" w:cs="Times New Roman" w:eastAsia="Times New Roman" w:hAnsi="Times New Roman"/>
          <w:sz w:val="14"/>
          <w:szCs w:val="14"/>
          <w:color w:val="auto"/>
        </w:rPr>
        <w:t>+1 212 839 5300</w:t>
      </w:r>
    </w:p>
    <w:p>
      <w:pPr>
        <w:ind w:left="4500"/>
        <w:spacing w:after="0"/>
        <w:rPr>
          <w:sz w:val="20"/>
          <w:szCs w:val="20"/>
          <w:color w:val="auto"/>
        </w:rPr>
      </w:pPr>
      <w:r>
        <w:rPr>
          <w:rFonts w:ascii="Times New Roman" w:cs="Times New Roman" w:eastAsia="Times New Roman" w:hAnsi="Times New Roman"/>
          <w:sz w:val="14"/>
          <w:szCs w:val="14"/>
          <w:color w:val="auto"/>
        </w:rPr>
        <w:t>+1 212 839 5599 FAX</w:t>
      </w:r>
    </w:p>
    <w:p>
      <w:pPr>
        <w:spacing w:after="0" w:line="120"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4"/>
          <w:szCs w:val="14"/>
          <w:color w:val="auto"/>
        </w:rPr>
        <w:t>AMERICA • ASIA PACIFIC • EUROPE</w:t>
      </w:r>
    </w:p>
    <w:p>
      <w:pPr>
        <w:spacing w:after="0" w:line="20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5, 2024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 SUBMISSION</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Attn: William Demarest</w:t>
      </w:r>
    </w:p>
    <w:p>
      <w:pPr>
        <w:spacing w:after="0" w:line="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Wilson Lee</w:t>
      </w:r>
    </w:p>
    <w:p>
      <w:pPr>
        <w:spacing w:after="0" w:line="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Robert Arzonetti</w:t>
      </w:r>
    </w:p>
    <w:p>
      <w:pPr>
        <w:spacing w:after="0" w:line="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Susan Block</w:t>
      </w:r>
    </w:p>
    <w:p>
      <w:pPr>
        <w:spacing w:after="0" w:line="203" w:lineRule="exact"/>
        <w:rPr>
          <w:sz w:val="24"/>
          <w:szCs w:val="24"/>
          <w:color w:val="auto"/>
        </w:rPr>
      </w:pPr>
    </w:p>
    <w:p>
      <w:pPr>
        <w:ind w:left="46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Learn SPAC HoldCo, Inc.</w:t>
      </w:r>
    </w:p>
    <w:p>
      <w:pPr>
        <w:spacing w:after="0" w:line="31"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(File No. 333-276714)</w:t>
      </w:r>
    </w:p>
    <w:p>
      <w:pPr>
        <w:spacing w:after="0" w:line="9"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Response to Letter, dated as of September 5, 2024</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behalf of Learn SPAC HoldCo, Inc. (the “Company”), we transmit herewith a response to the comment of the staff (the “Staff”) of the Division of Corporation Finance of the Securities and Exchange Commission (the “Commission”) contained in the Staff’s letter dated September 5, 2024 (the “Letter”). For ease of reference, the numbered paragraph below corresponds to the numbered comment in the Letter, with the Staff’s comment presented in bold font type. The response below follows the sequentially numbered comment from the Letter.</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225" w:lineRule="exact"/>
        <w:rPr>
          <w:sz w:val="24"/>
          <w:szCs w:val="24"/>
          <w:color w:val="auto"/>
        </w:rPr>
      </w:pPr>
    </w:p>
    <w:p>
      <w:pPr>
        <w:jc w:val="both"/>
        <w:ind w:left="660" w:hanging="328"/>
        <w:spacing w:after="0" w:line="257" w:lineRule="auto"/>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staff of the Division of Investment Management has informed us that it has no further comments regarding the Investment Company Act status analyses presented in your correspondence, but it wishes to remind you that it does not necessarily agree or disagree with certain aspects of the analysis presented in your responses regarding Innventure’s Investment Company Act status, including but not necessarily limited to (i) your views with respect to the activities not encompassed within the term “investing” as that term is used in section 3(a)(1)(A) and (ii) your characterization of certain assets as non-securities. Please acknowledge your understanding of the foregoing in your response letter.</w:t>
      </w:r>
    </w:p>
    <w:p>
      <w:pPr>
        <w:spacing w:after="0" w:line="18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its understanding of the Comment.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Page 2</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you have any questions regarding the foregoing, please contact the undersigned at (212) 839-5430 or John Stribling of Sidley Austin LLP at (713) 495-4673.</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David 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David Ni</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Sidley Austin LLP</w:t>
      </w:r>
    </w:p>
    <w:p>
      <w:pPr>
        <w:spacing w:after="0" w:line="207" w:lineRule="exact"/>
        <w:rPr>
          <w:sz w:val="20"/>
          <w:szCs w:val="20"/>
          <w:color w:val="auto"/>
        </w:rPr>
      </w:pPr>
    </w:p>
    <w:p>
      <w:pPr>
        <w:ind w:left="460" w:right="7640" w:hanging="452"/>
        <w:spacing w:after="0" w:line="261"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Hutter, Learn SPAC HoldCo, Inc. Josh DuClos, Sidley Austin LLP</w:t>
      </w:r>
    </w:p>
    <w:p>
      <w:pPr>
        <w:ind w:left="460" w:right="81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Stribling, Sidley Austin LLP Joel May, Jones Day</w:t>
      </w: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Short, Jones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60"/>
      </w:cols>
      <w:pgMar w:left="320" w:top="12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2024-10-08T23:09:52Z</dcterms:created>
  <dcterms:modified xsi:type="dcterms:W3CDTF">2024-10-08T23:09:52Z</dcterms:modified>
</cp:coreProperties>
</file>