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October 9,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October 30, 2024, the closing price of our Common Stock was $10.90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406400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 2024</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35560</wp:posOffset>
            </wp:positionV>
            <wp:extent cx="43459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5940" cy="1714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001-42303</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1"/>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Orlando, Florida</w:t>
            </w:r>
          </w:p>
        </w:tc>
        <w:tc>
          <w:tcPr>
            <w:tcW w:w="11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34"/>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11755 Wilshire Boulevard, Suite 2320, Los Angeles, CA 90025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41"/>
        </w:trPr>
        <w:tc>
          <w:tcPr>
            <w:tcW w:w="57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of each class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5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80" w:type="dxa"/>
            <w:vAlign w:val="bottom"/>
          </w:tcPr>
          <w:p>
            <w:pPr>
              <w:spacing w:after="0"/>
              <w:rPr>
                <w:sz w:val="20"/>
                <w:szCs w:val="20"/>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0"/>
          <w:szCs w:val="20"/>
          <w:color w:val="auto"/>
        </w:rPr>
      </w:pPr>
    </w:p>
    <w:p>
      <w:pPr>
        <w:jc w:val="both"/>
        <w:ind w:right="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(“Innventure”), consummated the previously announced Business Combination (as defined below)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and, together with LCW Merger Sub, the “Merger Subs”). Following the closing of the Business Combination, each of Learn CW and Innventure are subsidiaries of Holdco, and Holdco became a publicly traded company. At the closing of the Business Combination, Holdco changed its name to “Innventure, Inc.” (“INV”).</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in this Current Report on Form 8-K, unless otherwise stated or the context clearly indicates otherwise, the terms the “Registrant,” “Company,” “INV,” “we,” “us,” and “our” refer to Innventure, Inc. and its subsidiaries at and after the Closing Date and giving effect to the consummation of the Business Combination (the “Closing”), the term “Holdco” refers to Innventure, Inc. prior to the Closing Date and without giving effect to the Closing and the term “Innventure” refers to Innventure LLC prior to the Closing Date and without giving effect to the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Item 2.01 of this Current Report on Form 8-K discusses the consummation of the Business Combination and various other transactions and events contemplated by the Business Combination Agreement (as defined below), which took place on the Closing Date, and is incorporated herein by reference. In addition, the information contained in Holdco’s registration statement on Form S-4 (File No. 333-276714) initially filed with the Securities and Exchange Commission (the “Commission”) on January 26, 2024 (as amended, the “Form S-4”) under the headings “Summary of the Proxy Statement/Consent Solicitation Statement/Prospectus—Related Agreements,” “Management’s Discussion and Analysis of Financial Condition and Results of Operations of Innventure,” and “Executive and Director Compensation of Innventure”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extraordinary general meeting of the Learn CW shareholders was held on September 30, 2024 (the “Extraordinary General Meeting”), where the Learn CW shareholders considered and approved, among other matters, a proposal to adopt a business combination agreement by and among Learn CW, Innventure, Holdco, and the Merger Subs (the “Business Combination Agreement”), which provided for, among other things, the following mergers:</w:t>
      </w:r>
    </w:p>
    <w:p>
      <w:pPr>
        <w:spacing w:after="0" w:line="176" w:lineRule="exact"/>
        <w:rPr>
          <w:sz w:val="20"/>
          <w:szCs w:val="20"/>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LCW Merger Sub merged with and into Learn CW (the “LCW Merger”), with Learn CW as the surviving company of the LCW Merger (the “Surviving LCW Company”);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Merger Sub merged with and into Innventure (the “Innventure Merger” and, together with the LCW Merger, the “Mergers), with Innventure as the surviving entity of the Innventure Merger (the consummation of the Mergers and the other transactions contemplated by the Business Combination Agreement are referred to herein as the “Business Combination”).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terms and conditions of the Business Combination Agreement and related agreements are described under the heading “Shareholder Proposal No. 1––The Business Combination Proposal” in the definitive proxy statement/consent solicitation statement/prospectus (the “Definitive Proxy Statement”) filed with the Commission on September 10, 2024 by Learn CW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description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At the effective time of the LCW Merger (the “LCW Merger Effective Time”), each Learn CW Class A Ordinary Share (as defined in the Definitive Proxy Statement) issued and outstanding immediately prior to the LCW Merger Effective Time (other than shares to be canceled in accordance with the Business Combination Agreement and any Redemption Shares (as defined in the Definitive Proxy Statement)) were automatically converted into the right to receive one share of Company common stock, par value $0.0001 (“Common Stock”). Each Learn CW Warrant (as defined in the Definitive Proxy Statement) that was outstanding immediately prior to the LCW Merger Effective Time entitles the holders thereof to acquire such number of Learn CW Class A Ordinary Shares per Learn CW Warrant that such holder was entitled to acquire pursuant to the terms and conditions of the warrant agreement, dated as of October 12, 2021 (the “Warrant Agreement”), by and between Learn CW and American Stock Transfer &amp; Trust Company, LLC, a New York limited liability company now known as Equiniti Trust Company, LLC (“Equiniti”). At the effective time of the LCW Merger, pursuant to the Warrant Assumption Agreement, dated October 2, 2024 (the “Warrant Assumption Agreement”), by and among Holdco, Learn CW and Equiniti, the Learn CW Warrants, pursuant to their terms, were converted into warrants to acquire, subject to substantially the same terms and conditions as were applicable under the applicable Learn CW Warrants, the number of shares of Common Stock equal to the number of Learn CW Ordinary Shares for which such Learn CW Warrant would have been exercisable (as assumed, the “Warrants”). This summary is qualified in its entirety by reference to the text of the Warrant Agreement and the Warrant Assumption Agreement, which are included as Exhibits 10.1 and 10.2, respectively, to this Current Report on Form 8-K and are incorporated herein by reference.</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effective time of the Innventure Merger (the “Innventure Merger Effective Time”), the Innventure Units (other than the Class PCTA Units and the Class I Units and other than units to be cancelled in accordance with the Business Combination Agreement) and Class B Preferred Warrants issued and outstanding immediately prior to the Innventure Merger Effective Time were converted into the right to receive a number of shares of Common Stock equal to the Merger Consideration, allocated among the holders of Innventure Units (other than the Class PCTA Units and the Class I Units and other than units to be cancelled in accordance with the Business Combination Agreement) and Class B Preferred Warrants in accordance with the Business Combination Agreement (terms used as defined in the Definitive Proxy Statement).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Extraordinary General Meeting, holders of 8,310,747 shares of Learn CW public shares sold in its initial public offering (the “public shares”) exercised their rights to convert such shares to cash at a conversion price of approximately $11.04 per share, or an aggregate of approximately $91.7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consideration (the “Merger Consideration”) paid to the Innventure Members (as defined in the Definitive Proxy Statement) consisted of 43,490,268 shares of Common Stock. A portion of this Merger Consideration will be delivered to Innventure Members in the form of a contingent right to receive up to 5,000,000 shares of Common Stock (the “Company Earnout Shares”), which shares were subject to the following milestone conditions (collectively, the “Milestone Conditions”):</w:t>
      </w:r>
    </w:p>
    <w:p>
      <w:pPr>
        <w:spacing w:after="0" w:line="180" w:lineRule="exact"/>
        <w:rPr>
          <w:sz w:val="20"/>
          <w:szCs w:val="20"/>
          <w:color w:val="auto"/>
        </w:rPr>
      </w:pPr>
    </w:p>
    <w:p>
      <w:pPr>
        <w:jc w:val="both"/>
        <w:ind w:left="1300" w:hanging="320"/>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Accelsius, Inc. having entered into binding contracts providing for revenue for the Company Group (as defined in the Business Combination Agreement) within seven years following the Closing (the “Vesting Period”) in excess of $15 million in revenue;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Company Earnout Shares will be issuable upon the Company’s formation of a new subsidiary, in partnership with a Multi-National Company (as defined in the Business Combination Agreement), as determined using the Company’s “DownSelect” process, within the Vesting Period;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Company Earnout Shares will be issuable upon AeroFlexx, LLC having received in excess of $15 million revenue within the Vesting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text of the Business Combination Agreement, which is included as Exhibit 2.1 to this Current Report on Form 8-K and is incorporated herein by reference.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44,602,673 shares of Common Stock and 18,646,000 Warrants issued and outstanding. Upon the Closing, the Learn CW Ordinary Shares were delisted from the Nasdaq Global Market (“Nasdaq”), and the Company’s shares of Common Stock began trading on Nasdaq under the symbol “INV”. As of the Closing, the Innventure Members owned approximately 86.3% of the Company’s outstanding shares of Common Stock, and the former shareholders of Learn CW (including the Sponsor (as defined below) and the Learn CW independent directors) owned approximately 13.7% of the Company’s outstanding shares of Common Stock (terms used as defined and used in the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8,310,747 Learn CW Class A Ordinary Shares elected to redeem their Learn CW Class A Ordinary Shares and received approximately $11.04 per share redeemed, or approximately $91.7 million in the aggregate, from the Trust Account (as defined in the Proxy Statement) established at the consummation of Learn CW’s initial public offering (the “Trust Account”), which had a balance immediately prior to the Closing of approximately $103.1 million. Following the payment of redemptions, Learn CW had approximately $11.3 million of available cash for disbursement in connection with the Business Combination. Of these funds, all of the approximately $11.3 million was used to pay certain transaction expenses in accordance with the Business Combination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Amended &amp; Restated Registration Rights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Closing, the Company, CWAM LC Sponsor LLC, a Delaware limited liability company (the “Sponsor”), and certain other holders of shares of Common Stock entered into the Amended &amp; Restated Registration Rights Agreement (the “Registration Rights Agreement”). The Registration Rights Agreement provides these holders (and their permitted transferees) with the right to require the Company, at the Company’s expense, to register the Common Stock that they hold, on customary terms, including customary demand and piggyback registration rights. The Registration Rights Agreement also provides that the Company pay certain expenses of the electing holders relating to such registration and indemnify them against liabilities that may arise under the Securities Act of 1933, as amended (the “Securities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and the information incorporated herein by reference is qualified in its entirety by reference to the text of the Registration Rights Agreement, which is included as Exhibit 10.3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Amended &amp; Restated Investor Rights Agreement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Closing, the Company, certain Innventure Members (the “Founding Investors”) and other parties entered into the Amended</w:t>
      </w:r>
    </w:p>
    <w:p>
      <w:pPr>
        <w:spacing w:after="0" w:line="27" w:lineRule="exact"/>
        <w:rPr>
          <w:sz w:val="20"/>
          <w:szCs w:val="20"/>
          <w:color w:val="auto"/>
        </w:rPr>
      </w:pPr>
    </w:p>
    <w:p>
      <w:pPr>
        <w:jc w:val="both"/>
        <w:ind w:firstLine="8"/>
        <w:spacing w:after="0" w:line="260" w:lineRule="auto"/>
        <w:tabs>
          <w:tab w:leader="none" w:pos="1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Restated Investor Rights Agreement (the “Investor Rights Agreement”). Pursuant to the Investor Rights Agreement, the Company agreed to grant the Founding Investors certain rights with respect to nomination of the directors of the Company’s board of directors (the “Board”), as further described below.</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76" w:lineRule="exact"/>
        <w:rPr>
          <w:sz w:val="20"/>
          <w:szCs w:val="20"/>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 so long as the Founding Investors beneficially own at least 5%, but less than 20%, of the outstanding common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At the time of the Closing, the Founding Investors will have the right to nominate for election to the Board four (4) Founding Investor Nominees.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Investor Rights Agreement is qualified in its entirety by reference to the text of the Investor Rights Agreement, which is included as Exhibit 10.4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connection with the execution of the Business Combination Agreement, Learn CW, Innventure and the Sponsor entered into a Sponsor Support Agreement, which was subsequently modified by the previously disclosed Side Letter (the “SSA Side Letter”) entered into on September 24, 2024 by and among Learn CW, Innventure, Holdco, LCW Merger Sub and Innventure Merger Sub (as modified, the “Sponsor Support Agreement”). Pursuant to the Sponsor Support Agreement, at the Closing (i) the Sponsor forfeited 750,000 Learn CW Class B Ordinary Shares (as defined in the Definitive Proxy Statement); (ii) the Sponsor received 1,880,000 At Risk Holdco Shares (as defined in the Sponsor Support Agreement) which are subject to forfeiture to the extent the Additional Funds (as defined in the Sponsor Support Agreement) are less than $50 million (before financing fees and transaction expenses) as further described in the Sponsor Support Agreement as modified by the SSA Side Letter; and (iii) the Sponsor received an additional approximately 344,866 shares of Common Stock at the Closing (the “Sponsor Earnout Shares”), which are subject to vesting and forfeiture conditions following the Closing.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Sponsor Earnout Shares will vest upon the achievement of the Milestones (as defined in the Sponsor Support Agreement), and will also be deemed vested if, prior to the expiration of the Vesting Period, there is (i) a Change of Control (as defined in the Business Combination Agreement) of the Company or (ii) VWAP Completion Event. If the Sponsor Earnout Shares shall not have vested pursuant to the foregoing prior to the expiration of the Vesting Period, the Sponsor Earnout Shares shall be deemed forfeited by the Sponsor and be cancelled by the Company for no further consideration. Pursuant to the previously disclosed SSA Side Letter, the VWAP Completion Event (as defined in the Sponsor Support Agreement) is deemed to have been satisfied in full with respect to the retained At Risk Sponsor Shares.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Sponsor Support Agreement is qualified in its entirety by reference to the text of the Sponsor Support Agreement, which is included as Exhibit 10.5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Member Support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Innventure Members entered into a Member Support Agreement (the “Member Support Agreement”) with Learn CW, HoldCo, and Innventure, pursuant to which such Innventure Members agreed to, among other things, (i) vote in favor of the Business Combination Agreement and the transactions contemplated thereby, (ii) be subject to a 180-day lock-up period following the Closing with respect to any shares of Holdco Common Stock received as consideration in the Transaction and (iii) be bound by certain other covenants and agreements related to the Transactions.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Waiver and Consent entered into on October 2, 2024, by and among, Learn CW, Holdco and Innventure (the “Waiver and Consent”), each of Learn CW and Holdco agreed to waive the Member Support Agreement lock-up with respect to 10% of the shares of Common Stock received by the Innventure Members (excluding all directors and officers or expected directors and officers of the Company, Innventure or their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each of the Member Support Agreement and Waiver and Consent is qualified in its entirety by reference to the text of the Sponsor Support Agreement and Waiver and Consent, which are included as Exhibit 10.6 and Exhibit 10.10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Closing, the Company entered into indemnification agreements with each of its directors and executive officers. Each indemnification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indemnification agreements is qualified in its entirety by reference to the text of the indemnification agreements, a form of which is included as Exhibit 10.7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Innventure, Inc. 2024 Equity and Incentive Compensation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Extraordinary General Meeting, the shareholders of Learn CW adopted and approved the Innventure, Inc. 2024 Equity and Incentive Compensation Plan (the “Equity Plan”). The purpose of the Equity Plan is to allow the Company to provide cash awards and equity-based compensation in the form of stock options, stock appreciation rights, restricted stock, restricted stock units, performance shares, performance units, dividend equivalents, and certain other awards, including those denominated or payable in, or otherwise based on, shares of Common Stock, for the purpose of providing incentives and rewards for service and/or performance to the Company’s non-employee directors, as well as officers, employees and certain consultants of the Company and its subsidiaries. The material features of the Equity Plan are described in the Form S-4 under the heading “Shareholder Proposal No. 4 – The Equity Plan Proposal” beginning on page 122, and such description is incorporated herein by reference.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summary and the information incorporated herein by reference is qualified in its entirety by reference to the text of the Equity Plan, which is included as Exhibit 10.8 to this Current Report on Form 8-K and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Commonwealth Asset Management LP (together with its assignee, “CWAM LP”), pursuant to which Holdco agreed to issue and sell to CWAM LP an aggregate of 750,000 shares of HoldCo’s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CWAM LC Sponsor LLC, Learn CW’s Sponsor.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27, 2024, HoldCo entered into an investment agreement, substantially in the same form as the investment agreement entered into with CWAM LP (collectively, the “Series B Investment Agreements”), with certain purchasers (together with CWAM LP, the “Series B Investors”), pursuant to which HoldCo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Holdco sold, in total, 1,102,000 shares of Series B Preferred Stock providing Holdco with approximately $11.0 million of gross proceeds before deducting fees and other estimated offering expenses.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 parties, including certain indemnification obligations of the Series B Investors. The representations, warranties, and covenants contained in the Series B Investment Agreements were made only for purposes of such agreement and as of specific dates, were solely for the benefit of the parties to the Series B Investment Agreements and are subject to limitations agreed upon by contracting parties. Accordingly, the form of the Series B Investment Agreement is incorporated herein by reference only to provide investors with information regarding the terms of the Series B Investment Agreement and not to provide investors with any other factual information regarding Holdco or its business and should be read in conjunction with the disclosures in Holdco’s periodic reports and other filings with the Securities and Exchange Commission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Series B Investment Agreements, Holdco is required to prepare and file a registration statement with the Commission under the Securities Act of 1933, as amended (the “Securities Act”), covering the resale of the shares of Common Stock issuable upon conversion of Series B Preferred Stock within 120 days from the original issuance date.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(as defined below), the shares of Series B Preferred Stock have a maturity date five years after the Closing Date and accrue a return equal to 8% per annum (the “Return”),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Holdco Common Stock.</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Investment Agreements and the Series B Certificate of Designations are subject to and qualified in their entirety by reference to a form of the Series B Investment Agreement, which is filed as Exhibit 10.9, and the Series B Certificate of Designations, which is filed as Exhibit 3.3, to this Current Report on Form 8-K and is incorporated herein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including the information incorporated herein by reference,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anticipated benefits of the Business Combination described herein, including revenue growth and financial performance, product expansion and services, and the financial condition, results of operations, earnings outlook and prospects of the Company.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current report are based on the current expectations and beliefs of the management of the Company in light of their respective experience and their perception of historical trends, current conditions and expected future developments and their potential effects on the Company as well as other factors they believe are appropriate in the circumstances. There can be no assurance that future developments affecting the Company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the Company, including in the Form S-4, which was filed in connection with the Business Combination and has been declared effective by the SEC, and the Definitive Proxy Statement which was mailed to the Learn CW shareholders and sent to the unitholders of Innventure. These risks and uncertainties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left="328"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the Company’s ability to invest in growth initiatives;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the Company’s business model and growth strategy;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have sufficient capital following the completion of the Business Combination to operate as anticipated;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funding for its operations and future growth;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the Company’s competitors and industry;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in connection with the completion of the Business Combination;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find future opportunities to license or acquire breakthrough technology solutions from multinational corporations (“MNCs”);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be deemed to be an investment company under the Investment Company Act, which would impose burdensome compliance requirements and restrictions on its activities, which may make it difficult to operate or to execute its growth plans;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satisfy the requirements imposed by MNC partners or to avoid disagreements with those MNC partners;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AeroFlexx, LLC (“AFX”), to continue to rely on its single facility for all of its operations;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AFX’s suppliers to continue to deliver necessary raw materials or other components of its products in a timely manner and to specification;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target customers, who are subject to cyclical downturns, continuing to achieve success or maintain market share;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ability to establish substantial commercial sales of its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ability to meet, and to continue to meet, applicable regulatory requirements for the use of AFX’s products in food grade applications;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Accelsius Holdings LLC (“Accelsius”), to scale its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adoption, including customers and potential investors, of the viability and benefits of Accelsius’ cooling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regulatory scrutiny associated with Accelsius’ cooling due to their use of working fluid refrigerants that contain fluorine;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266065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9" w:name="page10"/>
    <w:bookmarkEnd w:id="9"/>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sufficiently protect the intellectual property rights of itself and its subsidiaries, and to avoid or resolve in a timely and cost-effective manner any disputes that may arise from time to time relating to its use of the intellectual property of third parties;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the Company’s information technology and data security infrastructure occurring that adversely affects the Company’s business and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the Company’s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the Company’s subsidiaries that have limited or no operating history.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business of the Company after the Business Combination is described in the Form S-4 under the heading “Information About Innventure” beginning on page 164 and that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risks associated with the Company’s business are described in the Form S-4 under the headings “Summary––Risk Factors” and “Risk Factors” beginning on pages 23 and 25, respectively,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set forth in Item 9.01 of this Current Report on Form 8-K concerning the financial information of the Company and Learn CW. Reference is further made to the disclosure contained in the Form S-4 in the sections entitled “Management’s Discussion and Analysis of Financial Condition and Results of Operations of Innventure” beginning on page 182, which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and the unaudited pro forma condensed combined statements of operations for the six months ended June 30, 2024 and for the year ended December 31, 2023 are set forth in Exhibit 99.1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disclosure contained in the Form S-4 under the heading “Management’s Discussion and Analysis of Financial Condition and Results of Operations of Innventure” beginning on page 182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facilities of the Company are described in the Form S-4 in the sections entitled “Information About Innventure––Properties and Corporate Information” beginning on page 171, and such description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shares of Common Stock immediately following the consummation of the Business Combination for:</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the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 director of the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is based on 44,602,673 shares of Common Stock outstanding as of October 2, 2024, after giving effect to all the transactions in connection with the Business Combination. In addition, the beneficial ownership presented below: (i) does not include Company Earnout Shares that the Innventure Members have the right to receive upon the achievement of any of the Milestones; and (ii) does not include the Sponsor Earnout Shares that the Sponsor received at Closing, subject to transfer restrictions and eventual forfeit if the Milestones are not achieved within seven years; but does include the At Risk Sponsor Shares that the Sponsor received at Closing, subject to forfeiture if the requisite amount of Additional Funds are not received, as further described in the Sponsor Support Agreement as modified by the SSA Side Letter.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the right to acquire any such power within 60 days. Shares of Common Stock which a person or group has a right to acquire within 60 days following the Closing Date pursuant to the exercise or conversion of options, warrants or other similar convertible or derivative securities are also deemed to be outstanding for the purpose of computing the percentage ownership of such person or group, but are not deemed to be outstanding for the purpose of computing the percentage ownership of any other person shown in the table.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1"/>
                <w:szCs w:val="21"/>
                <w:color w:val="auto"/>
              </w:rPr>
            </w:pPr>
          </w:p>
        </w:tc>
        <w:tc>
          <w:tcPr>
            <w:tcW w:w="2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6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00" w:type="dxa"/>
            <w:vAlign w:val="bottom"/>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Roland Austrup</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812,482</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James O. Donnally</w:t>
            </w:r>
            <w:r>
              <w:rPr>
                <w:rFonts w:ascii="Times New Roman" w:cs="Times New Roman" w:eastAsia="Times New Roman" w:hAnsi="Times New Roman"/>
                <w:sz w:val="25"/>
                <w:szCs w:val="25"/>
                <w:color w:val="auto"/>
                <w:vertAlign w:val="superscript"/>
              </w:rPr>
              <w:t>(1)</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4,670,237</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W. Haskell</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705,655</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Michael Otworth</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2,552,625</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Scott</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1,531,795</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David Yablunosky</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31,630</w:t>
            </w: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Niemeyer</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Bruce Brown</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Williams</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Daniel J. Hennessy</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1,170,262</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Amalfitano</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WE-INN LLC</w:t>
            </w:r>
            <w:r>
              <w:rPr>
                <w:rFonts w:ascii="Times New Roman" w:cs="Times New Roman" w:eastAsia="Times New Roman" w:hAnsi="Times New Roman"/>
                <w:sz w:val="25"/>
                <w:szCs w:val="25"/>
                <w:color w:val="auto"/>
                <w:vertAlign w:val="superscript"/>
              </w:rPr>
              <w:t>(2)</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8,697,656</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64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Ascent X Innventure TC, A Series of Ascent X Innventure, LP</w:t>
            </w:r>
            <w:r>
              <w:rPr>
                <w:rFonts w:ascii="Times New Roman" w:cs="Times New Roman" w:eastAsia="Times New Roman" w:hAnsi="Times New Roman"/>
                <w:sz w:val="25"/>
                <w:szCs w:val="25"/>
                <w:color w:val="auto"/>
                <w:vertAlign w:val="superscript"/>
              </w:rPr>
              <w:t>(3)</w:t>
            </w:r>
          </w:p>
        </w:tc>
        <w:tc>
          <w:tcPr>
            <w:tcW w:w="2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3,167,810</w:t>
            </w:r>
          </w:p>
        </w:tc>
        <w:tc>
          <w:tcPr>
            <w:tcW w:w="2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of Holdco as a Group (11 Individuals)</w:t>
            </w:r>
          </w:p>
        </w:tc>
        <w:tc>
          <w:tcPr>
            <w:tcW w:w="2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11,474,686</w:t>
            </w:r>
          </w:p>
        </w:tc>
        <w:tc>
          <w:tcPr>
            <w:tcW w:w="2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25.73%</w:t>
            </w:r>
          </w:p>
        </w:tc>
      </w:t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than one percent.</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1398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398" w:lineRule="exact"/>
        <w:rPr>
          <w:sz w:val="20"/>
          <w:szCs w:val="20"/>
          <w:color w:val="auto"/>
        </w:rPr>
      </w:pPr>
    </w:p>
    <w:p>
      <w:pPr>
        <w:jc w:val="both"/>
        <w:ind w:left="34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1,405,664 shares of Common Stock held by the James O. Donnally Revocable Trust over which Mr. Donnally has sole voting and investment power, (ii) 711,717 shares of Common Stock held by the Glockner Family Venture Fund, LP (the “Glockner Family Venture Fund”) over which Mr. Donnally may be deemed to have shared voting and investment power as managing member of Bellringer Consulting Group LLC, the general partner of Glockner Family Venture Fund, and (iii) 2,552,856 shares of Common Stock that may be deemed to be beneficially owned by Mr. Donnally, which shares are held by certain trusts, including (a) 132,753 shares held by the Barbara G. Glockner Trust, for the benefit of Joseph C. Glockner; (b) 132,753 shares held by the Barbara G. Glockner Trust, for the benefit of Michael P. Glockner; (c) 132,753 shares held by the Barbara G. Glockner Trust, for the benefit of Timothy E. Glockner; (d) 700,822 shares held by the Joseph C. Glockner Revocable Trust; (e) 700,822 shares held by Michael P. Glockner Revocable Trust; (vii) 700,822 shares held by the Timothy E. Glockner Revocable Trust; (f) 3,715 shares held by the Andrew M. Glockner Revocable Trust; and (g) 48,416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Wasson has voting and investment power over the securities held by WE-INN LLC.</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X Innventure TC, A Series of Ascent X Innventure, LP is a limited partnership (“Ascent”). Voting and investment power over the shares held by Ascent is exercised by Jonathan Loeffler and Mark Pomeroy Jr. The address for Ascent is 5956 Sherry Lane, 20th Floor, Dallas, Texas 75225.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disclosure contained in the Form S-4 under the heading “Management and Governance of Holdco After the Business Combination” beginning on page 199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 contained in the Form S-4 under the heading “Executive and Director Compensation of Innventure” beginning on page 194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certain relationships and related party transactions of Learn CW and Innventure are described in the Form S-4 under the heading “Certain Relationships and Related Person Transactions” beginning on page 210, and that information is incorporated 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2.01 of this Current Report entitled “Investment Agreement” is incorporated herein by reference.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defined in the Definite Proxy Statement) (as amended, the “A&amp;R Glockner Bridge Note”). The A&amp;R Glockner Bridge Note was issued in the principal amount of $10,000,000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agreed to pay, on or around October 1, 2024, the Glockner Family Venture Fund (as defined in the Definitive Proxy Statement) $1,000,000 as a loan fee. As described above, Mr. Donnally serves as the managing member of the Glockner Family Venture Fund’s general partner, Bellringer Consulting Group LLC.</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defined in the Definitive Proxy Statement and, as amended, the “A&amp;R Scott Bridge Note”). The A&amp;R Scott Bridge Note was reissued in the principal amount of $1,000,000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agreed to pay, on or around October 1, 2024, Dr. John Scott, the Company’s Chief Strategy Officer, $1,000,000 under the Scott Bridge Note (as defined in the Definitive Proxy Statement).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A&amp;R Glockner Bridge Note and the A&amp;R Scott Bridge Note are qualified in their entirety by reference to the text of each of the A&amp;R Glockner Bridge Note and the A&amp;R Scott Bridge Note, which are included as Exhibits 10.11 and 10.12,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regarding legal proceedings in the section of the Form S-4 titled “Information About Innventure––Legal Proceedings” beginning on page 181, and that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shares of Common Stock began trading on Nasdaq under the symbol “INV” on October 3, 2024. While the Company intended for the Warrants to trade on Nasdaq, and expected them to,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 2024, there were 218 holders of record of shares of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shares of Common Stock to date. It is the present intention of the Board to retain future earnings for the development, operation and expansion of its business, and the Board does not anticipate declaring or paying any cash dividends for the foreseeable future. The payment of dividends is within the discretion of the Board and will be contingent upon the Company’s future revenues and earnings, as well as its capital requirements and general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set forth under Item 3.02 of this Report concerning the issuance of shares of Series B Preferred Stock, par value $0.0001 per share (“Series B Preferred Stock”), of the Company in connection with the Business Combination,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Registrant’s Securities to be Registered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the disclosure contained in the Form S-4 under the heading “Description of Holdco Securities” beginning on page 219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authorized capital stock consists of 250,000,000 shares of common stock, par value $0.0001 per share, and 25,000,000 shares of preferred stock, par value $0.0001 per share. Of the 25,000,000 shares of preferred stock authorized by the Amended and Restated Certificate of Incorporation, the Company’s Board has designated 3,000,000 shares as “Series B Preferred Stock” on the Closing Date. The Series B Certificate of Designations filed with the Delaware Secretary of State for the Series B Preferred Stock established the following voting powers, designations, preferences and relative, participating, optional or other special rights, and the qualifications, limitations and restrictions of the shares of such Series B Preferred Stock, which are described in more detail under “Series B Preferred Stock”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did not designate any shares of “Series A Preferred Stock” on the Closing Date. Should the Company’s Board decide to designate and issue any shares of “Series A Preferred Stock” in the future, it will file a certificate of designations with the Delaware Secretary of State for the Series A Preferred Stock which will establish the voting powers, designations, preferences and relative, participating, optional or other special rights, and the qualifications, limitations and restrictions of the shares of any such Series A Preferred Stock if and when issued.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Stock shall rank senior in priority of payment to all Junior Stock and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“Junior Stock” means (i) Holdco Common Stock and (ii) any other preferred stock, other than the Series A Preferred Stock, if issued, and any other equity interest of Holdco, in each case which by its terms ranks junior to the Series B Preferred Stock with respect to payment of dividends and/or distribution of assets.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“Parity Stock” means the Series A Preferred Stock, if issued, and any equity interest of Holdco hereinafter created which by its terms ranks pari passu with the Series B Preferred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Series B Preferred Stock will carry an annual 8.0% cumulative dividend, which will be paid prior to and in preference over any Junior Stock or Parity Stock. On the last day of the last quarter in each fiscal year of Holdco such dividends will be made as a payment in kind.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the Original Issue Price, which is $10.00, divided by (ii) the Minimum Price (which shall have the meaning assigned in Nasdaq Listing Rule 5635(d)) of Holdco Common Stock as of the initial issue date of the Series B Preferred Stock and will vote with the holders of Holdco Common Stock as a single class and on an as-converted basis, except as provided by law or applicable Nasdaq Listing Rules.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Mandatory Conversion at the Company’s Option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Holdco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Optional Conversion at the Holder’s Option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Holdco Common Stock upon the effectiveness of a registration statement to be filed by Holdco providing for the resale of the shares of Holdco Common Stock issuable upon conversion of shares of Series B Preferred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shares of Holdco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closing price of the Holdco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of the Series B Preferred Stock is subject to and qualified in its entirety by reference to the Series B Preferred Stock Certificate of Designations, which is included as Exhibit 3.3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Each indemnification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information about the indemnification of the Company’s directors and executive officers is set forth in the Form S-4 in the section titled “Description of Holdco Securities—Limitations on Liability and Indemnification of Officers and Directors” beginning on page 227, and that information is incorporated herein by reference. The information set forth under the heading “Indemnification Agreements” in Item 2.01 of this Current Report on Form 8-K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4.01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 2024, in connection with the consummation of the Business Combination, the Company issued 1,102,000 shares of Series B Preferred Stock as unregistered securities to the Series B Investors listed on Schedule I of the Investment Agreement for an aggregate purchase price of approximately $11.0 million before deducting fees and other estimated offering expenses.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Extraordinary General Meeting, Learn CW’s shareholders considered and approved, among other things, the proposals set forth in the Definitive Proxy Statement in the section entitled “Shareholder Proposal No .3—The Non-Binding Governance Proposals” beginning on page 118 (the “Governance Proposals”), and that information is incorporated herein by reference.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the Company adopted the Amended and Restated Certificate of Incorporation of Innventure, Inc. (as amended and restated, the “Charter”) and the By-laws of Innventure, Inc. (as amended and restated, the “By-laws”). The Charter became effective upon filing with the Secretary of State of the State of Delaware on October 2, 2024 and includes the amendments proposed by the Governance Proposals. Pursuant to the Waiver and Consent, each of Learn CW and Holdco also agreed to waive the Charter lock-up with respect to 10% of the shares of Common Stock received by the Innventure Members (excluding all directors and officers or expected directors and officers of the Company, Innventure or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the Company filed a certificate of designations relating to the Series B Preferred Stock (the “Series B Preferred Stock Certificate of Designations”). The Series B Preferred Stock Certificate of Designations became effective upon filing with the Secretary of State of the State of Delaware on October 2, 2024.</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Charter and the Series B Preferred Stock Certificate of Designations, there are 250,000,000 shares of Common Stock and 25,000,000 shares of preferred stock, par value $0.0001 per share, authorized, of which 3,000,000 of the shares of preferred stock are designated as Series B Preferred Stock. The disclosure set forth in the section entitled “Description of Holdco Securities” beginning on page 219 of the Form S-4 is incorporated herein by reference as modified by the information set forth above in the section entitled “Form 10 Information—Description of Registrant’s Securities to be Registered.”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Charter, By-laws, and Series B Preferred Stock Certificate of Designations are subject to and qualified in their entirety by the terms of the Charter, By-laws, and Series B Preferred Stock Certificate of Designations, which are filed hereto as Exhibits 3.1, 3.2, and 3.3, respectively, to this Current Report on Form 8-K and are incorporated herein by reference.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shares of Common Stock are listed for trading on Nasdaq under the symbol “INV.” While the Company intended for the Warrants to trade on Nasdaq, and expected them to, ultimately there was not a sufficient number of holders to meet the applicable Nasdaq requirements. Each Warrant entitles the holder to purchase one share of Common Stock at a price of $11.50 per share. The Warrants will become exercisable on November 1, 2024 and will expire on October 2, 2029 or earlier upon redemption or liquidation. The public units of Learn CW automatically separated into the component securities upon consummation of the Business Combination and, as a result, no longer trade as a separate 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2024, in connection with the consummation of the Business Combination, the audit committee of the Board approved the appointment of BDO USA, P.C. (“BDO”) as the Company’s independent registered public accounting firm, subject to satisfactory completion of their client acceptance procedures. BDO served as Innventure’s independent registered public accounting firm prior to the Business Combination. Accordingly, the Company intends to dismiss Marcum, LLP (“Marcum”) following the filing of the Company’s quarterly report on Form 10-Q for the quarter ended September 30, 2023 (the “Effective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reports of Marcum on Learn CW’s balance sheets as of December 31, 2023 and 2022 and the related statements of operations, changes in stockholders’ equity and cash flows for the years ended December 31, 2023 and 2022 and the related notes (collectively referred to as the “Learn CW financial statements”) did not contain any adverse opinion or a disclaimer of opinion, nor were they qualified or modified as to uncertainty, audit scope, or accounting principles.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reports of Marcum on the Learn CW financial statements contained an explanatory paragraph which noted that there was substantial doubt as to Learn CW’s ability to continue as a going concern as Learn CW had no approved plan in place to extend the business combination deadline and fund operations for any period of time after October 13, 2024, in the event that it was unable to complete a business combination by that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there were no (i) disagreements with Marcum on any matter of accounting principles or practices, financial statement disclosure, or auditing scope or procedure, which disagreements if not resolved to their satisfaction, would have caused them to make reference to the subject matter of the disagreement in connection with their report, or (ii) reportable events (as described in Item 304(a)(1)(v) of Regulation S-K).</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and the subsequent interim period through October 2, 2024, neither Learn CW nor anyone on its behalf consulted BDO regarding either (i) the application of accounting principles to a specified transaction, either completed or proposed, or the type of audit opinion that might be rendered on Learn CW’s financial statements, and neither a written report nor oral advice was provided to Learn CW that BDO concluded was an important factor considered by Learn CW in reaching a decision as to any accounting, auditing or financial reporting issue, or</w:t>
      </w:r>
    </w:p>
    <w:p>
      <w:pPr>
        <w:spacing w:after="0" w:line="3" w:lineRule="exact"/>
        <w:rPr>
          <w:sz w:val="20"/>
          <w:szCs w:val="20"/>
          <w:color w:val="auto"/>
        </w:rPr>
      </w:pPr>
    </w:p>
    <w:p>
      <w:pPr>
        <w:ind w:firstLine="8"/>
        <w:spacing w:after="0" w:line="260" w:lineRule="auto"/>
        <w:tabs>
          <w:tab w:leader="none" w:pos="2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either the subject of a “disagreement” or a “reportable event,” each as defined in Regulation S-K Item 304(a)(1)(iv) and 304(a)(1) (v), respectively.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Marcum with a copy of the above disclosures, and Marcum has furnished the Company with a letter addressed to the SEC stating that it agrees with the statements made above. A copy of Marcum’s letter, dated October 8, 2024, is attached as Exhibit 16.1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the disclosure in the Definitive Proxy Statement in the section titled “Proposal No. 1—The Business Combination Proposal,” which is incorporated herein by reference. Reference is made to the information contained in Item 2.01 to this Current Report on Form 8-K, which is incorporated herein by reference.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there were 44,602,673 shares of Common Stock outstanding. As of such time, our executive officers and directors and their affiliated entities held approximately 26% of our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820" w:right="26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on October 2, 2024 Robert Hutter ceased to serve as a member of the Board, and each of Gregory W. Haskell, Michael Otworth, David Yablunosky, Suzanne Niemeyer, James O. Donnally, Bruce Brown, Elizabeth Williams, Daniel J. Hennessy, and Michael Amalfitano were appointed to the Board. Following the adoption of the Charter, the Board designated the directors to the classes and to the committees set forth in the Definitive Proxy Statement under the headings “Management and Governance of HoldCo after the Business Combination––Executive Officers and Directors After the Business Combination” beginning on page 199 and “Management and Governance of HoldCo after the Business Combination––Board Committees” beginning on page 203, which disclosure is incorporated herein by reference.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receipt of shareholder approval on September 30, 2024, on October 2, 2024, in connection with the consummation of the Business Combination, the Company adopted the Equity Plan. The information contained in Item 1.01 and Item 2.01 to this Current Report on Form 8-K is incorporated herein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current directors and officers are described in the Form S-4 under the heading “Management and Governance of Holdco After the Business Combination” beginning on page 199, which disclosure is incorporated by reference herein. The information set forth in Item 2.01 of this Current Report on Form 8-K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3.03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on October 2, 2024, the Board approved and adopted a new code of conduct applicable to all employees, officers and directors of the Company (the “Code of Conduct”). A copy of the Code of Conduct can be found on the Company’s website, ir.innventure.com, under the “Governance” section. The information on the Company’s website does not constitute part of this Current Report on Form 8-K and is not incorporated by reference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Code of Conduct policy is qualified in its entirety by reference to the full text of the Code of Conduct, which is filed as Exhibit 14.1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5.06 Change in Shell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 2024, as a result of the consummation of the Business Combination, each of Learn CW and Holdco ceased to be a shell company. The material terms of the Business Combination are described in the Form S-4 in the section entitled “Shareholder Proposal No. 1 – The Business Combination Proposal” beginning on page 80, which is incorporated herein by reference. Further, the information set forth in the Introductory Note and under Item 2.01 of this Current Report on Form 8-K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of Learn CW as of and for the years ended December 31, 2023 and 2022, and the related notes thereto are included in the Form S-4, beginning on page F-21 thereof, and are incorporated herein by reference. The audited financial statements of Innventure as of and for the years ended December 31, 2023 and 2022, and the related notes thereto are included in the Form S-4, beginning on page F-57 thereof, and are incorporated herein by reference.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financial statements of Learn CW as of and for the three and six months ended June 30, 2024 and 2023 and the related notes thereto are included in the Form S-4, beginning on page F-2 thereof, and are incorporated herein by reference. The unaudited financial statements of Innventure as of and for the six months ended June 30, 2024 and 2023 and the related notes thereto are included in the Form S-4, beginning on page F-41 thereof, and are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and the unaudited pro forma condensed combined statements of operations for the six months ended June 30, 2024 and for the year ended December 31, 2023 are set forth in Exhibit 99.1 hereto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60" w:type="dxa"/>
            <w:vAlign w:val="bottom"/>
          </w:tcPr>
          <w:p>
            <w:pPr>
              <w:spacing w:after="0"/>
              <w:rPr>
                <w:sz w:val="18"/>
                <w:szCs w:val="18"/>
                <w:color w:val="auto"/>
              </w:rPr>
            </w:pPr>
          </w:p>
        </w:tc>
      </w:tr>
      <w:tr>
        <w:trPr>
          <w:trHeight w:val="220"/>
        </w:trPr>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6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520" w:type="dxa"/>
            <w:vAlign w:val="bottom"/>
            <w:gridSpan w:val="3"/>
          </w:tcPr>
          <w:p>
            <w:pPr>
              <w:ind w:left="120"/>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Business Combination Agreement, dated as of October 24, 2023, by and among Learn SPAC Holdco, Inc., Learn CW Investment Corporation,</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LCW Merger Sub, Inc., Innventure LLC and Innventure Merger Sub, LLC (incorporated by reference to Annex A to Innventure, Inc.’s</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September 6, 2024).</w:t>
            </w:r>
          </w:p>
        </w:tc>
      </w:tr>
      <w:tr>
        <w:trPr>
          <w:trHeight w:val="194"/>
        </w:trPr>
        <w:tc>
          <w:tcPr>
            <w:tcW w:w="44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Amended and Restated Certificate of Incorporation of Innventure, Inc., filed with the Secretary of State of Delaware on October 2, 2024.</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4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EE"/>
                <w:w w:val="95"/>
              </w:rPr>
              <w:t>3.</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By-laws of Innventure, Inc.</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52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EE"/>
                <w:w w:val="90"/>
              </w:rPr>
              <w:t>3.</w:t>
            </w:r>
            <w:r>
              <w:rPr>
                <w:rFonts w:ascii="Times New Roman" w:cs="Times New Roman" w:eastAsia="Times New Roman" w:hAnsi="Times New Roman"/>
                <w:sz w:val="18"/>
                <w:szCs w:val="18"/>
                <w:u w:val="single" w:color="auto"/>
                <w:color w:val="0000EE"/>
                <w:w w:val="90"/>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Certificate of Designation of Series B Preferred Stock, dated October 2, 2024, of Innventure, Inc.</w:t>
            </w:r>
          </w:p>
        </w:tc>
      </w:tr>
      <w:tr>
        <w:trPr>
          <w:trHeight w:val="20"/>
        </w:trPr>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440" w:type="dxa"/>
            <w:vAlign w:val="bottom"/>
            <w:gridSpan w:val="2"/>
          </w:tcPr>
          <w:p>
            <w:pPr>
              <w:ind w:left="120"/>
              <w:spacing w:after="0" w:line="196" w:lineRule="exact"/>
              <w:rPr>
                <w:rFonts w:ascii="Times New Roman" w:cs="Times New Roman" w:eastAsia="Times New Roman" w:hAnsi="Times New Roman"/>
                <w:sz w:val="18"/>
                <w:szCs w:val="18"/>
                <w:color w:val="0000EE"/>
                <w:w w:val="95"/>
              </w:rPr>
            </w:pPr>
            <w:hyperlink r:id="rId3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Warrant Agreement, dated October 12, 2021, between Learn CW Investment Corporation and American Stock Transfer &amp; Trust Company,</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LLC, as warrant agent (incorporated by reference to Exhibit 4.1 to Learn CW Investment Corporation’s Current Report on Form 8-K filed with</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SEC on October 14, 2021).</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Warrant Assumption Agreement, dated October 2, 2024, by and among Learn CW Investment Corporation, Innventure, Inc. (f/k/a Learn SPAC</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HoldCo, Inc.) and Equiniti Trust Company, LLC (f/k/a American Stock Transfer &amp; Stock Company, LLC), as warrant agent.</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Amended and Restated Registration Rights Agreement, dated October 2, 2024, by and among Innventure, Inc., Learn CW Investment</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 CWAM LC Sponsor LLC and the undersigned parties listed thereto.</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Amended &amp; Restated Investor Rights Agreement, dated October 2, 2024, by and among Innventure, Inc., and the undersigned parties listed</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thereto.</w:t>
            </w:r>
          </w:p>
        </w:tc>
      </w:tr>
      <w:tr>
        <w:trPr>
          <w:trHeight w:val="194"/>
        </w:trPr>
        <w:tc>
          <w:tcPr>
            <w:tcW w:w="440" w:type="dxa"/>
            <w:vAlign w:val="bottom"/>
            <w:gridSpan w:val="2"/>
          </w:tcPr>
          <w:p>
            <w:pPr>
              <w:ind w:left="120"/>
              <w:spacing w:after="0" w:line="194" w:lineRule="exact"/>
              <w:rPr>
                <w:rFonts w:ascii="Times New Roman" w:cs="Times New Roman" w:eastAsia="Times New Roman" w:hAnsi="Times New Roman"/>
                <w:sz w:val="18"/>
                <w:szCs w:val="18"/>
                <w:color w:val="0000EE"/>
                <w:w w:val="95"/>
              </w:rPr>
            </w:pPr>
            <w:hyperlink r:id="rId3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Sponsor Support Agreement, dated October 24, 2023, by and between Learn CW Investment Corporation, Innventure LLC and CWAM LC</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Sponsor LLC (incorporated by reference to Annex C to Innventure, Inc.’s Registration Statement on Form S-4 filed with the SEC on</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6, 2024).</w:t>
            </w:r>
          </w:p>
        </w:tc>
      </w:tr>
      <w:tr>
        <w:trPr>
          <w:trHeight w:val="194"/>
        </w:trPr>
        <w:tc>
          <w:tcPr>
            <w:tcW w:w="440" w:type="dxa"/>
            <w:vAlign w:val="bottom"/>
            <w:gridSpan w:val="2"/>
          </w:tcPr>
          <w:p>
            <w:pPr>
              <w:ind w:left="120"/>
              <w:spacing w:after="0" w:line="194" w:lineRule="exact"/>
              <w:rPr>
                <w:rFonts w:ascii="Times New Roman" w:cs="Times New Roman" w:eastAsia="Times New Roman" w:hAnsi="Times New Roman"/>
                <w:sz w:val="18"/>
                <w:szCs w:val="18"/>
                <w:color w:val="0000EE"/>
                <w:w w:val="95"/>
              </w:rPr>
            </w:pPr>
            <w:hyperlink r:id="rId3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Member Support Agreement, dated October 24, 2023, by and among Learn CW Investment Corporation, Learn SPAC Holdco, Inc., Innventure</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LLC and the Innventure Members party thereto (incorporated by reference to Annex D to Innventure, Inc.’s Registration Statement on Form S-</w:t>
            </w:r>
          </w:p>
        </w:tc>
      </w:tr>
      <w:tr>
        <w:trPr>
          <w:trHeight w:val="216"/>
        </w:trPr>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 filed with the SEC on September 6, 2024).</w:t>
            </w:r>
          </w:p>
        </w:tc>
      </w:tr>
      <w:tr>
        <w:trPr>
          <w:trHeight w:val="194"/>
        </w:trPr>
        <w:tc>
          <w:tcPr>
            <w:tcW w:w="78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20"/>
        </w:trPr>
        <w:tc>
          <w:tcPr>
            <w:tcW w:w="120" w:type="dxa"/>
            <w:vAlign w:val="bottom"/>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96"/>
        </w:trPr>
        <w:tc>
          <w:tcPr>
            <w:tcW w:w="620" w:type="dxa"/>
            <w:vAlign w:val="bottom"/>
            <w:gridSpan w:val="4"/>
          </w:tcPr>
          <w:p>
            <w:pPr>
              <w:ind w:left="120"/>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60" w:type="dxa"/>
            <w:vAlign w:val="bottom"/>
          </w:tcPr>
          <w:p>
            <w:pPr>
              <w:spacing w:after="0"/>
              <w:rPr>
                <w:sz w:val="17"/>
                <w:szCs w:val="17"/>
                <w:color w:val="auto"/>
              </w:rPr>
            </w:pPr>
          </w:p>
        </w:tc>
        <w:tc>
          <w:tcPr>
            <w:tcW w:w="10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Innventure, Inc. 2024 Equity and Incentive Compensation Plan (incorporated by reference to Annex K to Innventure, Inc.’s Registration</w:t>
            </w:r>
          </w:p>
        </w:tc>
      </w:tr>
      <w:tr>
        <w:trPr>
          <w:trHeight w:val="218"/>
        </w:trPr>
        <w:tc>
          <w:tcPr>
            <w:tcW w:w="1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 on Form S-4 filed with the SEC on September 6, 2024).</w:t>
            </w:r>
          </w:p>
        </w:tc>
      </w:tr>
      <w:tr>
        <w:trPr>
          <w:trHeight w:val="194"/>
        </w:trPr>
        <w:tc>
          <w:tcPr>
            <w:tcW w:w="6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9*^</w:t>
            </w:r>
          </w:p>
        </w:tc>
        <w:tc>
          <w:tcPr>
            <w:tcW w:w="160" w:type="dxa"/>
            <w:vAlign w:val="bottom"/>
          </w:tcPr>
          <w:p>
            <w:pPr>
              <w:spacing w:after="0"/>
              <w:rPr>
                <w:sz w:val="16"/>
                <w:szCs w:val="16"/>
                <w:color w:val="auto"/>
              </w:rPr>
            </w:pPr>
          </w:p>
        </w:tc>
        <w:tc>
          <w:tcPr>
            <w:tcW w:w="104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Investment Agreement by and among Innventure, Inc. and the purchasers listed on Schedule I thereto.</w:t>
            </w:r>
          </w:p>
        </w:tc>
      </w:tr>
      <w:tr>
        <w:trPr>
          <w:trHeight w:val="419"/>
        </w:trPr>
        <w:tc>
          <w:tcPr>
            <w:tcW w:w="1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10.10*</w:t>
      </w:r>
      <w:r>
        <w:rPr>
          <w:sz w:val="20"/>
          <w:szCs w:val="20"/>
          <w:color w:val="auto"/>
        </w:rPr>
        <w:tab/>
      </w:r>
      <w:r>
        <w:rPr>
          <w:rFonts w:ascii="Times New Roman" w:cs="Times New Roman" w:eastAsia="Times New Roman" w:hAnsi="Times New Roman"/>
          <w:sz w:val="17"/>
          <w:szCs w:val="17"/>
          <w:color w:val="auto"/>
        </w:rPr>
        <w:t>Waiver and Consent entered into on October 2, 2024, by and among, Learn CW, Holdco and Innventure</w:t>
      </w:r>
    </w:p>
    <w:p>
      <w:pPr>
        <w:spacing w:after="0" w:line="27"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10.11*</w:t>
      </w:r>
      <w:r>
        <w:rPr>
          <w:sz w:val="20"/>
          <w:szCs w:val="20"/>
          <w:color w:val="auto"/>
        </w:rPr>
        <w:tab/>
      </w:r>
      <w:r>
        <w:rPr>
          <w:rFonts w:ascii="Times New Roman" w:cs="Times New Roman" w:eastAsia="Times New Roman" w:hAnsi="Times New Roman"/>
          <w:sz w:val="17"/>
          <w:szCs w:val="17"/>
          <w:color w:val="auto"/>
        </w:rPr>
        <w:t>A&amp;R Glockner Bridge Note, dated October 1, 2024, by and between Innventure, LLC and the Glockner Family Venture Fund, LP</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10.12*</w:t>
      </w:r>
      <w:r>
        <w:rPr>
          <w:sz w:val="20"/>
          <w:szCs w:val="20"/>
          <w:color w:val="auto"/>
        </w:rPr>
        <w:tab/>
      </w:r>
      <w:r>
        <w:rPr>
          <w:rFonts w:ascii="Times New Roman" w:cs="Times New Roman" w:eastAsia="Times New Roman" w:hAnsi="Times New Roman"/>
          <w:sz w:val="17"/>
          <w:szCs w:val="17"/>
          <w:color w:val="auto"/>
        </w:rPr>
        <w:t>A&amp;R Scott Bridge Note, dated October 1, 2024, by and between Innventure, LLC and John Scott</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14.1*</w:t>
      </w:r>
      <w:r>
        <w:rPr>
          <w:sz w:val="20"/>
          <w:szCs w:val="20"/>
          <w:color w:val="auto"/>
        </w:rPr>
        <w:tab/>
      </w:r>
      <w:r>
        <w:rPr>
          <w:rFonts w:ascii="Times New Roman" w:cs="Times New Roman" w:eastAsia="Times New Roman" w:hAnsi="Times New Roman"/>
          <w:sz w:val="18"/>
          <w:szCs w:val="18"/>
          <w:color w:val="auto"/>
        </w:rPr>
        <w:t>Code of Conduct.</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16.1*</w:t>
      </w:r>
      <w:r>
        <w:rPr>
          <w:sz w:val="20"/>
          <w:szCs w:val="20"/>
          <w:color w:val="auto"/>
        </w:rPr>
        <w:tab/>
      </w:r>
      <w:r>
        <w:rPr>
          <w:rFonts w:ascii="Times New Roman" w:cs="Times New Roman" w:eastAsia="Times New Roman" w:hAnsi="Times New Roman"/>
          <w:sz w:val="17"/>
          <w:szCs w:val="17"/>
          <w:color w:val="auto"/>
        </w:rPr>
        <w:t>Letter of Marcum LLP.</w:t>
      </w:r>
    </w:p>
    <w:p>
      <w:pPr>
        <w:spacing w:after="0" w:line="9"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21.1*</w:t>
      </w:r>
      <w:r>
        <w:rPr>
          <w:sz w:val="20"/>
          <w:szCs w:val="20"/>
          <w:color w:val="auto"/>
        </w:rPr>
        <w:tab/>
      </w:r>
      <w:r>
        <w:rPr>
          <w:rFonts w:ascii="Times New Roman" w:cs="Times New Roman" w:eastAsia="Times New Roman" w:hAnsi="Times New Roman"/>
          <w:sz w:val="17"/>
          <w:szCs w:val="17"/>
          <w:color w:val="auto"/>
        </w:rPr>
        <w:t>List of Subsidiaries.</w:t>
      </w:r>
    </w:p>
    <w:p>
      <w:pPr>
        <w:spacing w:after="0" w:line="9" w:lineRule="exact"/>
        <w:rPr>
          <w:sz w:val="20"/>
          <w:szCs w:val="20"/>
          <w:color w:val="auto"/>
        </w:rPr>
      </w:pPr>
    </w:p>
    <w:p>
      <w:pPr>
        <w:ind w:left="782" w:hanging="780"/>
        <w:spacing w:after="0" w:line="250" w:lineRule="auto"/>
        <w:tabs>
          <w:tab w:leader="none" w:pos="762"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Unaudited pro forma condensed combined balance sheet as of June 30, 2024 and the unaudited pro forma condensed combined statements of operations for the six months ended June 30, 2024 and for the year ended December 31, 2023.</w:t>
      </w:r>
    </w:p>
    <w:p>
      <w:pPr>
        <w:spacing w:after="0" w:line="1" w:lineRule="exact"/>
        <w:rPr>
          <w:sz w:val="20"/>
          <w:szCs w:val="20"/>
          <w:color w:val="auto"/>
        </w:rPr>
      </w:pPr>
    </w:p>
    <w:p>
      <w:pPr>
        <w:ind w:left="2"/>
        <w:spacing w:after="0"/>
        <w:tabs>
          <w:tab w:leader="none" w:pos="762"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142875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782" w:right="40" w:hanging="782"/>
        <w:spacing w:after="0" w:line="261" w:lineRule="auto"/>
        <w:tabs>
          <w:tab w:leader="none" w:pos="7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Innventure, Inc. agrees to furnish supplementally a copy of any omitted schedule or exhibit to the SEC upon request.</w:t>
      </w:r>
    </w:p>
    <w:p>
      <w:pPr>
        <w:ind w:left="782" w:hanging="782"/>
        <w:spacing w:after="0"/>
        <w:tabs>
          <w:tab w:leader="none" w:pos="7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782" w:right="120" w:hanging="782"/>
        <w:spacing w:after="0" w:line="250" w:lineRule="auto"/>
        <w:tabs>
          <w:tab w:leader="none" w:pos="7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Innventure, Inc. agrees to furnish a copy of any omitted schedule to the SEC upon request.</w:t>
      </w:r>
    </w:p>
    <w:p>
      <w:pPr>
        <w:spacing w:after="0" w:line="1" w:lineRule="exact"/>
        <w:rPr>
          <w:sz w:val="20"/>
          <w:szCs w:val="20"/>
          <w:color w:val="auto"/>
        </w:rPr>
      </w:pPr>
    </w:p>
    <w:p>
      <w:pPr>
        <w:ind w:left="782" w:hanging="782"/>
        <w:spacing w:after="0"/>
        <w:tabs>
          <w:tab w:leader="none" w:pos="7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254635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2"/>
          </w:cols>
          <w:pgMar w:left="438" w:top="121" w:right="519" w:bottom="1440" w:gutter="0" w:footer="0" w:header="0"/>
        </w:sectPr>
      </w:pPr>
    </w:p>
    <w:bookmarkStart w:id="20" w:name="page21"/>
    <w:bookmarkEnd w:id="2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6180" w:val="left"/>
          <w:tab w:leader="none" w:pos="6740" w:val="left"/>
        </w:tabs>
        <w:rPr>
          <w:sz w:val="20"/>
          <w:szCs w:val="20"/>
          <w:color w:val="auto"/>
        </w:rPr>
      </w:pPr>
      <w:r>
        <w:rPr>
          <w:rFonts w:ascii="Times New Roman" w:cs="Times New Roman" w:eastAsia="Times New Roman" w:hAnsi="Times New Roman"/>
          <w:sz w:val="18"/>
          <w:szCs w:val="18"/>
          <w:color w:val="auto"/>
        </w:rPr>
        <w:t>October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Suzanne Niemeyer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Innventure Inc., (f/k/a Learn SPAC HoldCo, Inc.), a corporation organized and existing under the laws of the State of Delaware, hereby certifies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56"/>
        <w:spacing w:after="0" w:line="268" w:lineRule="auto"/>
        <w:tabs>
          <w:tab w:leader="none" w:pos="12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Innventure,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The Corporation was originally incorporated under the name Learn SPAC HoldCo, Inc. The Corporation’s original certificate of incorporation was filed with the office of the Secretary of State of the State of Delaware on October 9, 2023.</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was duly adopted in accordance with Sections 242 and 245 of the General Corporation Law of the State of Delaware, as it now exists or may hereafter be amended and supplemented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restates and amends the provisions of the Corporation’s certificate of incorporation and has been duly approved by the written consent of the stockholders of the Corporation in accordance with Section 228 of the DGCL.</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this Corporation is hereby amended and restated to read in its entirety as follows:</w:t>
      </w:r>
    </w:p>
    <w:p>
      <w:pPr>
        <w:spacing w:after="0" w:line="221"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Innventure,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 Wilmington, New Castle County, Delaware 19808.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 Without limiting the generality of the foregoing, those activities include: (i) investing in securities of Innventure LLC, a Delaware limited liability company, or any successor entities thereto (“</w:t>
      </w:r>
      <w:r>
        <w:rPr>
          <w:rFonts w:ascii="Times New Roman" w:cs="Times New Roman" w:eastAsia="Times New Roman" w:hAnsi="Times New Roman"/>
          <w:sz w:val="18"/>
          <w:szCs w:val="18"/>
          <w:b w:val="1"/>
          <w:bCs w:val="1"/>
          <w:i w:val="1"/>
          <w:iCs w:val="1"/>
          <w:color w:val="auto"/>
        </w:rPr>
        <w:t>Innventure</w:t>
      </w:r>
      <w:r>
        <w:rPr>
          <w:rFonts w:ascii="Times New Roman" w:cs="Times New Roman" w:eastAsia="Times New Roman" w:hAnsi="Times New Roman"/>
          <w:sz w:val="18"/>
          <w:szCs w:val="18"/>
          <w:color w:val="auto"/>
        </w:rPr>
        <w:t>”), and any of its subsidiaries; (ii) exercising all rights, powers, privileges and other incidents of ownership or possession with respect to the Corporation’s assets, including managing, holding, selling and disposing of such assets; and (iii) engaging in any other activities incidental or ancillary thereto.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all classes of stock that the Corporation is authorized to issue is 275,000,000 shares, consisting of 250,000,000 shares of common stock, with a par value of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25,000,000 shares of preferred stock, with a par value of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Number of Authorized Shares</w:t>
      </w:r>
      <w:r>
        <w:rPr>
          <w:rFonts w:ascii="Times New Roman" w:cs="Times New Roman" w:eastAsia="Times New Roman" w:hAnsi="Times New Roman"/>
          <w:sz w:val="18"/>
          <w:szCs w:val="18"/>
          <w:color w:val="auto"/>
        </w:rPr>
        <w:t>. The number of authorized shares of any of the Common Stock or Preferred Stock may be increased or decreased (but not below the number of shares thereof then outstanding) by the affirmative vote of the holders of a majority of all of the outstanding shares of capital stock of the Corporation entitled to vote on such increase or decrease, voting together as a single class, irrespective of the provisions of Section 242(b)(2) of the DGCL, unless a separate vote of holders of the Common Stock or Preferred Stock is required pursuant to the terms of any Preferred Stock Designation (as defined below). Notwithstanding the immediately preceding sentence, the number of authorized shares of the Common Stock may not be decreased below the number of shares of Common Stock then outstanding plus the number of shares of Common Stock issuable in connection with the exercise of all outstanding options, warrants, exchange rights, conversion rights or similar rights for Common Stock.</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Subject to any limitations prescribed by law,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authorized to provide, out of the unissued shares of Preferred Stock, for the issuance of shares of Preferred Stock in one or more series, including “blank check” preferred stock. The issuance of Preferred Stock as set forth in the preceding sentence shall be accomplished by filing a certificate pursuant to the applicable law of the State of Delaware (such certificate shall be referred to as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to: (i) establish from time to time the number of shares to be included in each such series; and (ii) fix the powers, designations, preferences and relative, participating, optional or other special rights, and qualifications, limitations or restrictions of such preferred shares. Without limitation, those rights, designations and preferences shall include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or any of them and to increase or decrease the number of shares of any series so created (except where otherwise provided in the Preferred Stock Designation), subsequent to the issue of that series but not below the number of shares of such series then outstanding. In case the authorized number of shares of any series shall be so decreased, the shares constituting such decrease shall resume the status which they had prior to the adoption of the resolution originally fixing the number of shares of such series (except where otherwise provided in the Preferred Stock Designation). There shall be no limitation or restriction on any variation between any of the different series of Preferred Stock as to the designations, preferences and relative, participating, optional or other special rights, and the qualifications, limitations or restrictions thereof.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powers, preferences and rights of the Common Stock and the qualifications, limitations or restrictions thereof are as follows:</w:t>
      </w:r>
    </w:p>
    <w:p>
      <w:pPr>
        <w:spacing w:after="0" w:line="160" w:lineRule="exact"/>
        <w:rPr>
          <w:sz w:val="20"/>
          <w:szCs w:val="20"/>
          <w:color w:val="auto"/>
        </w:rPr>
      </w:pPr>
    </w:p>
    <w:p>
      <w:pPr>
        <w:ind w:right="620" w:firstLine="1304"/>
        <w:spacing w:after="0" w:line="284" w:lineRule="auto"/>
        <w:tabs>
          <w:tab w:leader="none" w:pos="1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required by law: Each share of Common Stock shall entitle the record holder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record date to one (1) vote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per share in person or by proxy on all matters submitted to a vote of the holders of Common Stock. The holders of shares of Common Stock shall not have cumulative voting rights. Except as otherwise required by law or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and on all other matters properly submitted to a vote of the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 Except as otherwise required by law or this Certificate of Incorporation, the holders of shares of Common Stock shall vote together as a single class with such holders of Preferred Stock if any holders of shares of Preferred Stock are entitled to vote together with the holders of Common Stock.</w:t>
      </w:r>
    </w:p>
    <w:p>
      <w:pPr>
        <w:spacing w:after="0" w:line="190" w:lineRule="exact"/>
        <w:rPr>
          <w:sz w:val="20"/>
          <w:szCs w:val="20"/>
          <w:color w:val="auto"/>
        </w:rPr>
      </w:pPr>
    </w:p>
    <w:p>
      <w:pPr>
        <w:jc w:val="both"/>
        <w:ind w:firstLine="1304"/>
        <w:spacing w:after="0" w:line="258" w:lineRule="auto"/>
        <w:tabs>
          <w:tab w:leader="none" w:pos="19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Subject to applicable law and the rights, if any, of the holders of any outstanding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of Directors in its discretion from time to time in accordance with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7" w:lineRule="auto"/>
        <w:tabs>
          <w:tab w:leader="none" w:pos="18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liquidation, dissolution or winding up of the affairs of the Corporation, whether voluntary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Common Stock with respect to payments in liquidation shall be entitled, the remaining assets and funds of the Corporation available for distribution shall be divided among and paid ratably to the holders of all outstanding shares of Common Stock in proportion to the number of shares held by each such stockholder.</w:t>
      </w:r>
    </w:p>
    <w:p>
      <w:pPr>
        <w:spacing w:after="0" w:line="182" w:lineRule="exact"/>
        <w:rPr>
          <w:rFonts w:ascii="Times New Roman" w:cs="Times New Roman" w:eastAsia="Times New Roman" w:hAnsi="Times New Roman"/>
          <w:sz w:val="18"/>
          <w:szCs w:val="18"/>
          <w:color w:val="auto"/>
        </w:rPr>
      </w:pPr>
    </w:p>
    <w:p>
      <w:pPr>
        <w:jc w:val="both"/>
        <w:ind w:firstLine="1304"/>
        <w:spacing w:after="0" w:line="267" w:lineRule="auto"/>
        <w:tabs>
          <w:tab w:leader="none" w:pos="18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w:t>
      </w:r>
      <w:r>
        <w:rPr>
          <w:rFonts w:ascii="Times New Roman" w:cs="Times New Roman" w:eastAsia="Times New Roman" w:hAnsi="Times New Roman"/>
          <w:sz w:val="18"/>
          <w:szCs w:val="18"/>
          <w:color w:val="auto"/>
        </w:rPr>
        <w:t>. Subject to applicable law and any transfer restrictions set forth in the By-laws of the Corporation, as may be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or this Certificate of Incorporation, shares of Common Stock and the rights and obligations associated therewith shall be fully transferable.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or other securities at least as many shares of Common Stock or other securities equal to: (i) the number of shares of Common Stock issuable upon the conversion of the then-outstanding shares of convertible preferred stock of the Corporation, if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u w:val="single" w:color="auto"/>
          <w:color w:val="auto"/>
        </w:rPr>
        <w:t>Lock-Up</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4"/>
        <w:spacing w:after="0" w:line="255" w:lineRule="auto"/>
        <w:tabs>
          <w:tab w:leader="none" w:pos="18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the holders (the “</w:t>
      </w:r>
      <w:r>
        <w:rPr>
          <w:rFonts w:ascii="Times New Roman" w:cs="Times New Roman" w:eastAsia="Times New Roman" w:hAnsi="Times New Roman"/>
          <w:sz w:val="18"/>
          <w:szCs w:val="18"/>
          <w:b w:val="1"/>
          <w:bCs w:val="1"/>
          <w:i w:val="1"/>
          <w:iCs w:val="1"/>
          <w:color w:val="auto"/>
        </w:rPr>
        <w:t>Lock-up Holders</w:t>
      </w:r>
      <w:r>
        <w:rPr>
          <w:rFonts w:ascii="Times New Roman" w:cs="Times New Roman" w:eastAsia="Times New Roman" w:hAnsi="Times New Roman"/>
          <w:sz w:val="18"/>
          <w:szCs w:val="18"/>
          <w:color w:val="auto"/>
        </w:rPr>
        <w:t>”) of Common Stock (the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issued as consideration (including any Earnout Shares, as defined in the Business Combination Agreement (as defined below)) to former holders of membership interests, warrants or other equity interests of Innventure LLC, a Delaware limited liability company (“</w:t>
      </w:r>
      <w:r>
        <w:rPr>
          <w:rFonts w:ascii="Times New Roman" w:cs="Times New Roman" w:eastAsia="Times New Roman" w:hAnsi="Times New Roman"/>
          <w:sz w:val="18"/>
          <w:szCs w:val="18"/>
          <w:b w:val="1"/>
          <w:bCs w:val="1"/>
          <w:i w:val="1"/>
          <w:iCs w:val="1"/>
          <w:color w:val="auto"/>
        </w:rPr>
        <w:t>Innventure</w:t>
      </w:r>
      <w:r>
        <w:rPr>
          <w:rFonts w:ascii="Times New Roman" w:cs="Times New Roman" w:eastAsia="Times New Roman" w:hAnsi="Times New Roman"/>
          <w:sz w:val="18"/>
          <w:szCs w:val="18"/>
          <w:color w:val="auto"/>
        </w:rPr>
        <w:t>”), may not Transfer any Lock-up Shares until the end of the period beginning on the date of the closing of the Transactions (as defined below) and ending on the date of the opening of the first trading window at least 180 days after the closing date of the Transactions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As used in this Certificate of Incorporation, (i)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the Business Combination Agreement, dated as of October 24, 2023, by and among Learn CW Investment Corporation, a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exempted company (the “</w:t>
      </w:r>
      <w:r>
        <w:rPr>
          <w:rFonts w:ascii="Times New Roman" w:cs="Times New Roman" w:eastAsia="Times New Roman" w:hAnsi="Times New Roman"/>
          <w:sz w:val="18"/>
          <w:szCs w:val="18"/>
          <w:b w:val="1"/>
          <w:bCs w:val="1"/>
          <w:i w:val="1"/>
          <w:iCs w:val="1"/>
          <w:color w:val="auto"/>
        </w:rPr>
        <w:t>SPAC</w:t>
      </w:r>
      <w:r>
        <w:rPr>
          <w:rFonts w:ascii="Times New Roman" w:cs="Times New Roman" w:eastAsia="Times New Roman" w:hAnsi="Times New Roman"/>
          <w:sz w:val="18"/>
          <w:szCs w:val="18"/>
          <w:color w:val="auto"/>
        </w:rPr>
        <w:t>”), Innventure, the Corporation, LCW Merger Sub, Inc., a Delaware corporation, Innventure Merger Sub, LLC, a Delaware limited liability and (ii)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means the transactions contemplated by the Business Combination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set forth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the Lock-up Holders may Transfer the Lock-up Shares during the Lock-up Period (i) in the case of an individual, (A) by gift to any person related to the Lock-up Holder by blood, marriage, or domestic relationship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xml:space="preserve">”), a charitable organization or a trust or other entity formed for estate planning purposes for the benefit of an immediate family member, (B) by will, intestacy or by virtue of laws of descent and distribution upon the death of such individual, or (C) pursuant to a qualified domestic relations order, (ii) in the case of a corporation, limited liability company, partnership, trust or other entity, to any stockholder, member, partner or trust beneficiary as part of a distribution, or to any corporation, partnership or other entity that is an affiliate (as defined in Rule 405 of the Securities Act) of the Lock-up Holder, (iii) in the event of a liquidation, merger, stock or unit exchange or other similar transaction which results in all of the Lock-up Holders having the right to exchange their shares of Common Stock for cash, securities or other property, or (iv) to the Corporation in connection with the “net” or “cashless” exercise of options or other rights to purchase shares of Common Stock held by such Lock-up Holder in satisfaction of any tax withholding or exercise price obligations through cashless surrender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shares of Common Stock issued upon exercise of such option or other rights shall remain subject to the terms of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clauses (ii) and (iii), such transferees shall enter into a written agreement agreeing to be bound by the transfer restrictions set forth herein in form and substance reasonably satisfactory to the Corporation;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 respect to clauses (ii) and (iii), that any such transfer shall not involve a disposition for value.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or any other provision contained herein, the Corporation may, with the prior written consent of the SPAC given prior to the closing of the Transactions, determine to waive, amend, or repeal the Lock-up obligations set forth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whether in whole or in 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right="40" w:firstLine="1304"/>
        <w:spacing w:after="0" w:line="282" w:lineRule="auto"/>
        <w:tabs>
          <w:tab w:leader="none" w:pos="19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Shares shall carry appropriate legends indicating the restrictions on Transfer imposed by this Section 4.6, including as required by Section 151(f) of the DGCL in respect to uncertificated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adopt, amend or repeal the By-laws. In addition to any vote of the holders of any class or series of stock of the Corporation required by applicable law or by this Certificate of Incorporation (including any Preferred Stock Designation in respect of one or more series of Preferred Stock) or the By-laws, the adoption, amendment or repeal of the By-laws by the stockholders of the Corporation shall require the affirmative vote of the holders of at least two-thirds of the voting power of all of the then outstanding shares of capital stock of the Corporation entitled to vote generally in an election of directors, voting together as a single class.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 Except as otherwise expressly provided by the DGCL or this Certificate of Incorporation, the business and affairs of the Corporation shall be managed by or under the direction of the Board of Directors.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Ballot</w:t>
      </w:r>
      <w:r>
        <w:rPr>
          <w:rFonts w:ascii="Times New Roman" w:cs="Times New Roman" w:eastAsia="Times New Roman" w:hAnsi="Times New Roman"/>
          <w:sz w:val="18"/>
          <w:szCs w:val="18"/>
          <w:color w:val="auto"/>
        </w:rPr>
        <w:t>. Elections of directors (each such director, in such capacity,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need not be by written ballot unless the By-laws shall so provide.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Number and Terms of the Board of Directors</w:t>
      </w:r>
      <w:r>
        <w:rPr>
          <w:rFonts w:ascii="Times New Roman" w:cs="Times New Roman" w:eastAsia="Times New Roman" w:hAnsi="Times New Roman"/>
          <w:sz w:val="18"/>
          <w:szCs w:val="18"/>
          <w:color w:val="auto"/>
        </w:rPr>
        <w:t>. Subject to the rights of the holders of any series of Preferred Stock to elect directors under specified circumstances, if any, the number of directors which shall constitute the whole Board of Directors shall not be less than seven (7). Within such limit, the number of members of the entire Board of Directors shall be fixed exclusively by one or more resolutions adopted from time to time by the Board of Directors in accordance with the By-laws.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Except as otherwise required by law and the separate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exclusively by the affirmative vote of a majority of the Directors then in office, even though less than a quorum, or by a sole remaining Director, and not by the stockholders. Any Director so chosen shall hold office until the next election of the class for which such Director shall have been chosen and until his successor shall be elected and qualified or until such Director’s earlier death, resignation, retirement, disqualification, or removal.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the holders of any series of Preferred Stock then outstanding, for as long as this Certificate of Incorporation provides for a classified Board of Directors, any Director, or the entire Board of Directors, may otherwise be removed only for cause by an affirmative vote of at least two-thirds of the total voting power of all the outstanding shares of capital stock of the Corporation entitled to vote generally in the election of directors, voting together as a single class, at a meeting duly called for that purpose.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Classified Board</w:t>
      </w:r>
      <w:r>
        <w:rPr>
          <w:rFonts w:ascii="Times New Roman" w:cs="Times New Roman" w:eastAsia="Times New Roman" w:hAnsi="Times New Roman"/>
          <w:sz w:val="18"/>
          <w:szCs w:val="18"/>
          <w:color w:val="auto"/>
        </w:rPr>
        <w:t>. Subject to the rights of the holders of any series of Preferred Stock then outstanding, the Directors shall be divided into three classes, with each Director then in office to be designated as a Class I Director, a Class II Director or a Class III Director, with each class to be apportioned as nearly equal in number as practicable. Directors shall be assigned to each class in accordance with a resolution or resolutions adopted by the Board of Directors. The initial Class I Directors shall serve for a term expiring at the first annual meeting of stockholders of the Corporation following the effectiveness of this Article VI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the initial Class II Directors shall serve for a term expiring at the second annual meeting of stockholders following the Effective Time; and the initial Class III Directors shall serve for a term expiring at the third annual meeting of stockholders following the Effective Time. At each annual meeting of stockholders beginning with the first annual meeting of stockholders following the Effective Time, the successors of the class of Directors whose term expires at that meeting shall be elected to hold office for a term expiring at the third annual meeting of stockholders to be held following their election. Each Director in each such class shall hold office until such Director’s successor is duly elected and qualified, subject to such Director’s earlier death, resignation or removal in accordance with this Certificate of Incorporation. The Board of Directors is authorized to assign each Director already in office at the Effective Time, as well as each Director elected or appointed to a newly created directorship due to an increase in the size of the Board of Directors, to Class I, Class II or Class III. However, if the number of directors is changed, any increase or decrease shall be apportioned among the classes so as to maintain the number of directors in each class as nearly equal as possible. Any such additional director of any class elected or appointed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6.7 Notwithstanding any of the other provisions of this Article VI,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Preferred Stock Designation, and such Directors so elected shall not be divided into classes pursuant to this Article VI unless expressly provided by such terms. During any period when the holders of any series of Preferred Stock have the right to elect additional Directors as provided for or fixed pursuant to the provisions of this Article VI,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by the stockholders of the Corporation must be effected at a duly called annual or special meeting of the stockholders of the Corporation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Preferred Stock Designation relating to such series of Preferred Stock. To be valid, any such consent or consents shall: (i) be in writing; (ii) set forth the action to be taken; (iii) be signed by the holders of outstanding shares of the relevant series of Preferred Stock having not less than the minimum number of votes that would be necessary to authorize or take such action at a meeting at which all shares entitled to vote on the action were present and voted; and (iv) be delivered to the Corporation in accordance with the applicable provisions of the DGCL.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Subject to the special rights of the holders of one or more series of Preferred Stock, special meetings of the stockholders of the Corporation may be called, for any purpose or purposes, at any time only by or at the direction of the Board of Directors, the Chairperson of the Board of Directors, the Chief Executive Officer or President. Except as set forth in the preceding sentence, special meetings shall not be called by any other Person.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other business proposed to be brought by stockholders before any meeting of the stockholders of the Corporation shall be given in the manner provided in the By-laws. Any business transacted at any special meeting of stockholders shall be limited to matters relating to the purpose or purposes identified in the notice of meeting (or any supplement to such notice of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 of this Certificate of Incorporation, and in addition to any other vote that may be required by law, applicable stock exchange rule or the terms of any series of Preferred Stock, the affirmative vote of at least two-thirds of the outstanding shares entitled to vote generally in the election of directors, voting together as a single class, is required to amend, alter, change or repeal any provision contained in this Certificate of Incorporation. Notwithstanding the foregoing, the affirmative vote of at least a majority of the then outstanding shares entitled to vote generally in the election of directors, voting together as a single class, is required to amend, alter, change or repeal any provision contained in Articles I, Article II, and Article III of this Certificate of Incorporation.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amendment, repeal or modification of this Article IX, or the adoption of any provision of this Certificate of Incorporation inconsistent with this Article IX, shall not adversely affect any right or protection of a director or officer of the Corporation with respect to any act or omission occurring prior to such amendment, repeal, modification or adoption. If the DGCL is amended after approval by the stockholders of this Article IX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a majority of the Board of Directors, acting on behalf of the Corporation consents in writing to the selection of an alternative forum: (a) the Court of Chancery (the “</w:t>
      </w:r>
      <w:r>
        <w:rPr>
          <w:rFonts w:ascii="Times New Roman" w:cs="Times New Roman" w:eastAsia="Times New Roman" w:hAnsi="Times New Roman"/>
          <w:sz w:val="18"/>
          <w:szCs w:val="18"/>
          <w:b w:val="1"/>
          <w:bCs w:val="1"/>
          <w:i w:val="1"/>
          <w:iCs w:val="1"/>
          <w:color w:val="auto"/>
        </w:rPr>
        <w:t>Chancery Court</w:t>
      </w:r>
      <w:r>
        <w:rPr>
          <w:rFonts w:ascii="Times New Roman" w:cs="Times New Roman" w:eastAsia="Times New Roman" w:hAnsi="Times New Roman"/>
          <w:sz w:val="18"/>
          <w:szCs w:val="18"/>
          <w:color w:val="auto"/>
        </w:rPr>
        <w:t>”)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 action, suit or proceeding asserting a claim against the Corporation governed by the internal affairs doctrine; and (b) subject to the preceding provisions of this Article XI, the federal district courts of the United States of America shall be the exclusive forum for the resolution of any complaint asserting a cause or causes of action arising under the Securities Act, including all causes of action asserted against any defendant to such complaint. If any action the subject matter of which is within the scope of clause (a) of the immediately preceding sentence is filed in a court other than the Chancery Court 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purchasing or otherwise acquiring any interest in any security of the Corporation shall be deemed to have notice of and consented to this Article XI. This Article XI is intended to benefit and may be enforced by the Corporation, its officers and directors, the underwriters to any offering giving rise to such complaint, and any other professional or entity whose profession gives authority to a statement made by that Person and who has prepared or certified any part of the documents underlying the offering. Notwithstanding the foregoing, the provisions of this Article XI shall not apply to suits brought to enforce any liability or duty created by the Securities Act or Exchange Act, or any other claim for which the federal courts of the United States have exclusive jurisdiction.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each portion of any sentence of this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Certificate of Incorporation (or any other provision of the By-laws or any agreement entered into by the Corporation), the provisions of this Certificate of Incorporation (including,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fullest extent permitted by law, each and every Person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this Certificate of Incorporation, (b) the By-laws and (c) any amendment to this Certificate of Incorporation or the By-laws enacted or adopted in accordance with this Certificate of Incorporation, the By-laws and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13.1 In recognition and anticipation that (i) certain directors, managers, principals, officers, employees and/or other representatives of the Principal Stockholders and their Affiliates may serve as directors, officers or agents of the Corporation, (ii) the Principal Stockholders and their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of Directors who are not employees of the Corporation or a majority owned subsidiary thereof (“</w:t>
      </w:r>
      <w:r>
        <w:rPr>
          <w:rFonts w:ascii="Times New Roman" w:cs="Times New Roman" w:eastAsia="Times New Roman" w:hAnsi="Times New Roman"/>
          <w:sz w:val="18"/>
          <w:szCs w:val="18"/>
          <w:b w:val="1"/>
          <w:bCs w:val="1"/>
          <w:i w:val="1"/>
          <w:iCs w:val="1"/>
          <w:color w:val="auto"/>
        </w:rPr>
        <w:t>Non-Employee Directors</w:t>
      </w:r>
      <w:r>
        <w:rPr>
          <w:rFonts w:ascii="Times New Roman" w:cs="Times New Roman" w:eastAsia="Times New Roman" w:hAnsi="Times New Roman"/>
          <w:sz w:val="18"/>
          <w:szCs w:val="18"/>
          <w:color w:val="auto"/>
        </w:rPr>
        <w:t>”) and their respective Affiliates may now engage and may continue to engage in the same or similar activities or related lines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as those in which the Corporation, directly or indirectly, may engage and/or other business activities that overlap with or compete with those in which the Corporation, directly or indirectly, may engage, the provisions of this Article XIII are set forth to regulate and define the conduct of certain affairs of the Corporation with respect to certain classes or categories of business opportunities as they may involve any of the Principal Stockholders, the Non-Employee Directors or their respective Affiliates and the powers, rights, duties and liabilities of the Corporation and its directors, officers and stockholders in connection therewith.</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13.2 To the fullest extent permitted by law, none of (i) the Principal Stockholders or any of their Affiliates or (ii) any Non-Employee Director (including any Non-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both"/>
        <w:spacing w:after="0" w:line="252" w:lineRule="auto"/>
        <w:rPr>
          <w:sz w:val="20"/>
          <w:szCs w:val="20"/>
          <w:color w:val="auto"/>
        </w:rPr>
      </w:pPr>
      <w:r>
        <w:rPr>
          <w:rFonts w:ascii="Times New Roman" w:cs="Times New Roman" w:eastAsia="Times New Roman" w:hAnsi="Times New Roman"/>
          <w:sz w:val="18"/>
          <w:szCs w:val="18"/>
          <w:color w:val="auto"/>
        </w:rPr>
        <w:t>Employee Director who serves as an officer of the Corporation in both such Director’s director and officer capacities) or such Director’s Affiliates (the Persons identified in (i) and (ii) above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shall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renounces any interest or expectancy in, or right to be offered an opportunity to participate in, any business opportunity which may be a corporate opportunity for an Identified Person and the Corporation or any of its Affiliates, except as provided in Section 13.3. Subject to Section 13.3 and to the fullest extent permitted by law, in the event that any Identified Person acquires knowledge of a potential transaction or other business opportunity which may be a corporate opportunity for itself, herself or himself and the Corporation or any of its Affiliates, such Identified Person shall have no duty to communicate or offer such transaction or other business opportunity to the Corporation or any of its Affiliates and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offers or directs such corporate opportunity to another Person, or does not communicate information regarding such corporate opportunity to the Corporation or any Affiliate of the Corporation.</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13.3 The Corporation does not renounce its interest in any corporate opportunity offered to any Non-Employee Director (including any Non-Employee Director who serves as an officer of the Corporation in both his or her director and officer capacities) if such opportunity is expressly offered to such Person solely in his or her capacity as a director or officer of the Corporation, and the provisions of Section 13.2 shall not apply to any such corporate opportunity.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13.4 In addition to and notwithstanding the foregoing provisions of this Article XIII,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13.5 Solely for purposes of this Article XIII,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in respect of any Principal Stockholder, any Person that, directly or indirectly, is controlled by such Principal Stockholder, controls such Principal Stockholder or is under common control with such Principal Stockholder. Affiliate shall include: (a) any principal, member, director, manager, partner, stockholder, officer, employee or other representative of any of the foregoing (other than the Corporation and any entity that is controlled by the Corporation); and (b) any funds or vehicles advised by Affiliates of such Principal Stockholder. Solely for purposes of this Article XIII, (x) in respect of a Non-Employee Director, the term “Affiliate” shall include any Person that, directly or indirectly, is controlled by such Non-Employee Director (other than the Corporation and any entity that is controlled by the Corporation); and (y) in respect of the Corporation, the term “Affiliate” shall include any Person that, directly or indirectly, is controlled by the Corporation.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13.6 To the fullest extent permitted by law, any Person purchasing or otherwise acquiring or holding any interest in any shares of capital stock of the Corporation shall be deemed to have notice of and to have consented to the provisions of this Article XIII.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14.1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Certificate of Incorporation, the following terms shall have the following meaning:</w:t>
      </w:r>
    </w:p>
    <w:p>
      <w:pPr>
        <w:spacing w:after="0" w:line="221" w:lineRule="exact"/>
        <w:rPr>
          <w:sz w:val="20"/>
          <w:szCs w:val="20"/>
          <w:color w:val="auto"/>
        </w:rPr>
      </w:pPr>
    </w:p>
    <w:p>
      <w:pPr>
        <w:ind w:firstLine="1304"/>
        <w:spacing w:after="0" w:line="286" w:lineRule="auto"/>
        <w:tabs>
          <w:tab w:leader="none" w:pos="18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(other than for purposes of Article XIII) means a Person that directly, or indirectly through one or more intermediaries, controls, or is controlled by, or is under common control with, another Person, whether through one or more intermediaries or otherwise.</w:t>
      </w:r>
    </w:p>
    <w:p>
      <w:pPr>
        <w:spacing w:after="0" w:line="15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 Person who is the owner of ten percent (10%) or more of the outstanding voting power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20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any applicable rules and regulations promulgated 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8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w:t>
      </w:r>
    </w:p>
    <w:p>
      <w:pPr>
        <w:spacing w:after="0" w:line="158"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owns such stock, directly or indirectly; or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58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Notwithstanding the foregoing, a Person shall not be deemed the owner of stock tendered pursuant to a tender or exchange offer made by such Person or any of such Person’s Affiliates until such tendered stock is accepted for purchase or exchange; or (b) the right to vote such stock pursuant to any agreement, arrangement or understanding. Notwithstanding the foregoing,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agreement, arrangement or understanding, for the purpose of acquiring, holding, voting (except voting pursuant to a revocable proxy or consent as described in item (b) of subsection (ii) above), or disposing such stock, with any other Person that beneficially owns, or whose Affiliates beneficially own, directly or indirectly, such stock.</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080" w:hanging="776"/>
        <w:spacing w:after="0"/>
        <w:tabs>
          <w:tab w:leader="none" w:pos="2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company, partnership, limited liability company, unincorporated association 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 or organization.</w:t>
      </w:r>
    </w:p>
    <w:p>
      <w:pPr>
        <w:spacing w:after="0" w:line="202" w:lineRule="exact"/>
        <w:rPr>
          <w:rFonts w:ascii="Times New Roman" w:cs="Times New Roman" w:eastAsia="Times New Roman" w:hAnsi="Times New Roman"/>
          <w:sz w:val="18"/>
          <w:szCs w:val="18"/>
          <w:color w:val="auto"/>
        </w:rPr>
      </w:pPr>
    </w:p>
    <w:p>
      <w:pPr>
        <w:ind w:firstLine="1304"/>
        <w:spacing w:after="0" w:line="286" w:lineRule="auto"/>
        <w:tabs>
          <w:tab w:leader="none" w:pos="21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Stockholder</w:t>
      </w:r>
      <w:r>
        <w:rPr>
          <w:rFonts w:ascii="Times New Roman" w:cs="Times New Roman" w:eastAsia="Times New Roman" w:hAnsi="Times New Roman"/>
          <w:sz w:val="18"/>
          <w:szCs w:val="18"/>
          <w:color w:val="auto"/>
        </w:rPr>
        <w:t>” means any stockholder who owns or has the right, directly or indirectly, through any contract, arrangement understanding relationship or otherwise, to vote 10% or more of the shares of capital stock of the Corporation.</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 and applicable rules and regulations promulgated thereunder, and any successor to such statute, rules or regulations.</w:t>
      </w:r>
    </w:p>
    <w:p>
      <w:pPr>
        <w:spacing w:after="0" w:line="15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with respect to any corporation means, capital stock and, with respect to any other entity, any equity interest.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8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means the (i) sale or assignment of, offer to sell, contract or agreement to sell, gift,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the foregoing clause (i) or (ii).</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firstLine="972"/>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a duly authorized officer of the Corporation on this 2nd day of October, 2024.</w:t>
      </w:r>
    </w:p>
    <w:p>
      <w:pPr>
        <w:spacing w:after="0" w:line="1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26035</wp:posOffset>
            </wp:positionV>
            <wp:extent cx="21342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By: Robert Hutter</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Its: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Certificate of Incorporation of Innventure,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3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32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OFFICERS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1.01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Registered Office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1.02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Offices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7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MEETINGS OF STOCKHOLDERS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Place of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Annual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2.03</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Special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2.04</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Notice of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2.05</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Adjournments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2.06</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Quorum</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2.07</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Organization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2.08</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Voting; Proxies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2.09</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2.10</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Inspectors of Election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Conduct of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2.13</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Advance Notice Procedures for Business Brought before a Meeting</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2.14</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Advance Notice Procedures for Nominations of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2.15</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2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BOARD OF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3.01</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Powers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3.02</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Number; Tenure; Qualifications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3.03</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3.04</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3.05</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Regular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3.06</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Special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3.07</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Place of Meetings; Telephonic Meetings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3.08</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18"/>
                <w:szCs w:val="18"/>
                <w:color w:val="auto"/>
              </w:rPr>
            </w:pPr>
          </w:p>
        </w:tc>
        <w:tc>
          <w:tcPr>
            <w:tcW w:w="7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7"/>
              </w:rPr>
              <w:t>Section 3.09</w:t>
            </w:r>
          </w:p>
        </w:tc>
        <w:tc>
          <w:tcPr>
            <w:tcW w:w="74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Organization</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3.10</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Action by Unanimous Consent of Directors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Chairperson</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COMMITTEES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Committees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Committee Minutes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4.03</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Committee Rules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Appointment of 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5.03</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Subordinate Officer</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5.04</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5.05</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Vacancies in Offices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5.06</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Representation of Shares of Other Entities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5.07</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5.08</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RECORDS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Records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7060" w:type="dxa"/>
            <w:vAlign w:val="bottom"/>
            <w:gridSpan w:val="2"/>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MATTERS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7.02</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7.03</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7.04</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Lost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7.05</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7.06</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Definitions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7.07</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7.08</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Fiscal Year</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7.09</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Seal</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7.10</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Transfer of Stock</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6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7.11</w:t>
            </w:r>
          </w:p>
        </w:tc>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7.12</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Stockholders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7.13</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Waiver of Notice</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NOTICE</w:t>
            </w:r>
          </w:p>
        </w:tc>
        <w:tc>
          <w:tcPr>
            <w:tcW w:w="638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8.01</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w:t>
            </w: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9.01</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9.02</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of Others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9.03</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Expenses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9.04</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Determination; Claim</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9.05</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Non-Exclusivity of Rights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9.06</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9.07</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Indemnification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9.08</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18"/>
                <w:szCs w:val="18"/>
                <w:color w:val="auto"/>
              </w:rPr>
            </w:pPr>
          </w:p>
        </w:tc>
        <w:tc>
          <w:tcPr>
            <w:tcW w:w="63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9.09</w:t>
            </w: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w:t>
            </w: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w:t>
            </w: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address of the registered office of Innventure Holdings, Inc., a Delaware corporation (the “Corporation”), in the State of Delaware, and the name of its registered agent at such address, shall be as set forth in the Corporation’s certificate of incorporation, as the same may be amended, restated or otherwise modified from time to time (the “Certificate of Incorporation”).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have additional offices at any place or places, within or outside the State of Delaware, as the Corporation’s board of directors (the “Board of Directors”) may from time to time establish or as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stockholders of the Corporation (the “Stockholders”), may be held at any place, within or without the State of Delaware, as may be designated by or in the manner determined by the Board of Directors. In the absence of such designation, meetings of Stockholders shall be held at the principal executive office of the Corporation. In its sole discretion, the Board of Directors may, determine that a meeting of Stockholders shall not be held at any place, but may instead be held solely by means of remote communication authorized by and in accordance with Section 211(a) of the General Corporation Law of the State of Delaware (the “DGCL”).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shall be held for the election of members of the Board of Directors (the “Directors”) at such date and time as may be designated by or in the manner determined by resolution of the Board of Directors from time to time. Any other business as may be properly brought before the annual meeting of Stockholders may be transacted at the annual meeting of Stockholders. The Board of Directors may postpone, reschedule or cancel any annual meeting of Stockholders previously scheduled by the Board of Directors.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may be called only by such persons and only in such manner as set forth in the Certificate of Incorporation. Special meetings of Stockholders validly called in accordance with this Section 2.03 of these By-laws (as the same may be amended, restated or otherwise modified from time to time, these “By-laws”) may be held at such date and time as specified in the applicable notice of such meeting. No business may be transacted at any special meeting of Stockholders other than the business specified in the notice of such meeting. Except in the case of a special meeting of Stockholders called at the request of the Stockholders pursuant to the express terms of the Certificate of Incorporation, the Board of Directors may postpone, reschedule or cancel any previously scheduled special meeting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of Stockholders, a notice of the meeting shall be given. The notice shall state: (i) the place, if any, date and hour of the meeting; (ii) the means of remote communications, if any, by which Stockholders and proxy holders may be deemed to be present in person and vote at such meeting; (iii) the record date for determining the Stockholders entitled to vote at the meeting (if such date is different from the record date for Stockholders entitled to notice of the meeting); and (iv) in the case of a special meeting of the Stockholders, the purpose or purposes for which the meeting is called. Unless otherwise required by applicable law, the Certificate of Incorporation or these By-laws, the notice of any meeting of Stockholders shall be given not less than ten nor more than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 In addition, if Stockholders have consented to receive notices by a form of electronic transmission, then such notice shall be deemed to be given when directed to an electronic mail address, respectively, at which the Stockholder has consented to receive notice. If such notice is transmitted by a posting on an electronic network together with separate notice to the Stockholder of such specific posting, such notice shall be deemed to be given upon the later of (i) such posting, and (ii) the giving of such separate notice. If such notice is transmitted by any other form of electronic transmission, such notice shall be deemed to be given when directed to the Stockholder. Notice shall be deemed to have been given to all Stockholders of record who share an address if notice is given in accordance with the “householding” rules set forth in the rules of the Securities and Exchange Commission under the Securities Exchange Act of 1934 (the “Exchange Act”) and Section 233 of the DGCL.</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annual or special, may be adjourned from time to time by the chairperson of the meeting (or by the Stockholders in accordance with Section 2.06) to reconvene at the same or some other place, if any, and the same or some other time. Notice need not be given to the Stockholders of any such adjourned meeting if the time and place, if any, of such meeting, and the means of remote communications, if any, by which Stockholders and proxy holders may be deemed to be present in person and vote at such adjourned meeting are announced at the meeting at which the adjournment is taken. At the adjourned meeting of Stockholders, the Corporation may transact any business that might have been transacted at the original meeting of Stockholders. If the adjournment is for more than 30 days, a notice of the adjourned meeting of Stockholders shall be given to each Stockholder of record entitled to vote at the adjourned meeting of Stockholders. If after the adjournment a new record date for determination of Stockholders entitled to vote is fixed for the adjourned meeting of Stockholders. The Board of Directors shall fix a new record date for determining Stockholders entitled to notice of such adjourned meeting of Stockholders in accordance with Section 2.09(a) of these By-laws, and shall give notice of the adjourned meeting of Stockholders to each Stockholder of record entitled to vote at such adjourned meeting of Stockholders as of the record date fixed for notice of such adjourned meeting of Stockholders. If mailed, such notice shall be deemed to be given when deposited in the United States mail, postage prepaid, directed to the Stockholder at such Stockholder’s address as it appears on the records of the Corporation.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Stockholders, the holders of a majority of the voting power of the issued and outstanding shares of capital stock of the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18"/>
          <w:szCs w:val="18"/>
          <w:color w:val="auto"/>
        </w:rPr>
        <w:t>Corporation (“Stock”) entitled to vote at the meeting, present in person, or by remote communication, if applicable, or represented by proxy, shall constitute a quorum for all purposes, unless or except to the extent that the presence of a larger number may be required by applicable law, the rules of any stock exchange upon which the Corporation’s securities are listed, the Certificate of Incorporation or these By-laws. In the absence of a quorum, then either</w:t>
      </w:r>
    </w:p>
    <w:p>
      <w:pPr>
        <w:spacing w:after="0" w:line="1" w:lineRule="exact"/>
        <w:rPr>
          <w:sz w:val="20"/>
          <w:szCs w:val="20"/>
          <w:color w:val="auto"/>
        </w:rPr>
      </w:pPr>
    </w:p>
    <w:p>
      <w:pPr>
        <w:jc w:val="both"/>
        <w:ind w:firstLine="8"/>
        <w:spacing w:after="0" w:line="251" w:lineRule="auto"/>
        <w:tabs>
          <w:tab w:leader="none" w:pos="2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meeting or (ii) the Stockholders by the affirmative vote of a majority of the voting power of the outstanding shares of Stock entitled to vote thereon, present in person, or by remote communication, if applicable, or represented by proxy, shall have the power to recess or adjourn the meeting of Stockholders from time to time in the manner provided in Section 2.05 of these By-laws until a quorum is present or represented. At any such recessed or adjourned meeting at which a quorum is present or represented, any business may be transacted that might have been transacted at the meeting as originally noticed. Where a separate vote by a class or classes or series of Stock is required by applicable law or the Certificate of Incorporation, the holders of a majority of voting power of the shares of such class or classes or series of Stock issued and outstanding and entitled to vote on such matter, present in person, or by remote communication, if applicable, or represented by proxy, shall constitute a quorum entitled to take action with respect to the vote on such matter. A quorum, once established at a meeting, shall not be broken by the withdrawal of enough votes to leave less than a quorum.</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the Chairperson or by such other officer of the Corporation or Director as designated by the Board of Directors or the Chairperson. In the absence of such person or designation, then the chairperson for the meeting shall be chosen by the affirmative vote of a majority of the voting power of the outstanding shares of Stock present or represented at the meeting and entitled to vote at the meeting (provided there is a quorum). The Secretary of the Corporation (“Secretary”) shall act as secretary of the meeting, but in such person’s absence, the chairperson of the meeting may appoint any person to act as secretary of the meeting.</w:t>
      </w:r>
    </w:p>
    <w:p>
      <w:pPr>
        <w:spacing w:after="0" w:line="18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Voting; Proxies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any meeting of Stockholders shall be entitled to the number of votes, if any, for each share of Stock held of record by such Stockholder that has voting power upon the matter in question as set forth in the Certificate of Incorporation or, if such voting power is not set forth in the Certificate of Incorporation, one vote per share.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w:t>
      </w:r>
    </w:p>
    <w:p>
      <w:pPr>
        <w:spacing w:after="0" w:line="188"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express consent to corporate action in writing without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(if permitted by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spacing w:after="0" w:line="255" w:lineRule="auto"/>
        <w:rPr>
          <w:sz w:val="20"/>
          <w:szCs w:val="20"/>
          <w:color w:val="auto"/>
        </w:rPr>
      </w:pPr>
      <w:r>
        <w:rPr>
          <w:rFonts w:ascii="Times New Roman" w:cs="Times New Roman" w:eastAsia="Times New Roman" w:hAnsi="Times New Roman"/>
          <w:sz w:val="18"/>
          <w:szCs w:val="18"/>
          <w:color w:val="auto"/>
        </w:rPr>
        <w:t>Certificate of Incorporation) may authorize another person or persons to act for such Stockholder by proxy authorized by an instrument in writing or by a transmission permitted by law, including Rule 14a-19 promulgated under the Exchange Act, filed in accordance with the procedure established for the meeting. No such proxy shall be voted or acted upon after three years from its date, unless the proxy provides for a longer period. The revocability of a proxy that states on its face that it is irrevocable shall be governed by the provisions of Section 212 of the DGCL. A Stockholder may revoke any proxy that is not irrevocable by attending the meeting and voting in person (or by means of remote communication, if applicable) or by delivering to the Secretary a revocation of the proxy or a new proxy bearing a later date. A proxy may be in the form of an electronic transmission that sets forth or is submitted with information from which it can be determined that the transmission was authorized by the Stockholder.</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of such meeting, the Board of Directors may fix a record date, which record date shall not precede the date upon which the resolution fixing the record date is adopted by the Board of Directors. Unless otherwise required by applicable law, any such record date shall not be more than 60 nor less than ten days before the date of such meeting. If the Board of Directors so fixes a date, such date shall also be the record date for determining the Stockholders entitled to vote at such meeting. Notwithstanding the foregoing, at the time it fixes such record date, the Board of Directors may determine,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The Board of Directors may, however, fix a new record date for determination of Stockholders entitled to vote at the adjourned meeting. In such event the Board of Directors shall also fix as the record date for Stockholders entitled to notice of such adjourned meeting the same or an earlier date as that fixed for determination of Stockholders entitled to vote in accordance with the foregoing provisions of this Section 2.09(a) at the adjourned meeting.</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Any such record date shall not be more than 60 days prior to such action. If no such record date is fixed, the record date for determining Stockholders for any such purpose shall be at the close of business on the day on which the Board of Directors adopts the resolution relating to such record date.</w:t>
      </w:r>
    </w:p>
    <w:p>
      <w:pPr>
        <w:spacing w:after="0" w:line="187"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by the Board of Directors. Any such record date shall not be more than ten days after the date upon which the resolution fixing the record date is adopted by the Board of Directors. If no record date for determining Stockholders entitled to consent to corporate action in writing without a meeting is fixed by the Board of Directors, (i) when no prior action of the Board of Directors is required by applicable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applicable law or the Certificate of Incorporation, the record date for such purpose shall be at the close of business on the day on which the Board of Directors adopts the resolution taking such prior action.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At least ten days before every meeting of Stockholders, the Corporation shall prepare a complete list of the Stockholders entitled to vote at the meeting arranged in alphabetical order and showing the address of each Stockholder and the number of shares registered in the name of each Stockholder as of the record date (or such other date). In the event the record date for determining the Stockholders entitled to vote is less than ten days before the date of the meeting, the list referenced in the preceding sentence shall reflect the Stockholders entitled to vote as of the tenth day before the meeting date). The Corporation shall not be required to include electronic mail addresses or other electronic contact information on such list. Such list shall be open to the examination of any Stockholder, for any purpose germane to the meeting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Such list shall presumptively determine the identity of the Stockholders entitled to vote at the meeting and the number of shares held by each of them. Except as otherwise provided by law, the “stock ledger” shall be the only evidence as to the Stockholders entitled to examine the list of Stockholders required by this Section 2.10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are recorded.</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In advance of any meeting of Stockholders, the Corporation may, and shall if required by law, appoint one or more inspectors of election, who may be employees of the Corporation, to act at the meeting or any adjournment of such meeting and to make a written report of such meeting.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such person’s ability. Any report or certificate made by the inspectors of election is prima facie evidence of the facts stated in any such report or certificate. The inspector or inspectors of election may appoint such persons to assist them in performing their duties as they determine.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The inspector or inspectors so appointed or designated shall: (i) ascertain the number of shares of Stock outstanding and the voting power of each such share; (ii) determine the number of shares of Stock represented at the applicable meeting of the Stockholders and the validity of proxies and ballots; (iii) count and tabulate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Any certification and report shall specify such other information as may be required by applicable law. In determining the validity and counting of proxies and ballots cast at any meeting of Stockholders, the inspectors may consider any information permitted by applicable law. No person who is a candidate for an office at an election may serve as an inspector at such election. The inspectors may appoint or retain other persons to assist them in the performance of their duties.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of the Stockholders shall be announced at the meeting by the person presiding over the meeting designated in accordance with Section 2.07. After the polls close, no ballots, proxies or votes or any revocations or changes may be accepted. The Board of Directors may adopt by resolution such rules and regulations for the conduct of the meeting of Stockholders as it deems appropriate. Except to the extent inconsistent with any rules and regulations adopted by the Board of Directors, the person presiding over any meeting of Stockholders shall have the right and authority to: (i) convene and (for any or no reason) to recess and/or adjourn the meeting; and (ii)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of the meeting; and (v) limitations on the time allotted to questions or comments by participants. In addition to making any other determinations that may be appropriate to the conduct of the meeting, the presiding person at any meeting of Stockholders, shall, if the facts warrant, determine that a matter or business was not properly brought before the meeting. In the event of any such determination, the presiding person shall announce their determination to the meeting and any such matter or business not properly brought before the meeting shall not be transacted or considered. Unless and to the extent determined by the Board of Directors or the person presiding over the applicable meeting of Stockholders, meetings of Stockholders shall not be required to be held in accordance with the rules of parliamentary procedure.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Advance Notice Procedures for Business Brought before a Meeting</w:t>
      </w:r>
      <w:r>
        <w:rPr>
          <w:rFonts w:ascii="Times New Roman" w:cs="Times New Roman" w:eastAsia="Times New Roman" w:hAnsi="Times New Roman"/>
          <w:sz w:val="18"/>
          <w:szCs w:val="18"/>
          <w:color w:val="auto"/>
        </w:rPr>
        <w:t>. This Section 2.13 shall apply to any business that may be brought before an annual meeting of Stockholders other than nominations for election to the Board of Directors at such a meeting, which shall be governed by Section 2.14. Stockholders seeking to nominate persons for election to the Board of Directors must comply with Section 2.14. This Section 2.13 shall not be applicable to nominations for election to the Board of Directors except as expressly provided in Section 2.14.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1304"/>
        <w:spacing w:after="0" w:line="252" w:lineRule="auto"/>
        <w:tabs>
          <w:tab w:leader="none" w:pos="20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the only business that shall be conducted is such business that has been properly brought before the meeting. To be properly brought before an annual meeting of the Stockholders, business must be: (a) specified in a notice of meeting of the Stockholders (or any supplement or amendment thereto) given by or at the direction of the Board of Directors or a duly authorized committee of the Board; (b) if not specified in a notice of meeting of the Stockholders, otherwise brought before the meeting by the Board of Directors or the chairperson of the meeting; or (c) otherwise properly brought before the meeting by a Stockholder present in person, or by remote communication. To properly bring a matter for consideration at an annual meeting, a Stockholder must: (A) (i) be a Stockholder of record of the Corporation both at the time of giving the notice provided for in this Section 2.13 and at the time of the meeting; (ii) be entitled to vote at the meeting; and (iii) be in compliance with this Section 2.13 in all respects; or (B) have properly made such proposal in accordance with Rule 14a-8 under the Exchange Act, which proposal has been included in the proxy statement for such annual meeting of the Stockholders. The foregoing clause (c) shall be the exclusive means for a Stockholder to propose business to be brought before an annual meeting of the Stockholders. The only matters that may be brought before a special meeting of the Stockholders are the matters specified in the Corporation’s notice of meeting of the Stockholders given by or at the direction of the person calling the meeting pursuant to the Certificate of Incorporation and Section 2.03. For purposes of this Section 2.13 and Section 2.14, “present in person” shall mean that the Stockholder proposing that the business be brought before the annual meeting or special meeting of the Stockholders, as applicable. If the proposing Stockholder is not an individual, then a qualified representative of such proposing Stockholder may appear in person at such annual or special meeting of the Stockholders. For purposes of this Section 2.13,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w:t>
      </w:r>
    </w:p>
    <w:p>
      <w:pPr>
        <w:spacing w:after="0" w:line="19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properly bring a matter for consideration at an annual meeting of the Stockholders, a Stockholder must: (a) provide Timely Notice in writing and in proper form to the Secretary; and (b) provide any updates or supplements to such notice at the times and in the forms required by this Section 2.13. To be timely, a Stockholder’s notice must be delivered to, or mailed and received at, the principal executive offices of the Corporation not less than 90 days nor more than 120 days prior to the one-year anniversary of the immediately preceding year’s annual meeting. With respect to the first annual meeting of Stockholders following the Effective Time (as defined in the Certificate of Incorporation), the date for timely notice shall be February 7, 2025. In the event that the date of the annual meeting of the Stockholders is more than 30 days before or more than 60 days after such anniversary date, to be timely, notice by a Stockholder must be delivered, or mailed and received, not later than the later of (A) the 90th day prior to such annual meeting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disclosure of the date of such annual meeting was first made (such notice within such time periods, “Timely Notice”). In no event shall any adjournment or postponement of an annual meeting or the announcement thereof commence a new time period for the giving of Timely Notice as described above.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1344" w:hanging="696"/>
        <w:spacing w:after="0"/>
        <w:tabs>
          <w:tab w:leader="none" w:pos="13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2.13, a Stockholder’s notice to the Secretary shall set forth:</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2011"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name and address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A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“Stockholder Information”);</w:t>
      </w:r>
    </w:p>
    <w:p>
      <w:pPr>
        <w:spacing w:after="0" w:line="187" w:lineRule="exact"/>
        <w:rPr>
          <w:rFonts w:ascii="Times New Roman" w:cs="Times New Roman" w:eastAsia="Times New Roman" w:hAnsi="Times New Roman"/>
          <w:sz w:val="18"/>
          <w:szCs w:val="18"/>
          <w:color w:val="auto"/>
        </w:rPr>
      </w:pPr>
    </w:p>
    <w:p>
      <w:pPr>
        <w:jc w:val="both"/>
        <w:ind w:left="4" w:firstLine="1292"/>
        <w:spacing w:after="0" w:line="251" w:lineRule="auto"/>
        <w:tabs>
          <w:tab w:leader="none" w:pos="216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Stock of the Corporation.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For the avoidance of doubt,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The notice for each Proposing Person shall also set forth: (A) any rights to dividends on the shares of any class or series of Stock of the Corporation owned beneficially by such Proposing Person that are separated or separable from the underlying shares of the Corporation; (B) any material pending or threatened legal proceeding in which such Proposing Person is a party or material participant involving the Corporation or any of its officers or Directors, or any affiliate of the Corporation; (C) any other material relationship between such Proposing Person, on the one hand, and the Corporation or any affiliate of the Corporation, on the other hand,</w:t>
      </w:r>
    </w:p>
    <w:p>
      <w:pPr>
        <w:spacing w:after="0" w:line="10"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 and (D) any other information relating to such Proposing Person that would be required to be disclosed in a proxy statement or other filing required to be made in connection with solicitations of proxies or</w:t>
      </w:r>
    </w:p>
    <w:p>
      <w:pPr>
        <w:spacing w:after="0" w:line="36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6" w:name="page47"/>
    <w:bookmarkEnd w:id="46"/>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consents by such Proposing Person in support of the business proposed to be brought before the applicable meeting of the Stockholders pursuant to Section 14(a) of the Exchange Act. The disclosures to be made pursuant to this Section 2.13(c)(ii)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3" w:lineRule="exact"/>
        <w:rPr>
          <w:sz w:val="20"/>
          <w:szCs w:val="20"/>
          <w:color w:val="auto"/>
        </w:rPr>
      </w:pPr>
    </w:p>
    <w:p>
      <w:pPr>
        <w:jc w:val="both"/>
        <w:ind w:left="660" w:firstLine="1292"/>
        <w:spacing w:after="0" w:line="253" w:lineRule="auto"/>
        <w:tabs>
          <w:tab w:leader="none" w:pos="27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of the Stockholders: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The disclosures required by this Section 2.13(c)(iii) shall not include, however,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“Proposing Person” shall mean (a) the Stockholder providing the notice of business proposed to be brought before an annual meeting of the Stockholders, (b) the beneficial owner or beneficial owners, if different, on whose behalf the notice of the business proposed to be brought before the annual meeting of the Stockholders is made, and (c) any participant (as defined in paragraphs (a)(ii)-(vi) of Instruction 3 to Item 4 of Schedule 14A) with such Stockholder in such solicitation.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of the Stockholders, if necessary, so that the information provided or required to be provided in such notice pursuant to this Section 2.13 shall be true and correct as of the record date for notice of the meeting and as of the date that is 10 business days prior to the meeting or any adjournment or postponement of the meeting. Any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the record date), any update and supplement shall be delivered to, or mailed and received by, the Secretary at the principal executive offices of the Corporation not later than eight business days prior to the date for the meeting or, if practicable, any adjournment or postponement of the meeting. If delivery as set forth in the preceding sentence is not practicable, delivery shall be effected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1304"/>
        <w:spacing w:after="0" w:line="261" w:lineRule="auto"/>
        <w:tabs>
          <w:tab w:leader="none" w:pos="22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of the Stockholders that is not properly brought before the meeting in accordance with this Section 2.13. If the facts warrant, the presiding officer of the meeting shall determine that the business was not properly brought before the meeting in accordance with this Section 2.13. The presiding person shall announce any such determination to the meeting and any such business not properly brought before the meeting shall not be transacted.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2.13 with respect to any business proposed to be brought before an annual meeting of the Stockholders, each Proposing Person shall comply with all applicable requirements of the Exchange Act with respect to any such business. Nothing in this Section 2.13 shall be deemed to affect the rights of Stockholders to request inclusion of proposals in the Corporation’s proxy statement pursuant to Rule 14a-8 under the Exchange Act.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means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8"/>
          <w:szCs w:val="18"/>
          <w:u w:val="single" w:color="auto"/>
          <w:color w:val="auto"/>
        </w:rPr>
        <w:t>Advance Notice Procedures for Nominations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of Directors at an annual meeting or at a special meeting of the Stockholders may be made at such meeting only: (a) by or at the direction of the Board of Directors, including by any committee or persons authorized to do so by the Board of Directors or these By-laws; or (b) by a Stockholder present in person (as defined in Section 2.13) (1) who was a Stockholder of record of the Corporation both at the time of giving the notice provided for in this Section 2.14 and at the time of the meeting, (2) is entitled to vote at the meeting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with this Section 2.14 as to such notice and nomination. Nominations of any person for election to the Board can only occur if the election of Directors is a matter specified in the notice of meeting given by or at the direction of the person calling such special meeting of the Stockholders. This Section 2.14 shall be the exclusive means for a Stockholder to make any nomination of a person or persons for election to the Board of Directors at any annual meeting or special meeting of the Stockholders.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ind w:left="660" w:firstLine="1292"/>
        <w:spacing w:after="0" w:line="258" w:lineRule="auto"/>
        <w:tabs>
          <w:tab w:leader="none" w:pos="2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Stockholder to make any nomination of a person or persons for election to the Board of Directors at an annual meeting of the Stockholders, the Stockholder must (a) provide Timely Notice (as defined in Section 2.13(b)) in writing and in proper form to the Secretary at the principal executive offices of the Corporation; (b) provide the information, agreements and questionnaires with respect to such Stockholder and such Stockholder’s candidate for nomination as required by this Section 2.14; and (c) provide any updates or supplements to such notice at the times and in the forms required by this Section 2.14.</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460" w:firstLine="1292"/>
        <w:spacing w:after="0" w:line="254" w:lineRule="auto"/>
        <w:tabs>
          <w:tab w:leader="none" w:pos="16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election of Directors is a matter specified in the notice of meeting given by or at the direction of the person calling a special meeting of the Stockholders, then for a Stockholder to make any nomination of a person or persons for election to the Board of Directors at a special meeting of the Stockholders, the Stockholder must: (a) provide timely notice in writing and in proper form to the Secretary at the principal executive offices of the Corporation; (b) provide the information, agreements and questionnaires with respect to such Stockholder and its candidate for nomination required by this Section 2.14; and (c) provide any updates or supplements to such notice at the times and in the forms required by this Section 2.14. To be timely for purposes of this Section 2.14(b)(ii), a Stockholder’s notice for nominations to be made at a special meeting of the Stockholders must be delivered to, or mailed to and received by the Secretary not earlier than the 120th day prior to such special meeting and not later than the 90th day prior to such special meeting or, if later, the tenth day following the day on which public disclosure (as defined in Section 2.13(h)) of the date of such special meeting was first made.</w:t>
      </w:r>
    </w:p>
    <w:p>
      <w:pPr>
        <w:spacing w:after="0" w:line="188"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41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of the Stockholders, or the announcement of such adjournment or postponement, commence a new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5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notice under this Section 2.14 or otherwise with respect to a greater number of Director candidates than are subject to election by Stockholders at the applicable meeting. If, subsequent to such notice, the Corporation shall increase the number of Directors subject to election at the meeting, any notice as to any additional nominees shall be due on the later of: (i) the conclusion of the time period for Timely Notice (with respect to an annual meeting of the Stockholders); (ii) the date set forth in Section 2.14(b)(ii) (with respect to a special meeting); or (iii) the tenth day following the date of public disclosure (as defined in Section 2.13(h)) of such increase.</w:t>
      </w:r>
    </w:p>
    <w:p>
      <w:pPr>
        <w:spacing w:after="0" w:line="18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2.14,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left="-460" w:firstLine="1292"/>
        <w:spacing w:after="0" w:line="282" w:lineRule="auto"/>
        <w:tabs>
          <w:tab w:leader="none" w:pos="159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2.13(c)(i)) except that the term “Nominating Person” shall be substituted for the term “Proposing Person” in all places it appears in Section 2.13(c)(i);</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6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2.13(c)(ii), except that the term “Nominating Person” shall be substituted for the term “Proposing Person” in all places it appears in Section 2.13(c)(ii) and the disclosure with respect to the business to be brought before the meeting of the Stockholders in Section 2.13(c)(iii) shall be made with respect to nomination of each person for election as a Director at such meeting); and</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9" w:name="page50"/>
    <w:bookmarkEnd w:id="49"/>
    <w:p>
      <w:pPr>
        <w:jc w:val="both"/>
        <w:ind w:left="660" w:firstLine="1292"/>
        <w:spacing w:after="0" w:line="253" w:lineRule="auto"/>
        <w:tabs>
          <w:tab w:leader="none" w:pos="265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2.14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2.14(f).</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“Nominating Person” means (a) the Stockholder providing the notice of the nomination proposed to be made at the meeting of the Stockholders; (b) the beneficial owner or beneficial owners, if different, on whose behalf the notice of the nomination proposed to be made at the meeting is made; and (c) any other participant in such solicitation.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of the Stockholders shall further update and supplement such notice, if necessary, so that the information provided or required to be provided in such notice pursuant to this Section 2.14 shall be true and correct as of the record date for notice of the meeting and as of the date that is ten business days prior to the meeting or any adjournment or postponement of the meeting. Any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such record date), and not later than eight business days prior to the date for the meeting or, if practicable, any adjournment or postponement of the meeting. In the event such delivery is not practicable, delivery shall be effected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at an annual or special meeting of the Stockholders, a candidate must be nominated in the manner prescribed in this Section 2.14. Whether nominated by the Board of Directors or by a Stockholder of record, any candidate must have previously delivered (in accordance with the time period prescribed for delivery in a notice to such candidate given by or on behalf of the Board of Directors),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that such candidate for nomination (A) is not, and will not become a party to, any agreement, arrangement or understanding with any person or entity other than the Corporation with respect to any direct or indirect compensation or reimbursement for service as a</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Director that has not been disclosed in such written questionnaire and (B) if elected as a Director,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shall provide to such candidate for nomination all such policies and guidelines then in effect).</w:t>
      </w:r>
    </w:p>
    <w:p>
      <w:pPr>
        <w:spacing w:after="0" w:line="180" w:lineRule="exact"/>
        <w:rPr>
          <w:sz w:val="20"/>
          <w:szCs w:val="20"/>
          <w:color w:val="auto"/>
        </w:rPr>
      </w:pPr>
    </w:p>
    <w:p>
      <w:pPr>
        <w:jc w:val="both"/>
        <w:ind w:firstLine="1304"/>
        <w:spacing w:after="0" w:line="261" w:lineRule="auto"/>
        <w:tabs>
          <w:tab w:leader="none" w:pos="18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in accordance with the Corporation’s Corporate Governance Guidelines.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2.14 with respect to any nomination proposed to be made at a meeting, each Proposing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unless such candidate for nomination and the Nominating Person seeking to place such candidate’s name in nomination has complied with this Section 2.14. If the facts warrant, the presiding officer at the meeting shall determine that a nomination was not properly made in accordance with this Section 2.14. In the event of any such determination, the presiding person shall announce their determination to the meeting and the defective nomination shall be disregarded. Any ballots cast for the candidate in question (but in the case of any form of ballot listing other qualified nominees, only the ballots case for the nominee in question) shall be void and of no force or effect.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By-laws, no candidate for nomination shall be eligible to be seated as a Director unless nominated and elected in accordance with this Section 2.14.</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2.14, unless otherwise required by law, if any Nominating Person provides notice pursuant to Rule 14a-19(b) promulgated under the Exchange Act and subsequently fails to comply with the requirements of Rule 14a-19(a)</w:t>
      </w:r>
    </w:p>
    <w:p>
      <w:pPr>
        <w:jc w:val="both"/>
        <w:ind w:firstLine="8"/>
        <w:spacing w:after="0" w:line="253" w:lineRule="auto"/>
        <w:tabs>
          <w:tab w:leader="none" w:pos="27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Rule 14a-19(a)(3) promulgated under the Exchange Act, then the Corporation shall disregard any proxies or votes solicited for the Nominating Person’s nominee. Upon request by the Corporation, if any Nominating Person provides notice pursuant to Rule 14a-19(b) promulgated under the Exchange Act, such Nominating Person shall deliver to the Corporation, no later than five business days prior to the applicable meeting, reasonable evidence that it has met the requirements of Rule 14a-19(a)(3) promulgated under the Exchange Act.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Delivery to the Corporation</w:t>
      </w:r>
      <w:r>
        <w:rPr>
          <w:rFonts w:ascii="Times New Roman" w:cs="Times New Roman" w:eastAsia="Times New Roman" w:hAnsi="Times New Roman"/>
          <w:sz w:val="18"/>
          <w:szCs w:val="18"/>
          <w:color w:val="auto"/>
        </w:rPr>
        <w:t>. Whenever this Article II requires one or more persons (including a record or beneficial owner of Stock) to deliver a document or information to the Corporation or any officer, employee or agent of the Corporation, such document or information shall be in writing exclusively (and not in an electronic transmission) and shall be delivered exclusively by hand (including, without limitation, overnight courier service) or by certified or registered mail, return receipt requested. Without limiting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generality of the foregoing, the requirements set forth in the preceding sentence shall apply to any notice, request, questionnaire, revocation, representation or other document or agreement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provided by the Certificate of Incorporation or the DGCL, the business and affairs of the Corporation shall be managed by or under the direction of the Board of Directors.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Number; Tenure; Qualifications</w:t>
      </w:r>
      <w:r>
        <w:rPr>
          <w:rFonts w:ascii="Times New Roman" w:cs="Times New Roman" w:eastAsia="Times New Roman" w:hAnsi="Times New Roman"/>
          <w:sz w:val="18"/>
          <w:szCs w:val="18"/>
          <w:color w:val="auto"/>
        </w:rPr>
        <w:t>. Subject to the Certificate of Incorporation and the rights of holders of any series of preferred Stock to elect Directors, the total number of Directors constituting the entire Board of Directors shall be fixed from time to time exclusively by resolution of the Board of Directors, each of whom shall be a natural person. No reduction of the authorized number of directors shall have the effect of removing any director before that director’s term of office expires. The Directors shall be classified in the manner provided in the Certificate of Incorporation. Each Director shall hold office until such time as provided in the Certificate of Incorporation. Directors need not be Stockholders to be qualified for election or service as a Director.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 Except as provided in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1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in such writing or electronic transmission or upon the happening of an event specified in such notice or electronic transmission,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appointment of the newly elected directors shall take effect upon the resignation or resignations of such resigning Directors and each Director so chosen shall hold office as provided in Section 3.03.</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places, if any, within or without the State of Delaware. Such regular meetings shall be held at times designated by the Board of Directors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 of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Chairperson, the Chief Executive Officer, the President, the Secretary or a majority of the Directors then in office. Any such special meetings shall be held at such time, date and place, if any, within or without the State of Delaware as they shall fix. Notice to Directors of the date, place and time of any special meeting of the Board of Directors shall be given to each Director by the Secretary or by the officer or one of the Directors calling the meeting. Such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24 hours before the time of holding of the meeting. If the notice is sent by mail, it shall be deposited in the United States mail at least four days before the time of the holding of the meeting. The notice need not specify the place of the meeting if the meeting is to be held at the Corporation’s principal executive office nor the purpose of the meeting.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Place of Meetings; Telephonic Meetings</w:t>
      </w:r>
      <w:r>
        <w:rPr>
          <w:rFonts w:ascii="Times New Roman" w:cs="Times New Roman" w:eastAsia="Times New Roman" w:hAnsi="Times New Roman"/>
          <w:sz w:val="18"/>
          <w:szCs w:val="18"/>
          <w:color w:val="auto"/>
        </w:rPr>
        <w:t>. The Board of Directors may hold meetings, both regular and special, either within or outside the State of Delaware. Unless otherwise restricted by the Certificate of Incorporation or these By-laws, Directors may participate in any meetings of the Board of Directors or a committee thereof by means of conference telephone or other communications equipment by means of which all persons participating in the meeting can hear each other. Participation in a meeting of the Board of Directors pursuant to this Section 3.07 shall constitute presence in person at such meeting.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Quorum; Vote Required for Action</w:t>
      </w:r>
      <w:r>
        <w:rPr>
          <w:rFonts w:ascii="Times New Roman" w:cs="Times New Roman" w:eastAsia="Times New Roman" w:hAnsi="Times New Roman"/>
          <w:sz w:val="18"/>
          <w:szCs w:val="18"/>
          <w:color w:val="auto"/>
        </w:rPr>
        <w:t>. Unless otherwise provided by the Certificate of Incorporation, at all meetings of the Board of Directors a majority of the total number of Directors shall constitute a quorum for the transaction of business. Notwithstanding the foregoing and solely for the purposes of filling vacancies pursuant to Section 3.04,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of Directors, then the Directors present at the meeting may adjourn the meeting from time to time, without notice other than announcement at the meeting, until a quorum is present.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of Directors shall be presided over by the Chairperson, or in such person’s absence by the person whom the Chairperson shall designate, or in the absence of the foregoing persons by a chairperson chosen at the meeting by the affirmative vote of a majority of the Directors present at the meeting. The Secretary shall act as secretary of the meeting, but in such person’s absence, the chairperson of the meeting may appoint any person to act as secretary of the meeting.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of the Board of Directors if all members of the Board of Directors or such committee consent in writing or by electronic transmission. Thereafter, the writing or writings or electronic transmissions shall be filed with the minutes of proceedings of the Board of Directors or such committee in accordance with applicable law. Such filing shall be in paper form if the minutes are maintained in paper form and shall be in electronic form if the minutes are maintained in electronic form. Such action by written consent or consent by electronic transmission shall have the same force and effect as a unanimous vote of the Board of Directors.</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including fees and reimbursements of expenses and equity compensation, of Directors for services to the Corporation in any capacity. No such payment shall preclude any Director from serving the Corporation in any other capacity and receiving compensation from the Corporation for such service. Any Director may decline any or all such compensation payable to such Director in such person’s discretion.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Board of Directors may appoint from its members a chairperson (the “Chairperson”). The Board of Directors may, in its sole discretion, from time to time appoint one or more vice chairpersons (each, a “Vice Chairperson”), each of whom in such capacity shall report directly to the Chairperson.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The Board of Directors may designate one or more Directors as alternate members of any committee, who may replace any absent or disqualified member at any meeting of such committee. In the absence or disqualification of a member of any committee, the member or members present at any meeting and not disqualified from voting, whether or not he, she or they constitute a quorum and may unanimously appoint another member of the Board of Directors to act at the meeting in place of any such absent or disqualified member. To the extent permitted by applicable law and to the extent provided in a resolution of the Board of Directors, any such committee may exercise all of the powers and authority of the Board of Directors in the management of the business and affairs of the Corporation, and may authorize the seal of the Corporation (if one is adopted) to be affixed to all papers that may require it. No such committee shall have the power or authority, however, to: (i) approve or adopt, or recommend to the Stockholders, any action or matter expressly required by the DGCL to be submitted to Stockholders for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approval; or (ii) adopt, amend or repeal any bylaw of the Corporation. Except as otherwise provided in the Certificate of Incorporation, these By-laws, or the resolution of the Board of Directors designating the committee, a committee may create one (1)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The vote of a majority of the members of the committee or subcommittee present at a meeting at which a quorum is present shall be the act of the committee or subcommittee. Meetings of any committee of the Board of Directors may be held at any time or place, if any, within or without the State of Delaware whenever called by the Chairperson or a majority of the members of such committee.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 Each committee of the Board of Directors shall keep regular minutes of its meetings and report the same to the Board of Directors when required.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such committee shall conduct its business in the same manner as the Board of Directors conducts its business pursuant to Article III.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shall include a Chief Executive Officer, a President and a Secretary. The Corporation may also have, at the discretion of the Board of Directors, a Chairperson, a Vice Chairperson, a Chief Financial Officer, a Treasurer, one or more Vice Presidents, one or more Assistant Vice Presidents, one or more Assistant Treasurers, one or more Assistant Secretaries, and any such other officers as may be appointed in accordance with the provisions of these By-laws. Each officer of the Corporation shall hold office for such term as may be prescribed by the Board of Directors and until such person’s successor is duly elected and qualified or until such person’s earlier death, resignation or removal. No officer need be a Stockholder or Director.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 The Board of Directors shall appoint the officers of the Corporation, except such officers as may be appointed in accordance with the provisions of Section 5.03.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Subordinate Officer</w:t>
      </w:r>
      <w:r>
        <w:rPr>
          <w:rFonts w:ascii="Times New Roman" w:cs="Times New Roman" w:eastAsia="Times New Roman" w:hAnsi="Times New Roman"/>
          <w:sz w:val="18"/>
          <w:szCs w:val="18"/>
          <w:color w:val="auto"/>
        </w:rPr>
        <w:t>. The Board of Directors may appoint or empower the Chief Executive Officer of the Corporation or, in the absence of a Chief Executive Officer of the Corporation, the President of the Corporation, to appoint, such other officers and agents as the business of the Corporation may require. Each of such officers and agents shall hold office for such period, have such authority, and perform such duties as are provided in these By-laws or as the Board of Directors may determine from time to time.</w:t>
      </w:r>
    </w:p>
    <w:p>
      <w:pPr>
        <w:spacing w:after="0" w:line="35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 Subject to the rights, if any, of an officer under any contract of employment, any officer may be removed, either with or without cause, by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 Any vacancy occurring in any office of the Corporation shall be filled by the Board of Directors or as provided in Section 5.02.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Representation of Shares of Other Entities</w:t>
      </w:r>
      <w:r>
        <w:rPr>
          <w:rFonts w:ascii="Times New Roman" w:cs="Times New Roman" w:eastAsia="Times New Roman" w:hAnsi="Times New Roman"/>
          <w:sz w:val="18"/>
          <w:szCs w:val="18"/>
          <w:color w:val="auto"/>
        </w:rPr>
        <w:t>. Unless otherwise directed by the Board of Directors, the Chairperson, the Chief Executive Officer, or the President of this Corporation, or any other person authorized by the Board of Directors,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by this Section 5.06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All officers of the Corporation shall respectively have such authority and perform such duties in the management of the business of the Corporation as may be provided in these By-laws or designated from time to time by the Board of Directors and, to the extent not so provided, as generally pertain to their respective offices, subject to the control of the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such Officer is also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A stock ledger consisting of one or more records in which the names of all of the Stockholders of record, the address and number of shares registered in the name of each such Stockholder, and all issuances and transfers of Stock are recorded in accordance with Section 224 of the DGCL shall be administered by or on behalf of the Corporation. Any records administered by or on behalf of the Corporation in the regular course of its business, including its stock ledger, books of account, and minute books, may be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 Except as otherwise provided in these By-laws, the Board of Directors may authorize any officer or officers, or agent or agents to enter into any contract or execute any instrument in the name of and on behalf of the Corporation; such authority may be general or confined to specific instances.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u w:val="single" w:color="auto"/>
          <w:color w:val="auto"/>
        </w:rPr>
        <w:t>Stock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0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shall be represented by certificates, provided that the Board of Directors by resolution may provide that some or all of the shares of any class or series of Stock shall be uncertificated. Any such resolution shall not apply to shares represented by a certificate previously issued until such certificate is surrendered to the Corporation. Certificates for the shares of Stock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they were such officer, transfer agent or registrar at the date of issue.</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issue the whole or any part of its shares of Stock as partly paid and subject to call for the remainder of the consideration to be paid for such shares. Upon the face or back of each stock certificate issued to represent any such partly paid shares, or upon the books and records of the Corporation in the case of uncertificated partly paid shares, the total amount of the consideration to be paid and the amount paid shall be stated. Upon the declaration of any dividend on fully paid shares, the Corporation shall declare a dividend upon partly paid shares of the same class, but only upon the basis of the percentage of the consideration actually paid.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Special Designation of Certificates</w:t>
      </w:r>
      <w:r>
        <w:rPr>
          <w:rFonts w:ascii="Times New Roman" w:cs="Times New Roman" w:eastAsia="Times New Roman" w:hAnsi="Times New Roman"/>
          <w:sz w:val="18"/>
          <w:szCs w:val="18"/>
          <w:color w:val="auto"/>
        </w:rPr>
        <w:t>. If the Corporation is authorized to issue more than one class of Stock or more than one series of any class, then the powers, the designations, the preferences and the relative, participating, optional or other special rights of each class of Stock or series of Stock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Except as provided in this Section 7.04, no new certificates for shares of Stock shall be issued to replace a previously issued certificate unless the latter is surrendered to the Corporation and cancelled at the same time. The Corporation may issue a new certificate of Stock or uncertificated shares in place of any certificate theretofore issued by it, alleged to have been lost, stolen or destroyed.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Shares Without Certificates</w:t>
      </w:r>
      <w:r>
        <w:rPr>
          <w:rFonts w:ascii="Times New Roman" w:cs="Times New Roman" w:eastAsia="Times New Roman" w:hAnsi="Times New Roman"/>
          <w:sz w:val="18"/>
          <w:szCs w:val="18"/>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 shall govern the construction of these By-laws. Without limiting this provision, the singular number includes the plural and the plural number includes the singular.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any restrictions contained in either (i) the DGCL or (ii) the Certificate of Incorporation, the Board of Directors may declare and pay dividends upon the shares of its Stock. Dividends may be paid in cash, in property or in shares of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 and may be changed by the Board of Directors.</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Corporation may adopt a corporate seal, which shall be adopted and which may be altered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use the corporate seal by causing it or a facsimile of such seal to be impressed or affixed or in any other manner reproduced.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 Shares of Stock shall be transferable in the manner prescribed by law and in these By-laws. Shares of Stock shall be transferred on the books of the Corporation only by the holder of record or by such holder’s attorney duly authorized in writing, upon surrender to the Corporation of the certificate or certificates representing such shares endorsed by the appropriate person or persons (or by delivery of duly executed instructions with respect to uncertificated shares). Any transfer of Shares shall be accompanied by such evidence of the authenticity of such endorsement or execution, transfer, authorization and other matters as the Corporation may reasonably require, along with all necessary stock transfer stamps. No transfer of Stock shall be valid as against the Corporation for any purpose until it shall have been entered in the stock records of the Corporation by an entry showing the names of the persons from and to whom it was transferred. Notwithstanding anything to the contrary in these By-laws, at all times that the Corporation’s stock is listed on a stock exchange, the Shares of Stock of the Corporation shall comply with all direct registration system eligibility requirements established by such exchange, including any requirement that shares of the Corporation’s stock be eligible for issue in uncertificated or book-entry form. All issuances and transfers of Shares of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w:t>
      </w:r>
    </w:p>
    <w:p>
      <w:pPr>
        <w:spacing w:after="0" w:line="19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or series of Stock to restrict the transfer of shares of Stock of any one or more classes owned by such Stockholders in any manner not prohibited by the DGCL.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(i) be entitled to recognize the exclusive right of a person registered on its books as the owner of shares of Stock to receive dividends and to vote as such owner; and (ii) not be bound to recognize any equitable or other claim to or interest in such share or shares of Stock on the part of another person, whether or not it shall have express or other notice of such claim to or interest in such share or shares of Stock, except as otherwise provided by the laws of the State of Delaware.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20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All such notices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Section 8.01(a) without obtaining the consent required by this Section 8.01(b).</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pursuant to Section 8.01(b)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The inadvertent failure to discover such inability shall not invalidate any meeting or other action. An affidavit of the Secretary or an Assistant Secretary or of the transfer agent or other agent of the Corporation that the notice has been given shall, in the absence of fraud, be prima facie evidence of the facts stated therein.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 To the fullest extent permitted by the DGCL as it presently exists or may hereafter be amended, the Corporation shall indemnify and hold harmless, any Director or officer of the Corporation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or suffered by such person in connection with any such Proceeding. Notwithstanding the preceding sentence, except as otherwise provided in Section 9.04, the Corporation shall be required to indemnify a person in connection with a Proceeding initiated by such person only if the Proceeding was authorized in the specific case by the Board of Directors.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 To the fullest extent permitted by applicable law as it presently exists or may hereafter be amended ,the Corporation shall have the power to indemnify and hold harmless,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 To the fullest extent not prohibited by applicable law the Corporation shall pay the expenses (including attorneys’ fees) incurred by any covered person, and may pay the expenses incurred by any employee or agent of the Corporation, in defending any Proceeding in advance of its final disposition; provided, however, that, to the extent required by law,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 If a claim for indemnification (following the final disposition of such Proceeding) under this Article IX is not paid in full within 60 days, or a claim for advancement of expenses under this Article IX is not paid in full within 30 days, after a written claim has been received by the Corporation the claimant may thereafter (but not before) file suit to recover the unpaid amount of such claim. If successful in whole or in part, the claimant shall be entitled to be paid the expense of prosecuting such claim to the fullest extent permitted by law, including reasonable attorneys’ fees. It shall be a defense to any such action (other than an action brought to enforce a claim for expenses incurred in defending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any proceeding in advance of its final disposition where the required undertaking, if any, has been tendered to the Corporation) that the claimant has not met the standards of conduct that make it permissible under the DGCL for the Corporation to indemnify the claimant for the amount claimed. The burden of proof in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such claimant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IX shall not be exclusive of any other rights that such person may have or hereafter acquire under any statute, provision of the Certificate of Incorporation, these By-laws, agreement, vote of Stockholders or disinterested Directors or otherwise.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fiduciary or agent of the Corporation, or is or was serving at the request of the Corporation as a director, officer, employee, fiduciary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 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distributes of such person.</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Pursuant to this Article IX, the Corporation intends to be legally bound to each such current or former Director or officer of the Corporation. With respect to current and former Directors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18"/>
          <w:szCs w:val="18"/>
          <w:color w:val="auto"/>
        </w:rPr>
        <w:t>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89" w:lineRule="exact"/>
        <w:rPr>
          <w:sz w:val="20"/>
          <w:szCs w:val="20"/>
          <w:color w:val="auto"/>
        </w:rPr>
      </w:pPr>
    </w:p>
    <w:p>
      <w:pPr>
        <w:jc w:val="both"/>
        <w:ind w:firstLine="1304"/>
        <w:spacing w:after="0" w:line="253" w:lineRule="auto"/>
        <w:tabs>
          <w:tab w:leader="none" w:pos="20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and Secretary, or other officer of the Corporation appointed by (x) the Board of Directors pursuant to Article V or (y) an officer to whom the Board of Directors has delegated the power to appoint officers pursuant to Article V,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The Board of Directors is expressly empowered to adopt, amend or repeal these By-laws</w:t>
      </w:r>
      <w:r>
        <w:rPr>
          <w:rFonts w:ascii="Times New Roman" w:cs="Times New Roman" w:eastAsia="Times New Roman" w:hAnsi="Times New Roman"/>
          <w:sz w:val="18"/>
          <w:szCs w:val="18"/>
          <w:color w:val="auto"/>
        </w:rPr>
        <w:t>. The Stockholders also shall have power to adopt, amend or repeal these By-laws. Notwithstanding the foregoing, such action by Stockholders shall require, in addition to any other vote required by the Certificate of Incorporation or applicable law, the affirmative vote of the holders of at least two-thirds of the voting power of all the then outstanding shares of voting Stock of the Corporation with the power to vote generally in an election of Directors, voting together as a single class.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11.01 As used in these By-laws, unless the context otherwise requires, the following terms shall have the following meanings: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of such record, and that may be directly reproduced in paper form by such a recipient through an automated process.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“electronic mail” means an electronic transmission directed to a unique electronic mail address (which electronic mail shall be deemed to include any files attached to such electronic mail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WHEREAS, on October 2, 2024,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B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B Preferred Stock” and authorizes for issuance 3,000,000 shares of the Series B Preferred Stock (as defined below), and hereby fixes the designations, powers, preferences and other rights, and the qualifications, limitations and restrictions of the Series B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5" w:name="page66"/>
    <w:bookmarkEnd w:id="65"/>
    <w:p>
      <w:pPr>
        <w:ind w:left="1400" w:hanging="582"/>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66"/>
        <w:spacing w:after="0" w:line="266" w:lineRule="auto"/>
        <w:tabs>
          <w:tab w:leader="none" w:pos="202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A total of 3,000,000 shares of Preferred Stock shall be designated as a series known as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which Series B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818"/>
        <w:spacing w:after="0" w:line="259" w:lineRule="auto"/>
        <w:tabs>
          <w:tab w:leader="none" w:pos="142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payment of dividends, the Series B Preferred Stock shall rank senior in priority of payment to all Junior Stock and Parity Stock in any liquidation, dissolution, winding up or distribution of the Company, and junior to any existing or future secured or unsecured indebtedness and other liabilities (including trade payables) of the Company.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r>
        <w:rPr>
          <w:rFonts w:ascii="Times New Roman" w:cs="Times New Roman" w:eastAsia="Times New Roman" w:hAnsi="Times New Roman"/>
          <w:sz w:val="29"/>
          <w:szCs w:val="29"/>
          <w:color w:val="auto"/>
          <w:vertAlign w:val="superscript"/>
        </w:rPr>
        <w:t>1</w:t>
      </w:r>
    </w:p>
    <w:p>
      <w:pPr>
        <w:spacing w:after="0" w:line="35" w:lineRule="exact"/>
        <w:rPr>
          <w:rFonts w:ascii="Times New Roman" w:cs="Times New Roman" w:eastAsia="Times New Roman" w:hAnsi="Times New Roman"/>
          <w:sz w:val="18"/>
          <w:szCs w:val="18"/>
          <w:color w:val="auto"/>
        </w:rPr>
      </w:pPr>
    </w:p>
    <w:p>
      <w:pPr>
        <w:ind w:left="1400" w:hanging="582"/>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66"/>
        <w:spacing w:after="0" w:line="243" w:lineRule="auto"/>
        <w:tabs>
          <w:tab w:leader="none" w:pos="20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shares of Series B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of Common Stock as of the Initial Issue Date (as determined by reference to the Nasdaq Official Closing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Except as provided by law or by the other provisions of this Certificate, Holders shall vote together with the holders of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B Preferred Stock shall not be entitled to any voting rights in respect of such shares of Series B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B Preferred Stock shall not be entitled to any voting rights at any stockholders’ meeting or in any written consent of the stockholders, in each case to the extent, and only to the extent, that the issuance, delivery, conversion or convertibility of such Series B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6" w:lineRule="exact"/>
        <w:rPr>
          <w:sz w:val="20"/>
          <w:szCs w:val="20"/>
          <w:color w:val="auto"/>
        </w:rPr>
      </w:pPr>
    </w:p>
    <w:p>
      <w:pPr>
        <w:ind w:left="120" w:hanging="112"/>
        <w:spacing w:after="0"/>
        <w:tabs>
          <w:tab w:leader="none" w:pos="12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Pari passu treatment between Series A and Series B subject to finalization of terms for both series.</w:t>
      </w:r>
    </w:p>
    <w:p>
      <w:pPr>
        <w:spacing w:after="0" w:line="198" w:lineRule="exact"/>
        <w:rPr>
          <w:sz w:val="20"/>
          <w:szCs w:val="20"/>
          <w:color w:val="auto"/>
        </w:rPr>
      </w:pPr>
    </w:p>
    <w:p>
      <w:pPr>
        <w:ind w:right="20" w:firstLine="8"/>
        <w:spacing w:after="0" w:line="195" w:lineRule="auto"/>
        <w:tabs>
          <w:tab w:leader="none" w:pos="133"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Actual amount to be inserted into Certificate of Designation filed with Delaware, with such amount determined based on the Minimum Price (as defined in Nasdaq Listing Rule 5635(d)) of the Company’s Common Stock).</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firstLine="1466"/>
        <w:spacing w:after="0" w:line="282" w:lineRule="auto"/>
        <w:tabs>
          <w:tab w:leader="none" w:pos="19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161" w:lineRule="exact"/>
        <w:rPr>
          <w:rFonts w:ascii="Times New Roman" w:cs="Times New Roman" w:eastAsia="Times New Roman" w:hAnsi="Times New Roman"/>
          <w:sz w:val="18"/>
          <w:szCs w:val="18"/>
          <w:color w:val="auto"/>
        </w:rPr>
      </w:pPr>
    </w:p>
    <w:p>
      <w:pPr>
        <w:ind w:left="1400" w:hanging="582"/>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66"/>
        <w:spacing w:after="0" w:line="256" w:lineRule="auto"/>
        <w:tabs>
          <w:tab w:leader="none" w:pos="204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prior to and in preference over any dividend on any Junior Stock or Parity Stock and shall be declared and fully paid before any dividends are declared and paid, or any other distributions are made, on any Junior Stock or Parity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7"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5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B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on each Dividend Payment Date.</w:t>
      </w:r>
    </w:p>
    <w:p>
      <w:pPr>
        <w:spacing w:after="0" w:line="175" w:lineRule="exact"/>
        <w:rPr>
          <w:rFonts w:ascii="Times New Roman" w:cs="Times New Roman" w:eastAsia="Times New Roman" w:hAnsi="Times New Roman"/>
          <w:sz w:val="18"/>
          <w:szCs w:val="18"/>
          <w:color w:val="auto"/>
        </w:rPr>
      </w:pPr>
    </w:p>
    <w:p>
      <w:pPr>
        <w:jc w:val="both"/>
        <w:ind w:firstLine="1466"/>
        <w:spacing w:after="0" w:line="261" w:lineRule="auto"/>
        <w:tabs>
          <w:tab w:leader="none" w:pos="211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B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B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818"/>
        <w:spacing w:after="0" w:line="258" w:lineRule="auto"/>
        <w:tabs>
          <w:tab w:leader="none" w:pos="1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B Preferred Stock remain outstanding, and unless a greater percentage is required by law, the Company shall not, without the affirmative vote or written consent of the Holders of 51% of the then-outstanding Series B Preferred Stock, voting separately as one class, amend, alter or change the rights, preferences or privileges of the shares of Series B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1980" w:hanging="514"/>
        <w:spacing w:after="0"/>
        <w:tabs>
          <w:tab w:leader="none" w:pos="1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66"/>
        <w:spacing w:after="0" w:line="282" w:lineRule="auto"/>
        <w:tabs>
          <w:tab w:leader="none" w:pos="19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B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1940" w:hanging="474"/>
        <w:spacing w:after="0"/>
        <w:tabs>
          <w:tab w:leader="none" w:pos="19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474"/>
        <w:spacing w:after="0"/>
        <w:tabs>
          <w:tab w:leader="none" w:pos="19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60" w:firstLine="1140"/>
        <w:spacing w:after="0" w:line="282" w:lineRule="auto"/>
        <w:tabs>
          <w:tab w:leader="none" w:pos="342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B Preferred Stock will be converted into shares of Common Stock (the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left="340" w:firstLine="1140"/>
        <w:spacing w:after="0" w:line="252" w:lineRule="auto"/>
        <w:tabs>
          <w:tab w:leader="none" w:pos="23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B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7 days in advance of the Mandatory Conversion Time. Upon receipt of such notice, each Holder that holds shares of Series B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B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B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0" w:lineRule="exact"/>
        <w:rPr>
          <w:rFonts w:ascii="Times New Roman" w:cs="Times New Roman" w:eastAsia="Times New Roman" w:hAnsi="Times New Roman"/>
          <w:sz w:val="18"/>
          <w:szCs w:val="18"/>
          <w:color w:val="auto"/>
        </w:rPr>
      </w:pPr>
    </w:p>
    <w:p>
      <w:pPr>
        <w:ind w:left="820" w:hanging="474"/>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firstLine="1140"/>
        <w:spacing w:after="0" w:line="282" w:lineRule="auto"/>
        <w:tabs>
          <w:tab w:leader="none" w:pos="21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B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340" w:firstLine="1140"/>
        <w:spacing w:after="0" w:line="253" w:lineRule="auto"/>
        <w:tabs>
          <w:tab w:leader="none" w:pos="2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B Preferred Stock into shares of Common Stock, such Holder shall (A) provide written notice to the Company’s transfer agent at the office of the transfer agent for the Series B Preferred Stock (or at the principal office of the Company if the Company serves as its own transfer agent) that such Holder elects to convert all of such Holder’s shares of Series B Preferred Stock and (B), if such Holder’s shares are certificated, surrender the certificate or certificates for such shares of Series B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w:t>
      </w: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8" w:name="page69"/>
    <w:bookmarkEnd w:id="68"/>
    <w:p>
      <w:pPr>
        <w:jc w:val="both"/>
        <w:ind w:left="1460"/>
        <w:spacing w:after="0" w:line="254" w:lineRule="auto"/>
        <w:rPr>
          <w:sz w:val="20"/>
          <w:szCs w:val="20"/>
          <w:color w:val="auto"/>
        </w:rPr>
      </w:pPr>
      <w:r>
        <w:rPr>
          <w:rFonts w:ascii="Times New Roman" w:cs="Times New Roman" w:eastAsia="Times New Roman" w:hAnsi="Times New Roman"/>
          <w:sz w:val="18"/>
          <w:szCs w:val="18"/>
          <w:color w:val="auto"/>
        </w:rPr>
        <w:t>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w:t>
      </w:r>
    </w:p>
    <w:p>
      <w:pPr>
        <w:spacing w:after="0" w:line="3" w:lineRule="exact"/>
        <w:rPr>
          <w:sz w:val="20"/>
          <w:szCs w:val="20"/>
          <w:color w:val="auto"/>
        </w:rPr>
      </w:pPr>
    </w:p>
    <w:p>
      <w:pPr>
        <w:ind w:left="1460" w:firstLine="6"/>
        <w:spacing w:after="0" w:line="260" w:lineRule="auto"/>
        <w:tabs>
          <w:tab w:leader="none" w:pos="17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issuance of uncertificated shares and may, upon written request, issue and deliver a certificate for the number of full shares of Common Stock issuable upon such conversion in accordance with the provisions hereof.</w:t>
      </w:r>
    </w:p>
    <w:p>
      <w:pPr>
        <w:spacing w:after="0" w:line="181" w:lineRule="exact"/>
        <w:rPr>
          <w:sz w:val="20"/>
          <w:szCs w:val="20"/>
          <w:color w:val="auto"/>
        </w:rPr>
      </w:pPr>
    </w:p>
    <w:p>
      <w:pPr>
        <w:jc w:val="both"/>
        <w:ind w:firstLine="1466"/>
        <w:spacing w:after="0" w:line="266" w:lineRule="auto"/>
        <w:tabs>
          <w:tab w:leader="none" w:pos="202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466"/>
        <w:spacing w:after="0" w:line="258" w:lineRule="auto"/>
        <w:tabs>
          <w:tab w:leader="none" w:pos="20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B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B Preferred Stock which shall have been surrendered for conversion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firstLine="1466"/>
        <w:spacing w:after="0" w:line="282" w:lineRule="auto"/>
        <w:tabs>
          <w:tab w:leader="none" w:pos="19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Investment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466"/>
        <w:spacing w:after="0" w:line="253" w:lineRule="auto"/>
        <w:tabs>
          <w:tab w:leader="none" w:pos="188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the Series B Preferred Stock is outstanding: (a) pays a stock dividend or otherwise makes a distribution or distributions payable in shares of Common Stock on shares of Common Stock or any other Common Stock Equivalents (which, for avoidance of doubt, will not include any shares of Common Stock issued by the Company upon conversion of this Series B Preferred Stock or payment of a dividend on this Series B Preferred Stock); (b) subdivides outstanding shares of Common Stock into a larger number of shares; (c) combines (including by way of a reverse stock split) outstanding shares of Common Stock into a smaller number of shares; or (d) issues, in the event of a reclassification of shares of the Common Stock, any shares of capital stock of the Company, then the Conversion Price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clause (d) of this Section 7 will apply shares of reclassified capital stock, outstanding immediately after such event. Any adjustment made pursuant to this Section 7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1466"/>
        <w:spacing w:after="0" w:line="253" w:lineRule="auto"/>
        <w:tabs>
          <w:tab w:leader="none" w:pos="19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440" w:hanging="622"/>
        <w:spacing w:after="0"/>
        <w:tabs>
          <w:tab w:leader="none" w:pos="1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66"/>
        <w:spacing w:after="0" w:line="282" w:lineRule="auto"/>
        <w:tabs>
          <w:tab w:leader="none" w:pos="196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jc w:val="both"/>
        <w:ind w:firstLine="1466"/>
        <w:spacing w:after="0" w:line="266" w:lineRule="auto"/>
        <w:tabs>
          <w:tab w:leader="none" w:pos="20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500" w:hanging="682"/>
        <w:spacing w:after="0"/>
        <w:tabs>
          <w:tab w:leader="none" w:pos="1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open for the transaction of normal banking business.</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last price at which the Common Stock of the Company traded at during a regular trading session for a given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ind w:lef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right="20"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debt, preferred stock, rights, options, warrants or other instrument that is at any time convertible into or exchangeable for, or otherwise entitles the holder thereof to receive, Common Stock, and excluding shares of Common Stock issuable upon conversion of the Series B Preferred Stock.</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 by the SEC.</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45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B Preferred Stock, as of</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 2024.</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(i) Common Stock and (ii) any other preferred stock, other than the Series A Preferred Stock, if applicable, and any other equity interest of the Company, in each case which by its terms ranks junior to the Series B Preferred Stock with respect to payment of dividends and/or distribution of assets.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B Preferred Stock held by such Holder.</w:t>
      </w:r>
    </w:p>
    <w:p>
      <w:pPr>
        <w:spacing w:after="0" w:line="1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shall have the meaning assigned to such term in Nasdaq Listing Rule 5635(d).</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B Preferred Stock.</w:t>
      </w:r>
    </w:p>
    <w:p>
      <w:pPr>
        <w:spacing w:after="0" w:line="225"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A Preferred Stock, if applicable, and any equity interest of the Company hereinafter created which by its terms ranks pari passu with the Series B Preferred Stock.</w:t>
      </w:r>
    </w:p>
    <w:p>
      <w:pPr>
        <w:spacing w:after="0" w:line="162"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B Preferred Stock by the Company, or, to the extent the Company has engaged a transfer agent, such transfer agent.</w:t>
      </w:r>
    </w:p>
    <w:p>
      <w:pPr>
        <w:spacing w:after="0" w:line="162" w:lineRule="exact"/>
        <w:rPr>
          <w:sz w:val="20"/>
          <w:szCs w:val="20"/>
          <w:color w:val="auto"/>
        </w:rPr>
      </w:pPr>
    </w:p>
    <w:p>
      <w:pPr>
        <w:jc w:val="both"/>
        <w:ind w:right="20"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B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means the greater of (a) $5.00 and (b) the 10-Trading Day volume-weighted average Closing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45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 agreement.</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any shares of preferred stock of the Company designated as “Series A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5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45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B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440" w:hanging="622"/>
        <w:spacing w:after="0"/>
        <w:tabs>
          <w:tab w:leader="none" w:pos="1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66"/>
        <w:spacing w:after="0" w:line="261" w:lineRule="auto"/>
        <w:tabs>
          <w:tab w:leader="none" w:pos="198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Investment Agreement, dated as of the date hereof, entered into by and among the Company and the parties set forth on Schedule I thereto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2040" w:hanging="574"/>
        <w:spacing w:after="0"/>
        <w:tabs>
          <w:tab w:leader="none" w:pos="20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firstLine="1466"/>
        <w:spacing w:after="0" w:line="282" w:lineRule="auto"/>
        <w:tabs>
          <w:tab w:leader="none" w:pos="20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466"/>
        <w:spacing w:after="0" w:line="258" w:lineRule="auto"/>
        <w:tabs>
          <w:tab w:leader="none" w:pos="197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right="20" w:firstLine="1466"/>
        <w:spacing w:after="0" w:line="282" w:lineRule="auto"/>
        <w:tabs>
          <w:tab w:leader="none" w:pos="189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2000" w:hanging="534"/>
        <w:spacing w:after="0"/>
        <w:tabs>
          <w:tab w:leader="none" w:pos="2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firstLine="1466"/>
        <w:spacing w:after="0" w:line="282" w:lineRule="auto"/>
        <w:tabs>
          <w:tab w:leader="none" w:pos="198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466"/>
        <w:spacing w:after="0" w:line="266" w:lineRule="auto"/>
        <w:tabs>
          <w:tab w:leader="none" w:pos="20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8"/>
          <w:szCs w:val="18"/>
          <w:color w:val="auto"/>
        </w:rPr>
      </w:pPr>
    </w:p>
    <w:p>
      <w:pPr>
        <w:ind w:left="2000" w:hanging="534"/>
        <w:spacing w:after="0"/>
        <w:tabs>
          <w:tab w:leader="none" w:pos="2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466"/>
        <w:spacing w:after="0" w:line="266" w:lineRule="auto"/>
        <w:tabs>
          <w:tab w:leader="none" w:pos="195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466"/>
        <w:spacing w:after="0" w:line="256" w:lineRule="auto"/>
        <w:tabs>
          <w:tab w:leader="none" w:pos="199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2nd day of October, 2024.</w:t>
      </w:r>
    </w:p>
    <w:p>
      <w:pPr>
        <w:spacing w:after="0" w:line="2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72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3298825</wp:posOffset>
            </wp:positionH>
            <wp:positionV relativeFrom="paragraph">
              <wp:posOffset>26035</wp:posOffset>
            </wp:positionV>
            <wp:extent cx="33172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267335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140" w:top="121" w:right="6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WARRANT ASSUMPTION AGREEMENT</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This Warrant Assumption Agreement (this “</w:t>
      </w:r>
      <w:r>
        <w:rPr>
          <w:rFonts w:ascii="Times New Roman" w:cs="Times New Roman" w:eastAsia="Times New Roman" w:hAnsi="Times New Roman"/>
          <w:sz w:val="18"/>
          <w:szCs w:val="18"/>
          <w:u w:val="single" w:color="auto"/>
          <w:color w:val="auto"/>
        </w:rPr>
        <w:t>Warrant Assumption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is entered into as of October 2, 2024, by and among Learn CW Investment Corporation, a Cayman Islands exempted company (“</w:t>
      </w:r>
      <w:r>
        <w:rPr>
          <w:rFonts w:ascii="Times New Roman" w:cs="Times New Roman" w:eastAsia="Times New Roman" w:hAnsi="Times New Roman"/>
          <w:sz w:val="18"/>
          <w:szCs w:val="18"/>
          <w:u w:val="single" w:color="auto"/>
          <w:color w:val="auto"/>
        </w:rPr>
        <w:t>Learn CW</w:t>
      </w:r>
      <w:r>
        <w:rPr>
          <w:rFonts w:ascii="Times New Roman" w:cs="Times New Roman" w:eastAsia="Times New Roman" w:hAnsi="Times New Roman"/>
          <w:sz w:val="18"/>
          <w:szCs w:val="18"/>
          <w:color w:val="auto"/>
        </w:rPr>
        <w:t>”), Learn SPAC HoldCo, Inc., a Delaware corporation and direct, wholly owned subsidiary of Learn CW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Equiniti Trust Company, LLC (f/k/a American Stock Transfer &amp; Stock Company, LLC), a New York limited liability company (the “</w:t>
      </w:r>
      <w:r>
        <w:rPr>
          <w:rFonts w:ascii="Times New Roman" w:cs="Times New Roman" w:eastAsia="Times New Roman" w:hAnsi="Times New Roman"/>
          <w:sz w:val="18"/>
          <w:szCs w:val="18"/>
          <w:u w:val="single" w:color="auto"/>
          <w:color w:val="auto"/>
        </w:rPr>
        <w:t>Warrant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and together with Learn CW and Holdco,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86"/>
        <w:spacing w:after="0" w:line="312" w:lineRule="auto"/>
        <w:rPr>
          <w:sz w:val="20"/>
          <w:szCs w:val="20"/>
          <w:color w:val="auto"/>
        </w:rPr>
      </w:pPr>
      <w:r>
        <w:rPr>
          <w:rFonts w:ascii="Times New Roman" w:cs="Times New Roman" w:eastAsia="Times New Roman" w:hAnsi="Times New Roman"/>
          <w:sz w:val="17"/>
          <w:szCs w:val="17"/>
          <w:color w:val="auto"/>
        </w:rPr>
        <w:t>WHEREAS, Learn CW and the Warrant Agent are parties to that certain Warrant Agreement dated as of October 12, 2021 (the “</w:t>
      </w:r>
      <w:r>
        <w:rPr>
          <w:rFonts w:ascii="Times New Roman" w:cs="Times New Roman" w:eastAsia="Times New Roman" w:hAnsi="Times New Roman"/>
          <w:sz w:val="17"/>
          <w:szCs w:val="17"/>
          <w:u w:val="single" w:color="auto"/>
          <w:color w:val="auto"/>
        </w:rPr>
        <w:t>Existin</w:t>
      </w: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capitalized terms used but not otherwise defined herein shall have the meanings given to such terms in the Existing Warrant Agreement);</w:t>
      </w:r>
    </w:p>
    <w:p>
      <w:pPr>
        <w:spacing w:after="0" w:line="14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WHEREAS, pursuant to the Business Combination Agreement, dated as of October 24, 2023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Learn CW, Holdco, LCW Merger Sub, Inc., a Delaware corporation and direct, wholly-owned subsidiary of Holdco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Innventure Merger Sub, LLC, a Delaware limited liability company and direct, wholly-owned subsidiary of Holdco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and, together with LCW Merger Sub,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subject to the terms and conditions set forth therein, at the closing of the Transactions, as defined herein (the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 among other things, (a) LCW Merger Sub will merge with and into Learn CW (the “</w:t>
      </w:r>
      <w:r>
        <w:rPr>
          <w:rFonts w:ascii="Times New Roman" w:cs="Times New Roman" w:eastAsia="Times New Roman" w:hAnsi="Times New Roman"/>
          <w:sz w:val="18"/>
          <w:szCs w:val="18"/>
          <w:u w:val="single" w:color="auto"/>
          <w:color w:val="auto"/>
        </w:rPr>
        <w:t>Learn CW Merger</w:t>
      </w:r>
      <w:r>
        <w:rPr>
          <w:rFonts w:ascii="Times New Roman" w:cs="Times New Roman" w:eastAsia="Times New Roman" w:hAnsi="Times New Roman"/>
          <w:sz w:val="18"/>
          <w:szCs w:val="18"/>
          <w:color w:val="auto"/>
        </w:rPr>
        <w:t>”), with Learn CW as the surviving entity of the Learn CW Merger and (b) Innventure Merger Sub will merge with and into Innventure (the “</w:t>
      </w:r>
      <w:r>
        <w:rPr>
          <w:rFonts w:ascii="Times New Roman" w:cs="Times New Roman" w:eastAsia="Times New Roman" w:hAnsi="Times New Roman"/>
          <w:sz w:val="18"/>
          <w:szCs w:val="18"/>
          <w:u w:val="single" w:color="auto"/>
          <w:color w:val="auto"/>
        </w:rPr>
        <w:t>Innventure Merger</w:t>
      </w:r>
      <w:r>
        <w:rPr>
          <w:rFonts w:ascii="Times New Roman" w:cs="Times New Roman" w:eastAsia="Times New Roman" w:hAnsi="Times New Roman"/>
          <w:sz w:val="18"/>
          <w:szCs w:val="18"/>
          <w:color w:val="auto"/>
        </w:rPr>
        <w:t>” and together with the Learn CW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Innventure as the surviving company of the Innventure Merger (the consummation of the Mergers and the other transactions contemplated in the Business Combination Agreement are referred to herein as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Following the Mergers, each of Learn CW and Innventure will be a subsidiary of Holdco, and Holdco will become a publicly traded company and change its name to “Innventure, Inc.”;</w:t>
      </w:r>
    </w:p>
    <w:p>
      <w:pPr>
        <w:spacing w:after="0" w:line="194"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WHEREAS, pursuant to the terms and conditions set forth in the Business Combination Agreement, at the effective time of the LCW Merger (the “</w:t>
      </w:r>
      <w:r>
        <w:rPr>
          <w:rFonts w:ascii="Times New Roman" w:cs="Times New Roman" w:eastAsia="Times New Roman" w:hAnsi="Times New Roman"/>
          <w:sz w:val="18"/>
          <w:szCs w:val="18"/>
          <w:u w:val="single" w:color="auto"/>
          <w:color w:val="auto"/>
        </w:rPr>
        <w:t>LCW Merger Effective Time</w:t>
      </w:r>
      <w:r>
        <w:rPr>
          <w:rFonts w:ascii="Times New Roman" w:cs="Times New Roman" w:eastAsia="Times New Roman" w:hAnsi="Times New Roman"/>
          <w:sz w:val="18"/>
          <w:szCs w:val="18"/>
          <w:color w:val="auto"/>
        </w:rPr>
        <w:t>”), by virtue of the LCW Merger and without any further action on the part of any Party hereto or the Registered Holders, Holdco shall assume the Existing Warrant Agreement pursuant to the terms set forth herein;</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WHEREAS,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of the Existing Warrant Agreement provides that Learn CW and the Warrant Agent may amend the Existing Warrant Agreement without the consent of any Registered Holder for the purpose of curing any ambiguity contained in the Existing Warrant Agreement, including to conform the provisions of the Existing Warrant Agreement to the description of the terms of the Warrants, or adding or changing any provisions with respect to matters or questions arising under the Existing Warrant Agreement as the Parties may deem necessary or desirable and that the Parties deem shall not adversely affect the interests of the Registered Holders under the Existing Warrant Agreement;</w:t>
      </w:r>
    </w:p>
    <w:p>
      <w:pPr>
        <w:spacing w:after="0" w:line="183"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 xml:space="preserve">WHEREAS, pursuant to the terms and conditions of each of the Existing Warrant Agreement and the Business Combination Agreement, at the LCW Merger Effective Time, by virtue of the LCW Merger and without any action on the part of any Registered Holders, each Warrant that is outstanding immediately prior to the LCW Merger Effective Time shall, pursuant to and in accordance with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of the Existing Warrant Agreement, automatically and irrevocably be modified to provide that such Warrant shall no longer entitle the holder thereof to purchase the number of Ordinary Shares set forth therein and in substitution thereof such Warrant shall entitle the holder thereof to acquire such number of shares of common stock of Holdco, par value $0.0001 per share (“</w:t>
      </w:r>
      <w:r>
        <w:rPr>
          <w:rFonts w:ascii="Times New Roman" w:cs="Times New Roman" w:eastAsia="Times New Roman" w:hAnsi="Times New Roman"/>
          <w:sz w:val="17"/>
          <w:szCs w:val="17"/>
          <w:u w:val="single" w:color="auto"/>
          <w:color w:val="auto"/>
        </w:rPr>
        <w:t>Holdco Common Stock</w:t>
      </w:r>
      <w:r>
        <w:rPr>
          <w:rFonts w:ascii="Times New Roman" w:cs="Times New Roman" w:eastAsia="Times New Roman" w:hAnsi="Times New Roman"/>
          <w:sz w:val="17"/>
          <w:szCs w:val="17"/>
          <w:color w:val="auto"/>
        </w:rPr>
        <w:t xml:space="preserve">”), per Warrant, subject to adjustments as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the last sentence of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of the Existing Warrant Agreement, that such holder would have received pursuant to the terms and conditions of the Existing Warrant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7" w:name="page78"/>
    <w:bookmarkEnd w:id="77"/>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WHEREAS, as a result of this Warrant Assumption Agreement, each Warrant outstanding immediately prior to the LCW Merger Effective Time will be exchanged for a warrant to purchase Holdco Common Stock pursuant to the terms and conditions of the Existing Warrant Agreement.</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Learn CW, Holdco and the Warrant Agent hereby agree as follows:</w:t>
      </w:r>
    </w:p>
    <w:p>
      <w:pPr>
        <w:spacing w:after="0" w:line="162"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94"/>
        <w:spacing w:after="0" w:line="258" w:lineRule="auto"/>
        <w:tabs>
          <w:tab w:leader="none" w:pos="8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subject to the occurrence of the LCW Merger Effective Time, Learn CW hereby assigns, and Holdco hereby assumes, the rights and obligations of Learn CW under the Existing Warrant Agreement and the Warrants, and Holdco hereby agrees to faithfully perform, satisfy and discharge when due, the liabilities and obligations of Learn CW under the Existing Warrant Agreement and the Warrants. As a result of the preceding sentence, upon and subject to the occurrence of the LCW Merger Effective Time, each Warrant will be exchanged for a warrant to purchase Holdco Common Stock pursuant to the terms and conditions of the Existing Warrant Agreement.</w:t>
      </w:r>
    </w:p>
    <w:p>
      <w:pPr>
        <w:spacing w:after="0" w:line="183" w:lineRule="exact"/>
        <w:rPr>
          <w:rFonts w:ascii="Times New Roman" w:cs="Times New Roman" w:eastAsia="Times New Roman" w:hAnsi="Times New Roman"/>
          <w:sz w:val="18"/>
          <w:szCs w:val="18"/>
          <w:color w:val="auto"/>
        </w:rPr>
      </w:pPr>
    </w:p>
    <w:p>
      <w:pPr>
        <w:ind w:right="100" w:firstLine="494"/>
        <w:spacing w:after="0" w:line="266"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Assumption Agreement is being executed and delivered pursuant and subject to the Existing Warrant Agreement. Nothing in this Warrant Assumption Agreement shall, or shall be deemed to, defeat, limit, alter, impair, enhance or enlarge any right, obligation, claim or remedy created by the Existing Warrant Agreement or any other document or instrument delivered pursuant to or in connection with it.</w:t>
      </w:r>
    </w:p>
    <w:p>
      <w:pPr>
        <w:spacing w:after="0" w:line="17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Existing Warrant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00" w:firstLine="494"/>
        <w:spacing w:after="0" w:line="261" w:lineRule="auto"/>
        <w:tabs>
          <w:tab w:leader="none" w:pos="8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Learn CW, Holdco, and the Warrant Agent hereby amend the Existing Warrant Agreement 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effective immediately prior to the LCW Merger Effective Time and conditions on the occurrence of the Closing,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necessary or desirable and that such amendments do not adversely affect the interests of the Registered Holders.</w:t>
      </w:r>
    </w:p>
    <w:p>
      <w:pPr>
        <w:spacing w:after="0" w:line="179" w:lineRule="exact"/>
        <w:rPr>
          <w:rFonts w:ascii="Times New Roman" w:cs="Times New Roman" w:eastAsia="Times New Roman" w:hAnsi="Times New Roman"/>
          <w:sz w:val="18"/>
          <w:szCs w:val="18"/>
          <w:color w:val="auto"/>
        </w:rPr>
      </w:pPr>
    </w:p>
    <w:p>
      <w:pPr>
        <w:ind w:firstLine="494"/>
        <w:spacing w:after="0" w:line="266"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“Learn CW Investment Corporation., a Cayman Islands exempted company” in the Existing Warrant Agreement (including all Exhibits thereto) shall refer instead to “Innventure, Inc., a Delaware corporation.” As a result thereof, all references to the “Company” in the Existing Warrant Agreement shall be references to Innventure, Inc. or Holdco rather than to Learn CW Investment Corporation.</w:t>
      </w:r>
    </w:p>
    <w:p>
      <w:pPr>
        <w:spacing w:after="0" w:line="175" w:lineRule="exact"/>
        <w:rPr>
          <w:rFonts w:ascii="Times New Roman" w:cs="Times New Roman" w:eastAsia="Times New Roman" w:hAnsi="Times New Roman"/>
          <w:sz w:val="18"/>
          <w:szCs w:val="18"/>
          <w:color w:val="auto"/>
        </w:rPr>
      </w:pPr>
    </w:p>
    <w:p>
      <w:pPr>
        <w:ind w:right="100" w:firstLine="494"/>
        <w:spacing w:after="0" w:line="261" w:lineRule="auto"/>
        <w:tabs>
          <w:tab w:leader="none" w:pos="86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Ordinary Shares</w:t>
      </w:r>
      <w:r>
        <w:rPr>
          <w:rFonts w:ascii="Times New Roman" w:cs="Times New Roman" w:eastAsia="Times New Roman" w:hAnsi="Times New Roman"/>
          <w:sz w:val="18"/>
          <w:szCs w:val="18"/>
          <w:color w:val="auto"/>
        </w:rPr>
        <w:t>. All references to “Class A ordinary shares” of Learn CW and “$0.0001 par value” in the Existing Warrant Agreement shall refer instead to “shares of common stock” of Holdco and “par value of $0.0001 per share”, respectively. As a result thereof, all references to “Ordinary Shares” in the Existing Warrant Agreement shall be references to Holdco’s Common Stock rather than to Learn CW’s Class A ordinary shares.</w:t>
      </w:r>
    </w:p>
    <w:p>
      <w:pPr>
        <w:spacing w:after="0" w:line="179" w:lineRule="exact"/>
        <w:rPr>
          <w:rFonts w:ascii="Times New Roman" w:cs="Times New Roman" w:eastAsia="Times New Roman" w:hAnsi="Times New Roman"/>
          <w:sz w:val="18"/>
          <w:szCs w:val="18"/>
          <w:color w:val="auto"/>
        </w:rPr>
      </w:pPr>
    </w:p>
    <w:p>
      <w:pPr>
        <w:ind w:right="180" w:firstLine="494"/>
        <w:spacing w:after="0" w:line="282" w:lineRule="auto"/>
        <w:tabs>
          <w:tab w:leader="none" w:pos="8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The address for notices to Learn CW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the Existing Warrant Assumption Agreement is hereby amended in its entirety as follows:</w:t>
      </w:r>
    </w:p>
    <w:p>
      <w:pPr>
        <w:spacing w:after="0" w:line="16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Attn: Bill Haskell; Roland Austrup and Suzanne Niemeyer</w:t>
      </w:r>
    </w:p>
    <w:p>
      <w:pPr>
        <w:spacing w:after="0" w:line="20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Attn: Thomas Short</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8" w:name="page79"/>
    <w:bookmarkEnd w:id="78"/>
    <w:p>
      <w:pPr>
        <w:ind w:left="880" w:hanging="386"/>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shall not issue fractional Warrants. If a holder of Warrants would be entitled to receive a fractional Warrant, the Company shall round down to the nearest whole number the number of Warrants to be issued to such holder.”</w:t>
      </w:r>
    </w:p>
    <w:p>
      <w:pPr>
        <w:spacing w:after="0" w:line="162" w:lineRule="exact"/>
        <w:rPr>
          <w:sz w:val="20"/>
          <w:szCs w:val="20"/>
          <w:color w:val="auto"/>
        </w:rPr>
      </w:pPr>
    </w:p>
    <w:p>
      <w:pPr>
        <w:ind w:left="880" w:hanging="386"/>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880" w:hanging="386"/>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Existing Warrant Agreement is hereby deleted and replaced with the following:</w:t>
      </w:r>
    </w:p>
    <w:p>
      <w:pPr>
        <w:spacing w:after="0" w:line="225" w:lineRule="exact"/>
        <w:rPr>
          <w:sz w:val="20"/>
          <w:szCs w:val="20"/>
          <w:color w:val="auto"/>
        </w:rPr>
      </w:pPr>
    </w:p>
    <w:p>
      <w:pPr>
        <w:ind w:left="500" w:right="440" w:firstLine="486"/>
        <w:spacing w:after="0" w:line="282" w:lineRule="auto"/>
        <w:rPr>
          <w:sz w:val="20"/>
          <w:szCs w:val="20"/>
          <w:color w:val="auto"/>
        </w:rPr>
      </w:pPr>
      <w:r>
        <w:rPr>
          <w:rFonts w:ascii="Times New Roman" w:cs="Times New Roman" w:eastAsia="Times New Roman" w:hAnsi="Times New Roman"/>
          <w:sz w:val="18"/>
          <w:szCs w:val="18"/>
          <w:color w:val="auto"/>
        </w:rPr>
        <w:t>“The Warrant Agent shall not be required to effect any registration of transfer or exchange which shall result in the issuance of a warrant certificate or book-entry position for a fraction of a warrant.”</w:t>
      </w:r>
    </w:p>
    <w:p>
      <w:pPr>
        <w:spacing w:after="0" w:line="162" w:lineRule="exact"/>
        <w:rPr>
          <w:sz w:val="20"/>
          <w:szCs w:val="20"/>
          <w:color w:val="auto"/>
        </w:rPr>
      </w:pPr>
    </w:p>
    <w:p>
      <w:pPr>
        <w:ind w:left="220" w:hanging="212"/>
        <w:spacing w:after="0"/>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494"/>
        <w:spacing w:after="0" w:line="255" w:lineRule="auto"/>
        <w:tabs>
          <w:tab w:leader="none" w:pos="8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Law and Jurisdiction</w:t>
      </w:r>
      <w:r>
        <w:rPr>
          <w:rFonts w:ascii="Times New Roman" w:cs="Times New Roman" w:eastAsia="Times New Roman" w:hAnsi="Times New Roman"/>
          <w:sz w:val="18"/>
          <w:szCs w:val="18"/>
          <w:color w:val="auto"/>
        </w:rPr>
        <w:t>. The validity, interpretation, and performance of this Warrant Assumption Agreement shall be governed in all respects by the laws of the State of New York. Subject to applicable law, Holdco hereby agrees that any action, proceeding or claim against it arising out of or relating in any way to this Warrant Assumption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Holdco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88" w:lineRule="exact"/>
        <w:rPr>
          <w:rFonts w:ascii="Times New Roman" w:cs="Times New Roman" w:eastAsia="Times New Roman" w:hAnsi="Times New Roman"/>
          <w:sz w:val="18"/>
          <w:szCs w:val="18"/>
          <w:color w:val="auto"/>
        </w:rPr>
      </w:pPr>
    </w:p>
    <w:p>
      <w:pPr>
        <w:ind w:right="80" w:firstLine="494"/>
        <w:spacing w:after="0" w:line="282" w:lineRule="auto"/>
        <w:tabs>
          <w:tab w:leader="none" w:pos="8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Bindin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This Warrant Assumption Agreement shall be binding upon and inure to the benefit of the Parties hereto and to their respective successors and assigns.</w:t>
      </w:r>
    </w:p>
    <w:p>
      <w:pPr>
        <w:spacing w:after="0" w:line="161" w:lineRule="exact"/>
        <w:rPr>
          <w:rFonts w:ascii="Times New Roman" w:cs="Times New Roman" w:eastAsia="Times New Roman" w:hAnsi="Times New Roman"/>
          <w:sz w:val="18"/>
          <w:szCs w:val="18"/>
          <w:color w:val="auto"/>
        </w:rPr>
      </w:pPr>
    </w:p>
    <w:p>
      <w:pPr>
        <w:ind w:right="60" w:firstLine="494"/>
        <w:spacing w:after="0" w:line="256" w:lineRule="auto"/>
        <w:tabs>
          <w:tab w:leader="none" w:pos="8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This Warrant Assumption Agreement sets forth the entire agreement and understanding between the Parties as to the subject matter thereof and merges and supersedes all prior discussions, agreements and understandings of any and every nature among them. Except as expressly set forth in this Warrant Assumption Agreement, provisions of the Existing Warrant Agreement which are not inconsistent with this Warrant Assumption Agreement shall remain in full force and effect. This Warrant Assumption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87" w:lineRule="exact"/>
        <w:rPr>
          <w:rFonts w:ascii="Times New Roman" w:cs="Times New Roman" w:eastAsia="Times New Roman" w:hAnsi="Times New Roman"/>
          <w:sz w:val="18"/>
          <w:szCs w:val="18"/>
          <w:color w:val="auto"/>
        </w:rPr>
      </w:pPr>
    </w:p>
    <w:p>
      <w:pPr>
        <w:ind w:right="40" w:firstLine="494"/>
        <w:spacing w:after="0" w:line="261" w:lineRule="auto"/>
        <w:tabs>
          <w:tab w:leader="none" w:pos="87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Warrant Assumption Agreement shall be deemed severable, and the invalidity or unenforceability of any term or provision hereof shall not affect the validity or enforceability of this Warrant Assumption Agreement or of any other term or provision hereof. Furthermore, in lieu of any such invalid or unenforceable term or provision, the Parties hereto intend that there shall be added as a part of this Warrant Assumption Agreement a provision as similar in terms to such invalid or unenforceable provision as may be possible and be valid and enforceable.</w:t>
      </w:r>
    </w:p>
    <w:p>
      <w:pPr>
        <w:spacing w:after="0" w:line="179" w:lineRule="exact"/>
        <w:rPr>
          <w:rFonts w:ascii="Times New Roman" w:cs="Times New Roman" w:eastAsia="Times New Roman" w:hAnsi="Times New Roman"/>
          <w:sz w:val="18"/>
          <w:szCs w:val="18"/>
          <w:color w:val="auto"/>
        </w:rPr>
      </w:pPr>
    </w:p>
    <w:p>
      <w:pPr>
        <w:ind w:right="20" w:firstLine="494"/>
        <w:spacing w:after="0" w:line="282" w:lineRule="auto"/>
        <w:tabs>
          <w:tab w:leader="none" w:pos="8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herein are for convenience only and are not part of this Warrant Assumption Agreement and shall not affect the interpretation thereof.</w:t>
      </w:r>
    </w:p>
    <w:p>
      <w:pPr>
        <w:spacing w:after="0" w:line="1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406" w:hanging="406"/>
        <w:spacing w:after="0"/>
        <w:tabs>
          <w:tab w:leader="none" w:pos="4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Assumption Agreement may not be amended, except by an instrument in writing signed by each Party hereto.</w:t>
      </w:r>
    </w:p>
    <w:p>
      <w:pPr>
        <w:spacing w:after="0" w:line="225" w:lineRule="exact"/>
        <w:rPr>
          <w:rFonts w:ascii="Times New Roman" w:cs="Times New Roman" w:eastAsia="Times New Roman" w:hAnsi="Times New Roman"/>
          <w:sz w:val="18"/>
          <w:szCs w:val="18"/>
          <w:color w:val="auto"/>
        </w:rPr>
      </w:pPr>
    </w:p>
    <w:p>
      <w:pPr>
        <w:ind w:left="-494" w:firstLine="494"/>
        <w:spacing w:after="0" w:line="255" w:lineRule="auto"/>
        <w:tabs>
          <w:tab w:leader="none" w:pos="3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and Electronic Signatures</w:t>
      </w:r>
      <w:r>
        <w:rPr>
          <w:rFonts w:ascii="Times New Roman" w:cs="Times New Roman" w:eastAsia="Times New Roman" w:hAnsi="Times New Roman"/>
          <w:sz w:val="18"/>
          <w:szCs w:val="18"/>
          <w:color w:val="auto"/>
        </w:rPr>
        <w:t>. This Warrant Assumption Agreement may be executed in any number of counterparts, each of which shall be deemed to be an original, but all such counterparts shall together constitute one and the same Warrant Assumption Agreement. The words “execution,” “signed,” “signature,” “delivery,” and words of like import in or relating to this Warrant Assumption Agreement or any document to be signed in connection with this Warrant Assumption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8" w:lineRule="exact"/>
        <w:rPr>
          <w:rFonts w:ascii="Times New Roman" w:cs="Times New Roman" w:eastAsia="Times New Roman" w:hAnsi="Times New Roman"/>
          <w:sz w:val="18"/>
          <w:szCs w:val="18"/>
          <w:color w:val="auto"/>
        </w:rPr>
      </w:pPr>
    </w:p>
    <w:p>
      <w:pPr>
        <w:jc w:val="both"/>
        <w:ind w:left="-494" w:right="100" w:firstLine="494"/>
        <w:spacing w:after="0" w:line="266" w:lineRule="auto"/>
        <w:tabs>
          <w:tab w:leader="none" w:pos="3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If the Business Combination Agreement is terminated in accordance with its terms before the LCW Merger Effective Time, this Warrant Assumption Agreement shall immediately terminate and cease to have any force or effect, without any liability on the part of any Party hereto, as if this Warrant Assumption Agreement had not been executed and delivered.</w:t>
      </w:r>
    </w:p>
    <w:p>
      <w:pPr>
        <w:spacing w:after="0" w:line="172" w:lineRule="exact"/>
        <w:rPr>
          <w:sz w:val="20"/>
          <w:szCs w:val="20"/>
          <w:color w:val="auto"/>
        </w:rPr>
      </w:pPr>
    </w:p>
    <w:p>
      <w:pPr>
        <w:ind w:left="4086"/>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40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6"/>
          </w:cols>
          <w:pgMar w:left="814"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Warrant Assumption Agreement as of the date first written above.</w:t>
      </w: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26035</wp:posOffset>
            </wp:positionV>
            <wp:extent cx="33515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51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26035</wp:posOffset>
            </wp:positionV>
            <wp:extent cx="33515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51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Carlos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26035</wp:posOffset>
            </wp:positionV>
            <wp:extent cx="33515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Carlos Pinto</w:t>
      </w:r>
    </w:p>
    <w:p>
      <w:pPr>
        <w:spacing w:after="0" w:line="27" w:lineRule="exact"/>
        <w:rPr>
          <w:sz w:val="20"/>
          <w:szCs w:val="20"/>
          <w:color w:val="auto"/>
        </w:rPr>
      </w:pPr>
    </w:p>
    <w:p>
      <w:pPr>
        <w:ind w:left="514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Director</w:t>
      </w:r>
    </w:p>
    <w:p>
      <w:pPr>
        <w:spacing w:after="0" w:line="20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[Signature Page to Warrant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267335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117"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2, 2024, is made and entered into by and among Innventure, Inc. (f/k/a Learn SPAC HoldCo,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Learn CW Investment Corporation, a Cayman Islands exempted company with limited liability (the “</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CWAM LC Sponsor LLC, a Delaware limited liability company (together with its successors and permitted assigns,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undersigned parties listed under Existing Holders on the signature pages hereto (each such party, together with the Sponsor and any person or entity deemed an “Existing Holder,” an “</w:t>
      </w:r>
      <w:r>
        <w:rPr>
          <w:rFonts w:ascii="Times New Roman" w:cs="Times New Roman" w:eastAsia="Times New Roman" w:hAnsi="Times New Roman"/>
          <w:sz w:val="18"/>
          <w:szCs w:val="18"/>
          <w:b w:val="1"/>
          <w:bCs w:val="1"/>
          <w:color w:val="auto"/>
        </w:rPr>
        <w:t>Existing Holder</w:t>
      </w:r>
      <w:r>
        <w:rPr>
          <w:rFonts w:ascii="Times New Roman" w:cs="Times New Roman" w:eastAsia="Times New Roman" w:hAnsi="Times New Roman"/>
          <w:sz w:val="18"/>
          <w:szCs w:val="18"/>
          <w:color w:val="auto"/>
        </w:rPr>
        <w:t xml:space="preserve">”) and the undersigned parties listed under New Holders on the signature pages hereto (each such party, together with any person or entity deemed a “New Holder”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color w:val="auto"/>
        </w:rPr>
        <w:t>New Holder</w:t>
      </w:r>
      <w:r>
        <w:rPr>
          <w:rFonts w:ascii="Times New Roman" w:cs="Times New Roman" w:eastAsia="Times New Roman" w:hAnsi="Times New Roman"/>
          <w:sz w:val="18"/>
          <w:szCs w:val="18"/>
          <w:color w:val="auto"/>
        </w:rPr>
        <w:t>” and collectively with the Existing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Capitalized terms used but not otherwise defined in this Agreement shall have the meaning ascribed to such term in the Business Combination Agreement (as defined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SPAC and the Existing Holders are party to that certain Registration and Shareholders Rights Agreement, dated October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(the “</w:t>
      </w:r>
      <w:r>
        <w:rPr>
          <w:rFonts w:ascii="Times New Roman" w:cs="Times New Roman" w:eastAsia="Times New Roman" w:hAnsi="Times New Roman"/>
          <w:sz w:val="18"/>
          <w:szCs w:val="18"/>
          <w:b w:val="1"/>
          <w:bCs w:val="1"/>
          <w:color w:val="auto"/>
        </w:rPr>
        <w:t>Existing Registration Rights Agreement</w:t>
      </w:r>
      <w:r>
        <w:rPr>
          <w:rFonts w:ascii="Times New Roman" w:cs="Times New Roman" w:eastAsia="Times New Roman" w:hAnsi="Times New Roman"/>
          <w:sz w:val="18"/>
          <w:szCs w:val="18"/>
          <w:color w:val="auto"/>
        </w:rPr>
        <w:t>”), pursuant to which the SPAC granted such Existing Holders certain registration rights with respect to certain securities of the SPAC;</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SPAC has entered into that certain Business Combination Agreement, by and among the Company, the SPAC, LCW Merger Sub,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Innventure Merger Sub, LLC, a Delaware limited liability company, and Innventure LLC, dated as of October 24, 2023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transaction contemplated by the Business Combination Agreement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therein, the Holders will receive, upon closing of the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shares of common stock, par value $0.0001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5.8 of the Existing Registration Rights Agreement, the provisions, covenants and conditions set forth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modified upon the written consent of the SPAC and the Existing Holders of a majority-in-interest of the “Registrable Securities” (as such term was defined in the Existing Registration Rights Agreement) at the time in question;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the SPAC, and all of the Existing Holders desire to amend and restate the Existing Registration Rights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provide the Existing Holders and the New Holders certain registration rights with respect to certain securities of the Company as set forth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representations, covenants and agreements contained herein, and certain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defined in this Article I shall, for all purposes of this Agreement, have the respective meanings set forth below:</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making such information public would materially interfere with a bona fide business, acquisition or divestiture or financing transaction of the Company or is reasonably likely to require premature disclosure of material information that the Company has a bona fide business purpose for preserving as confidential.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Blocking Period</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shall have the meaning given in the Recitals.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Shelf Takedown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Holder</w:t>
      </w:r>
      <w:r>
        <w:rPr>
          <w:rFonts w:ascii="Times New Roman" w:cs="Times New Roman" w:eastAsia="Times New Roman" w:hAnsi="Times New Roman"/>
          <w:sz w:val="18"/>
          <w:szCs w:val="18"/>
          <w:color w:val="auto"/>
        </w:rPr>
        <w:t>” shall have the meaning given in the Preamble. For the avoidance of doubt and notwithstanding anything herein to the contrary, any of Learn Capital, LLC or CWAM Investors LLC or their respective affiliates which are successors in interest to and/or Permitted Transferees of CWAM LC Sponsor LLC shall constitute and be considered and treated as the Sponsor and an Existing Holder for all purposes hereunder.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Registration Rights Agreement</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Indemnified Parties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Holder</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shall mean a person or entity to whom a Holder of Registrable Securities transfers such Registrable Securities, including prior to the expiration of any applicable lock-up period, and to any transferee thereafter.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(a) any shares of Common Stock, including shares issued as a result of, or issuable upon, the conversion or exercise of any options, warrants and other securities convertible into, or exchangeable or exercisable for shares of Common Stock, held by a Holder immediately following the Closing, (b) any shares of Common Stock acquired by a Holder following the date hereof to the extent that such securities are (i) “restricted securities” (as defined in Rule 144) or (ii) otherwise cannot be sold pursuant to Rule 144 without volume or other restrictions or limitations including as to manner or timing of sale, and (c) any other equity security of the Company issued or issuable with respect to any such shares of Common Stock described in the foregoing clauses (a) and (b) by way of stock dividend or stock split or in connection with a combination of shares, recapitalization, merger, consolidation or reorganization; provided, however,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 (ii) such securities shall have been otherwise transferred, new certificates for such securities not bearing a legend restricting further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29" w:lineRule="exact"/>
        <w:rPr>
          <w:sz w:val="20"/>
          <w:szCs w:val="20"/>
          <w:color w:val="auto"/>
        </w:rPr>
      </w:pPr>
    </w:p>
    <w:p>
      <w:pPr>
        <w:ind w:left="1300" w:firstLine="652"/>
        <w:spacing w:after="0" w:line="282" w:lineRule="auto"/>
        <w:tabs>
          <w:tab w:leader="none" w:pos="25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1"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underwriter expenses other than fees, commissions or discounts;</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left="1460" w:right="20" w:firstLine="492"/>
        <w:spacing w:after="0" w:line="282" w:lineRule="auto"/>
        <w:tabs>
          <w:tab w:leader="none" w:pos="24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legal counsel selected by the majority-in-interest of the Demanding Holders initiating a Demand Registration, the majority-in-interest of Holders participating in a Piggyback Registration or the majority-in-interest of Holders participating in a Shelf Underwritten Offering, as applicable.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Removed Shares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shall mean Rule 144 promulgated under the Securities Act or any successor rule promulgated thereafter by the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Demanding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Requesting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Takedown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Underwritten Offering</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SPAC</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Registrations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Shelf Registration</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Initial Registration</w:t>
      </w:r>
      <w:r>
        <w:rPr>
          <w:rFonts w:ascii="Times New Roman" w:cs="Times New Roman" w:eastAsia="Times New Roman" w:hAnsi="Times New Roman"/>
          <w:sz w:val="18"/>
          <w:szCs w:val="18"/>
          <w:color w:val="auto"/>
        </w:rPr>
        <w:t>. The Company shall promptly, but in no event later than 45 days after the date hereof, file a Registration Statement under the Securities Act to permit the public resale of all the Registrable Securities held by the Holders from time to time as permitted by Rule 415 under the Securities Act (or any successor or similar provision adopted by the Commission then in effect) (“</w:t>
      </w:r>
      <w:r>
        <w:rPr>
          <w:rFonts w:ascii="Times New Roman" w:cs="Times New Roman" w:eastAsia="Times New Roman" w:hAnsi="Times New Roman"/>
          <w:sz w:val="18"/>
          <w:szCs w:val="18"/>
          <w:b w:val="1"/>
          <w:bCs w:val="1"/>
          <w:color w:val="auto"/>
        </w:rPr>
        <w:t>Rule 415</w:t>
      </w:r>
      <w:r>
        <w:rPr>
          <w:rFonts w:ascii="Times New Roman" w:cs="Times New Roman" w:eastAsia="Times New Roman" w:hAnsi="Times New Roman"/>
          <w:sz w:val="18"/>
          <w:szCs w:val="18"/>
          <w:color w:val="auto"/>
        </w:rPr>
        <w:t xml:space="preserve">”) on the terms and conditions specified in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use commercially reasonable efforts to cause such Registration Statement to be declared effective as soon as reasonably practicable after the filing thereof, but in no event later than the earlier of (i) sixty (60) days following the filing deadline (or one hundred twenty (120) days after the filing deadline if the Registration Statement is reviewed by, and receives comments from, the Commission) and (ii) fifteen (15) business days after the Company is notified (orally or in writing, whichever is earlier) by the Commission that the Registration Statement will not be “reviewed” or will not be subject to further review. The Registration Statement filed with the Commission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be a shelf registration statement on Form S-1 (a “</w:t>
      </w:r>
      <w:r>
        <w:rPr>
          <w:rFonts w:ascii="Times New Roman" w:cs="Times New Roman" w:eastAsia="Times New Roman" w:hAnsi="Times New Roman"/>
          <w:sz w:val="18"/>
          <w:szCs w:val="18"/>
          <w:b w:val="1"/>
          <w:bCs w:val="1"/>
          <w:color w:val="auto"/>
        </w:rPr>
        <w:t>Form S-1 Shelf</w:t>
      </w:r>
      <w:r>
        <w:rPr>
          <w:rFonts w:ascii="Times New Roman" w:cs="Times New Roman" w:eastAsia="Times New Roman" w:hAnsi="Times New Roman"/>
          <w:sz w:val="18"/>
          <w:szCs w:val="18"/>
          <w:color w:val="auto"/>
        </w:rPr>
        <w:t>”) or such other form of registration statement as is then available to effect a registration for resale of such Registrable Securities, covering such Registrable Securities, and shall contain 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Prospectus in such form as to permit any Holder to sell such Registrable Securities pursuant to Rule 415 at any time beginning on the effective date for such Registration Statement.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provide for the resale pursuant to any method or combination of methods legally available to, and requested by, the Holders. The Company shall use commercially reasonable efforts to cause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 As soon as reasonably practicable following the effective date of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but in any event within five business days of such date, the Company shall notify the Holders of the effectiveness of such Registration Statement. When effective, a Registration Statement filed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(including the documents incorporated therein by reference) will comply as to form in all material respects with all applicable requirements of the Securities Act and the Exchange Act and will not contain any Misstatement.</w:t>
      </w:r>
    </w:p>
    <w:p>
      <w:pPr>
        <w:spacing w:after="0" w:line="19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Form S-3 Shelf</w:t>
      </w:r>
      <w:r>
        <w:rPr>
          <w:rFonts w:ascii="Times New Roman" w:cs="Times New Roman" w:eastAsia="Times New Roman" w:hAnsi="Times New Roman"/>
          <w:sz w:val="18"/>
          <w:szCs w:val="18"/>
          <w:color w:val="auto"/>
        </w:rPr>
        <w:t>. If the initial Registration Statement filed by the Company pursuant to subsection 2.1.1 is a Form S-1 Shelf, upon the Company becoming eligible to register the Registrable Securities for resale by the Holders on a shelf registration statement on Form S-3 (a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Shelf</w:t>
      </w:r>
      <w:r>
        <w:rPr>
          <w:rFonts w:ascii="Times New Roman" w:cs="Times New Roman" w:eastAsia="Times New Roman" w:hAnsi="Times New Roman"/>
          <w:sz w:val="18"/>
          <w:szCs w:val="18"/>
          <w:color w:val="auto"/>
        </w:rPr>
        <w:t>”), the Company shall use commercially reasonable efforts to amend such initial Registration Statement to a Form S-3 Shelf or file a Form S-3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substitution of such initial Registration Statement and cause such Registration Statement to be declared effective as promptly as practicable thereafter. If the Company files a Form S-3 Shelf and at any time thereafter the Company becomes ineligible to use Form S-3 for secondary sales, the Company shall use commercially reasonable efforts to file a Form S-1 Shelf as promptly as practicable to replace the shelf registration statement that is a Form S-3 Shelf and have the Form S-1 Shelf declared effective as promptly as practicable and to cause such Form S-1 Shelf to remain effective, and to be supplemented and amended to the extent necessary to ensure that such Registration Statement is available or, if not available, that another Registration Statement is available, for the resale of all the Registrable Securities held by the Holders until all such Registrable Securities have ceased to be Registrable Securities.</w:t>
      </w:r>
    </w:p>
    <w:p>
      <w:pPr>
        <w:spacing w:after="0" w:line="188"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At any time and from time to time following the effectiveness of the shelf registration statement required by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any Holder or Holders (the “</w:t>
      </w:r>
      <w:r>
        <w:rPr>
          <w:rFonts w:ascii="Times New Roman" w:cs="Times New Roman" w:eastAsia="Times New Roman" w:hAnsi="Times New Roman"/>
          <w:sz w:val="18"/>
          <w:szCs w:val="18"/>
          <w:b w:val="1"/>
          <w:bCs w:val="1"/>
          <w:color w:val="auto"/>
        </w:rPr>
        <w:t>Shelf Demanding Holders</w:t>
      </w:r>
      <w:r>
        <w:rPr>
          <w:rFonts w:ascii="Times New Roman" w:cs="Times New Roman" w:eastAsia="Times New Roman" w:hAnsi="Times New Roman"/>
          <w:sz w:val="18"/>
          <w:szCs w:val="18"/>
          <w:color w:val="auto"/>
        </w:rPr>
        <w:t>”) may request to sell all or a portion of their Registrable Securities in an underwritten offering that is registered pursuant to such shelf registration statement (a “</w:t>
      </w:r>
      <w:r>
        <w:rPr>
          <w:rFonts w:ascii="Times New Roman" w:cs="Times New Roman" w:eastAsia="Times New Roman" w:hAnsi="Times New Roman"/>
          <w:sz w:val="18"/>
          <w:szCs w:val="18"/>
          <w:b w:val="1"/>
          <w:bCs w:val="1"/>
          <w:color w:val="auto"/>
        </w:rPr>
        <w:t>Shelf Underwritten Offering</w:t>
      </w:r>
      <w:r>
        <w:rPr>
          <w:rFonts w:ascii="Times New Roman" w:cs="Times New Roman" w:eastAsia="Times New Roman" w:hAnsi="Times New Roman"/>
          <w:sz w:val="18"/>
          <w:szCs w:val="18"/>
          <w:color w:val="auto"/>
        </w:rPr>
        <w:t>”), provided that such Holder(s) (a) reasonably expects aggregate gross proceeds in excess of $25,000,000 from such Shelf Underwritten Offering or (b) reasonably expects to sell all of the Registrable Securities held by such Holder in such Shelf Underwritten Offering but in no event less than $15,000,000. All requests for a Shelf Underwritten Offering shall be made by giving written notice to the Company (the “</w:t>
      </w:r>
      <w:r>
        <w:rPr>
          <w:rFonts w:ascii="Times New Roman" w:cs="Times New Roman" w:eastAsia="Times New Roman" w:hAnsi="Times New Roman"/>
          <w:sz w:val="18"/>
          <w:szCs w:val="18"/>
          <w:b w:val="1"/>
          <w:bCs w:val="1"/>
          <w:color w:val="auto"/>
        </w:rPr>
        <w:t>Shelf Takedown Notice</w:t>
      </w:r>
      <w:r>
        <w:rPr>
          <w:rFonts w:ascii="Times New Roman" w:cs="Times New Roman" w:eastAsia="Times New Roman" w:hAnsi="Times New Roman"/>
          <w:sz w:val="18"/>
          <w:szCs w:val="18"/>
          <w:color w:val="auto"/>
        </w:rPr>
        <w:t>”). Each Shelf Takedown Notice shall specify the approximate number of Registrable Securities proposed to be sold in the Shelf Underwritten Offering and the expected price range (net of underwriting discounts and commissions) of such Shelf Underwritten Offering. Within five (5) business days after receipt of any Shelf Takedown Notice, the Company shall give written notice of such requested Shelf Underwritten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spacing w:after="0" w:line="254" w:lineRule="auto"/>
        <w:rPr>
          <w:sz w:val="20"/>
          <w:szCs w:val="20"/>
          <w:color w:val="auto"/>
        </w:rPr>
      </w:pPr>
      <w:r>
        <w:rPr>
          <w:rFonts w:ascii="Times New Roman" w:cs="Times New Roman" w:eastAsia="Times New Roman" w:hAnsi="Times New Roman"/>
          <w:sz w:val="18"/>
          <w:szCs w:val="18"/>
          <w:color w:val="auto"/>
        </w:rPr>
        <w:t>Offering to all other Holders of Registrable Securities (the “</w:t>
      </w:r>
      <w:r>
        <w:rPr>
          <w:rFonts w:ascii="Times New Roman" w:cs="Times New Roman" w:eastAsia="Times New Roman" w:hAnsi="Times New Roman"/>
          <w:sz w:val="18"/>
          <w:szCs w:val="18"/>
          <w:b w:val="1"/>
          <w:bCs w:val="1"/>
          <w:color w:val="auto"/>
        </w:rPr>
        <w:t>Company Shelf Takedown Notice</w:t>
      </w:r>
      <w:r>
        <w:rPr>
          <w:rFonts w:ascii="Times New Roman" w:cs="Times New Roman" w:eastAsia="Times New Roman" w:hAnsi="Times New Roman"/>
          <w:sz w:val="18"/>
          <w:szCs w:val="18"/>
          <w:color w:val="auto"/>
        </w:rPr>
        <w:t xml:space="preserve">”) and, subject to reductions consistent with the Pro Rata calculations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shall include in such Shelf Underwritten Offering all Registrable Securities with respect to which the Company has received written requests for inclusion therein (the “</w:t>
      </w:r>
      <w:r>
        <w:rPr>
          <w:rFonts w:ascii="Times New Roman" w:cs="Times New Roman" w:eastAsia="Times New Roman" w:hAnsi="Times New Roman"/>
          <w:sz w:val="18"/>
          <w:szCs w:val="18"/>
          <w:b w:val="1"/>
          <w:bCs w:val="1"/>
          <w:color w:val="auto"/>
        </w:rPr>
        <w:t>Shelf Requesting Holders</w:t>
      </w:r>
      <w:r>
        <w:rPr>
          <w:rFonts w:ascii="Times New Roman" w:cs="Times New Roman" w:eastAsia="Times New Roman" w:hAnsi="Times New Roman"/>
          <w:sz w:val="18"/>
          <w:szCs w:val="18"/>
          <w:color w:val="auto"/>
        </w:rPr>
        <w:t xml:space="preserve">”), within five (5) business days after sending the Company Shelf Takedown Notice. The Company shall enter into an underwriting agreement in a form as is customary in Underwritten Offerings of securities with the managing Underwriter or Underwriters selected by the Company after consultation with the initiating Holders and shall take all such other reasonable actions as are reasonably requested by the managing Underwriter or Underwriters in order to facilitate the disposition of such Registrable Securities. In connection with any Shelf Underwritten Offering contemplated by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underwriting agreement into which each Holder and the Company shall enter shall contain such representations, covenants, indemnities and other rights and obligations of the Company and the selling stockholders as are customary in Underwritten Offerings of securities by the Company.</w:t>
      </w:r>
    </w:p>
    <w:p>
      <w:pPr>
        <w:spacing w:after="0" w:line="19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Holder Information Required for Participation in Registration</w:t>
      </w:r>
      <w:r>
        <w:rPr>
          <w:rFonts w:ascii="Times New Roman" w:cs="Times New Roman" w:eastAsia="Times New Roman" w:hAnsi="Times New Roman"/>
          <w:sz w:val="18"/>
          <w:szCs w:val="18"/>
          <w:color w:val="auto"/>
        </w:rPr>
        <w:t xml:space="preserve">. At least ten(10) business days prior to the first anticipated filing date of a Registration Statement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the Company shall use commercially reasonable efforts to notify each Holder in writing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fifth business day prior to the first anticipated filing date of a Registration Statement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u w:val="single" w:color="auto"/>
          <w:color w:val="auto"/>
        </w:rPr>
        <w:t>Demand Registration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provided that the Company does not have an effective Registration Statement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outstanding covering all the Registrable securities, at any time and from time to time after the first anniversary of the Closing, either (a) the Sponsor, or (b) the New Holders of at least a majority-in-interest of the then-outstanding number of Registrable Securities held by the New Holders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in each case,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five (5)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shall so notify the Company, in writing, within five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18"/>
          <w:szCs w:val="18"/>
          <w:color w:val="auto"/>
        </w:rPr>
        <w:t>Holders pursuant to such Demand Registration. Under no circumstances shall the Company be obligated to effect more than two (2) Registrations initiated by the Sponsor (the “</w:t>
      </w:r>
      <w:r>
        <w:rPr>
          <w:rFonts w:ascii="Times New Roman" w:cs="Times New Roman" w:eastAsia="Times New Roman" w:hAnsi="Times New Roman"/>
          <w:sz w:val="18"/>
          <w:szCs w:val="18"/>
          <w:b w:val="1"/>
          <w:bCs w:val="1"/>
          <w:color w:val="auto"/>
        </w:rPr>
        <w:t>Sponsor Registrations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Learn Capital, LLC (as successor in interest to and/or a Permitted Transferee of the Sponsor) or its affiliates shall be entitled to initiate one (1) Sponsor Registration and (B) CWAM Investors LLC (as successor in interest to and/or a Permitted Transferee of the Sponsor) or its affiliates shall be entitled to initiate one (1) Sponsor Registration, pursuant to a Demand Registration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with respect to any or all Registrable Securities. Notwithstanding anything to the contrary in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any Demand Registration in the form of an Underwritten Offering, must include, in the aggregate, Registrable Securities having an aggregate market value of at least $10,000,000 (based on the Registrable Securities included in such Demand Registration by all Holders participating in such Demand Registration).</w:t>
      </w:r>
    </w:p>
    <w:p>
      <w:pPr>
        <w:spacing w:after="0" w:line="18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Demand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Demand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if a majority-in-interest of the Demanding Holders so advise the Company as part of their written demand for a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 after consultation with the Demanding Holders initiating the Demand Registration.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1134"/>
        <w:spacing w:after="0" w:line="251"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(or Shelf Demanding Holders) and the Requesting Holders (or Shelf Demanding Holders) (if any) in writing that the dollar amount or number of Registrable Securities that the Demanding Holders (or Shelf Demanding Holders) and the Requesting Holders (or Shelf Demanding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or Shelf Demanding Holders, as applicable, and the Requesting Holders or Shelf Requesting Holders, as applicable (pro rata based on the respective number of Registrable Securities that each Demanding Holder or Shelf Demanding Holder, as applicable, has requested be included in such Underwritten Registration and the aggregate number of Registrable Securities that the Requesting Holders or Shelf Requesting Holders, as applicable, have requested be included in such Underwritten Registration (such proportion is referred to herein as “</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that can be sold without exceeding the Maximum Number of Securities; (ii) second, to the extent that the Maximum Number of Securities has not been reached under the foregoing clauses (i), the Common Stock or other equity securities that the Company desires to sell, which can be sold without exceeding the Maximum Number of Securities; and</w:t>
      </w:r>
    </w:p>
    <w:p>
      <w:pPr>
        <w:spacing w:after="0" w:line="11" w:lineRule="exact"/>
        <w:rPr>
          <w:sz w:val="20"/>
          <w:szCs w:val="20"/>
          <w:color w:val="auto"/>
        </w:rPr>
      </w:pPr>
    </w:p>
    <w:p>
      <w:pPr>
        <w:jc w:val="both"/>
        <w:ind w:firstLine="8"/>
        <w:spacing w:after="0" w:line="255" w:lineRule="auto"/>
        <w:tabs>
          <w:tab w:leader="none" w:pos="3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extent that the Maximum Number of Securities has not been reached under the foregoing clauses (i) and (ii),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Any Demanding Holder, Shelf Demanding Holder, Requesting Holder, or Shelf Requesting Holder, pursuant to an Underwritten Registration under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have the right to withdraw from a Registration pursuant to such Demand Registration or a Shelf Underwritten Offering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for any or no reason whatsoever upon written notification to the Company and the Underwriter or Underwriters (if any) of their intention to withdraw from such Underwritten Registration at least five (5) business days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or a Shelf Underwritten Offering prior to the withdrawal of any such Holder under this </w:t>
      </w:r>
      <w:r>
        <w:rPr>
          <w:rFonts w:ascii="Times New Roman" w:cs="Times New Roman" w:eastAsia="Times New Roman" w:hAnsi="Times New Roman"/>
          <w:sz w:val="18"/>
          <w:szCs w:val="18"/>
          <w:u w:val="single" w:color="auto"/>
          <w:color w:val="auto"/>
        </w:rPr>
        <w:t>subsection 2.2.5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u w:val="single" w:color="auto"/>
          <w:color w:val="auto"/>
        </w:rPr>
        <w:t>Piggyback Registration.</w:t>
      </w:r>
    </w:p>
    <w:p>
      <w:pPr>
        <w:spacing w:after="0" w:line="22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by the stockholders of the Company including, without limitation,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other than a Registration Statement (i) filed in connection with any employee stock option or other benefit plan, (ii) for a rights offering or an exchange offer or offering of securities solely to the Company’s existing stockholders, (iii) for an offering of debt that is convertible into equity securities of the Company, (iv) for a dividend reinvestment plan or an at-the-market offering or (v) on Form S-4 or Form S-8 or their successor forms, then the Company shall give written notice of such proposed filing to all of the Holders of Registrable Securities as soon as reasonably practicable but not less than five (5) business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business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commercially reasonable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96"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and (iii) the Common Stock, if any, as to which Registration has been requested pursuant to separate written contractual piggy-back registration rights of other stockholders of the Company, exceeds the Maximum Number of Securities, then:</w:t>
      </w:r>
    </w:p>
    <w:p>
      <w:pPr>
        <w:spacing w:after="0" w:line="189" w:lineRule="exact"/>
        <w:rPr>
          <w:sz w:val="20"/>
          <w:szCs w:val="20"/>
          <w:color w:val="auto"/>
        </w:rPr>
      </w:pPr>
    </w:p>
    <w:p>
      <w:pPr>
        <w:jc w:val="both"/>
        <w:ind w:left="660" w:firstLine="482"/>
        <w:spacing w:after="0" w:line="254" w:lineRule="auto"/>
        <w:tabs>
          <w:tab w:leader="none" w:pos="18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hereof, Pro Rata, which can be sold without exceeding the Maximum Number of Securities; and (C) third, to the extent that the Maximum Number of Securities has not been reached under the foregoing clauses (A) and (B), the Common Stock, if any, as to which Registration has been requested or demanded pursuant to written contractual piggy-back registration rights of other stockholders of the Company, which can be sold without exceeding the Maximum Number of Securities.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left="660" w:firstLine="482"/>
        <w:spacing w:after="0" w:line="253" w:lineRule="auto"/>
        <w:tabs>
          <w:tab w:leader="none" w:pos="16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Pro Rata,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4"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at least five (5)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2.3.3</w:t>
      </w:r>
    </w:p>
    <w:p>
      <w:pPr>
        <w:spacing w:after="0" w:line="19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or a Shelf Underwritten Offering effected under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hereof.</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Restrictions on Registration Rights</w:t>
      </w:r>
      <w:r>
        <w:rPr>
          <w:rFonts w:ascii="Times New Roman" w:cs="Times New Roman" w:eastAsia="Times New Roman" w:hAnsi="Times New Roman"/>
          <w:sz w:val="18"/>
          <w:szCs w:val="18"/>
          <w:color w:val="auto"/>
        </w:rPr>
        <w:t>. If (A) during the period starting with the date sixty (60) days prior to the Company’s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and it continues to actively employ, in good faith, commercially reasonable efforts to cause the applicable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Statement to become effective; (B) the Holders have requested an Underwritten Registration and the Company and the Holders are unable to obtain the commitment of an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the Chief Executive Officer or the Chief Financial Officer of the Company stating that, in their good faith judgment, it would require the Company to make an Adverse Disclosure and that it is therefore essential to defer the filing of such Registration Statement. In such event, the Company shall have the right to defer such filing for a period of not more than ninety (90) days in any 12-month period (the “</w:t>
      </w:r>
      <w:r>
        <w:rPr>
          <w:rFonts w:ascii="Times New Roman" w:cs="Times New Roman" w:eastAsia="Times New Roman" w:hAnsi="Times New Roman"/>
          <w:sz w:val="18"/>
          <w:szCs w:val="18"/>
          <w:b w:val="1"/>
          <w:bCs w:val="1"/>
          <w:color w:val="auto"/>
        </w:rPr>
        <w:t>Aggregate Blocking Period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Rule 415; Removal</w:t>
      </w:r>
      <w:r>
        <w:rPr>
          <w:rFonts w:ascii="Times New Roman" w:cs="Times New Roman" w:eastAsia="Times New Roman" w:hAnsi="Times New Roman"/>
          <w:sz w:val="18"/>
          <w:szCs w:val="18"/>
          <w:color w:val="auto"/>
        </w:rPr>
        <w:t>. If at any time the Commission takes the position that the offering of some or all of the Registrable Securities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Statement on Form S-3 filed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is not eligible to be made on a delayed or continuous basis under the provisions of Rule 415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shall be obligated to use commercially reasonable efforts to advocate with the Commission for the registration of all of the Registrable Securities in accordance with the Commission guidance, including without limitation, Compliance and Disclosure Interpretation 612.09) or requires a Holder to be named as an “underwriter,” the Company shall (i) promptly notify each holder of Registrable Securities thereof (or in the case of the Commission requiring a Holder to be named as an “underwriter,” the Holders) and (ii) use commercially reasonable efforts to persuade the Commission that the offering contemplated by such Registration Statement is a valid secondary offering and not an offering “by or on behalf of the issuer” as defined in Rule 415 and that none of the Holders is an “underwriter.” The Holders whose Registrable Securities are subject to such position of the Commission shall have the right to select one (1) legal counsel designated by the holders of a majority of the Registrable Securities subject to such position of the Commission (at the Company’s sole cost and expense) to review and oversee any registration or matters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including participation in any meetings or discussions with the Commission regarding the Commission’s position and to comment on any written submission made to the Commission with respect thereto. No such written submission regarding the Holders with respect to this matter shall be made to the Commission to which the applicable Holders’ counsel reasonably objects.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Commission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Removed Shares</w:t>
      </w:r>
      <w:r>
        <w:rPr>
          <w:rFonts w:ascii="Times New Roman" w:cs="Times New Roman" w:eastAsia="Times New Roman" w:hAnsi="Times New Roman"/>
          <w:sz w:val="18"/>
          <w:szCs w:val="18"/>
          <w:color w:val="auto"/>
        </w:rPr>
        <w:t xml:space="preserve">”) and/or (ii) agree to such restrictions and limitations on the registration and resale of the Registrable Securities as the Commission may require to assure the Company’s compliance with the requirements of Rule 415;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agree to name any Holder as an “underwriter” in such Registration Statement without the prior written consent of such Holder. In the event of a share removal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give the applicable Holders at least five (5) days’ prior written notice along with the calculations as to such Holder’s allotment. Any removal of shares of the Holders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allocated between the Holders on a Pro Rata basis based on the aggregate amount of Registrable Securities held by the Holders. In the event of a share removal of the Holders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Company shall promptly register the resale of any Removed Shares pursuant to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hereof and in no event shall the filing of such Registration Statement on Form S-1 or subsequent Registration Statement on Form S-3 filed pursuant to the terms of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be counted as a Demand Registration hereunder. Until such time as the Company has registered all of the Removed Shares for resale pursuant to Rule 415 on an effective Registration Statement, the Company shall not be able to defer the filing of a Registration Statement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Article III. Company Procedures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pursuant 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7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commercially reasonable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requested by the applicable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3"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each Holder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3.1.5. notify the Holders whose Registrable Securities are included in a Registration Statement promptly, and in all events within five (5) business days, of the occurrence of any of the following: (i) when such Registration Statement becomes effective; (ii) when any post-effective amendment to such Registration Statement becomes effective; and (iii)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 Misstatement, and promptly make available to the Holders whose Registrable Securities are included in such Registration Statement any such supplement or amendment;</w:t>
      </w:r>
    </w:p>
    <w:p>
      <w:pPr>
        <w:spacing w:after="0" w:line="18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3.1.6.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3.1.7.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3.1.8.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commercially reasonable efforts to prevent the issuance of any stop order or to obtain its withdrawal if such stop order should be issued;</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3.1.9. 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 xml:space="preserve">3.1.10.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 xml:space="preserve">3.1.11. permit a representative of the Holder (such representative to be selected by a majority-in-interest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the Company may not include the name of any Holder or Underwriter or any information regarding any Holder or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8"/>
          <w:szCs w:val="18"/>
          <w:color w:val="auto"/>
        </w:rPr>
        <w:t>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3.1.12. obtain a “comfort” letter from the Company’s independent registered public accountants in the event of an Underwritten Registration, in customary form and covering such matters of the type customarily covered by “comfort” letters as the managing Underwriter may reasonably request, and reasonably satisfactory to a majority-in-interest of the participating Holders;</w:t>
      </w:r>
    </w:p>
    <w:p>
      <w:pPr>
        <w:spacing w:after="0" w:line="176"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3.1.13.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3"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3.1.14.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3.1.15. make available for inspection by the Holders whose Registrable Securities are included in such Registration Statement and who have signed a non-disclosure agreement, any Underwriter participating in any disposition pursuant to such Registration Statement and any attorney, accountant or other professional retained by any Holder whose Registrable Securities are included in such Registration Statement or any Underwriter, all financial and other records, pertinent corporate documents and properties of the Company, as shall be reasonably requested to enable them to exercise their due diligence responsibility, and cause the Company’s officers, directors and employees to supply all information reasonably requested by any of them in connection with such Registration Statement;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3.1.16. make available to its security holders, as soon as reasonably practicable, an earnings statement covering the period of at least twelve</w:t>
      </w:r>
    </w:p>
    <w:p>
      <w:pPr>
        <w:spacing w:after="0" w:line="27" w:lineRule="exact"/>
        <w:rPr>
          <w:sz w:val="20"/>
          <w:szCs w:val="20"/>
          <w:color w:val="auto"/>
        </w:rPr>
      </w:pPr>
    </w:p>
    <w:p>
      <w:pPr>
        <w:ind w:firstLine="8"/>
        <w:spacing w:after="0" w:line="260" w:lineRule="auto"/>
        <w:tabs>
          <w:tab w:leader="none" w:pos="3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8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3.1.17. if the Registration involves the Registration of Registrable Securities involving gross proceeds in excess of $25,000,000, use commercially reasonable efforts to make available senior executives of the Company to participate in customary “road show,” analyst or investor presentations and other such meetings organized by the Underwriters that may be reasonably requested by the Underwriter in any Underwritten Offering;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3.1.18. otherwise, in good faith, cooperate reasonably with, and take such customary actions as may reasonably be requested by the Holders, in connection with such Registration.</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Suspension of Sales; Adverse Disclosure</w:t>
      </w:r>
      <w:r>
        <w:rPr>
          <w:rFonts w:ascii="Times New Roman" w:cs="Times New Roman" w:eastAsia="Times New Roman" w:hAnsi="Times New Roman"/>
          <w:sz w:val="18"/>
          <w:szCs w:val="18"/>
          <w:color w:val="auto"/>
        </w:rPr>
        <w:t>. Upon receipt of written notice from the Company that a Registration Statement or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practicable after the time of such notice),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possible, but in no event more than a total of ninety</w:t>
      </w:r>
    </w:p>
    <w:p>
      <w:pPr>
        <w:spacing w:after="0" w:line="5" w:lineRule="exact"/>
        <w:rPr>
          <w:sz w:val="20"/>
          <w:szCs w:val="20"/>
          <w:color w:val="auto"/>
        </w:rPr>
      </w:pPr>
    </w:p>
    <w:p>
      <w:pPr>
        <w:jc w:val="both"/>
        <w:ind w:firstLine="8"/>
        <w:spacing w:after="0" w:line="252" w:lineRule="auto"/>
        <w:tabs>
          <w:tab w:leader="none" w:pos="3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calculated on a non-consecutive basis, determined in good faith by the Company to be necessary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day of any such suspension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correspondingly decrease the Aggregate Blocking Period available to the Company during any 12-month period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such further action as any Holder may reasonably request, all to the extent required from time to time to enable such Holder to sell or transfer shares of Common Stock held by such Holder without registration under the Securities Act within the limitation of the exemptions provided by Rule 144 or pursuant to any other available exemption from the Securities Act, including providing any legal opinions. Upon the request of any Holder, the Company shall deliver to such Holder a written certification of a duly authorized officer as to whether it has complied with such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Indemnification and Contribution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directors and each person who controls such Holder (within the meaning of the Securities Act) (the “</w:t>
      </w:r>
      <w:r>
        <w:rPr>
          <w:rFonts w:ascii="Times New Roman" w:cs="Times New Roman" w:eastAsia="Times New Roman" w:hAnsi="Times New Roman"/>
          <w:sz w:val="18"/>
          <w:szCs w:val="18"/>
          <w:b w:val="1"/>
          <w:bCs w:val="1"/>
          <w:color w:val="auto"/>
        </w:rPr>
        <w:t>Holder Indemnified Parties</w:t>
      </w:r>
      <w:r>
        <w:rPr>
          <w:rFonts w:ascii="Times New Roman" w:cs="Times New Roman" w:eastAsia="Times New Roman" w:hAnsi="Times New Roman"/>
          <w:sz w:val="18"/>
          <w:szCs w:val="18"/>
          <w:color w:val="auto"/>
        </w:rPr>
        <w:t>”) against all losses, judgments, claims, actions,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inclusion therein. The Company shall promptly reimburse the Holder Indemnified Parties for any legal and any other expenses reasonably incurred by such Holder Indemnified Party in connection with investigating and defending any such losses, judgments, claims, actions, damages, liabilities or expenses. The Company shall indemnify the Underwriters, their officers, directors and each person who controls such Underwriters (within the meaning of the Securities Act) to the same extent as provided in the foregoing with respect to the indemnification of the Holder.</w:t>
      </w:r>
    </w:p>
    <w:p>
      <w:pPr>
        <w:spacing w:after="0" w:line="19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judgments, claims, actions,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inclusion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0"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Miscellaneous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communication under this Agreement must be in writing and given by (i) deposit in the United States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Innventure, Inc., 6900 Tavistock Lakes Boulevard, Suite 400, Orlando, Florida 32827, Attention: Gregory W. Haskell and Roland Austrup, Email: </w:t>
      </w:r>
      <w:r>
        <w:rPr>
          <w:rFonts w:ascii="Times New Roman" w:cs="Times New Roman" w:eastAsia="Times New Roman" w:hAnsi="Times New Roman"/>
          <w:sz w:val="18"/>
          <w:szCs w:val="18"/>
          <w:u w:val="single" w:color="auto"/>
          <w:color w:val="auto"/>
        </w:rPr>
        <w:t>bhaskell@innventure.com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raustrup@innventure.com</w:t>
      </w:r>
      <w:r>
        <w:rPr>
          <w:rFonts w:ascii="Times New Roman" w:cs="Times New Roman" w:eastAsia="Times New Roman" w:hAnsi="Times New Roman"/>
          <w:sz w:val="18"/>
          <w:szCs w:val="18"/>
          <w:color w:val="auto"/>
        </w:rPr>
        <w:t xml:space="preserve"> and, if to any Holder, at such Holder’s address or facsimile number as set forth in the Company’s books and records. Any party may change its address for notice at any time and from time to time by written notice to the other parties hereto.</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u w:val="single" w:color="auto"/>
          <w:color w:val="auto"/>
        </w:rPr>
        <w:t>Assignment; No Third Party Beneficiaries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5.2.2. Prior to the expiration of any applicable lock-up period, no Holder may assign or delegate such Holder’s rights, duties or obligations under this Agreement, in whole or in part, in violation of the applicable lock-up agreement, except in connection with a transfer of Registrable Securities by such Holder to a Permitted Transferee.</w:t>
      </w:r>
    </w:p>
    <w:p>
      <w:pPr>
        <w:spacing w:after="0" w:line="176"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electronic signature or PDF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which shall be deemed an original, and all of which together shall constitute the same instrument, but only one of which need be produced.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in any action,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affects either of (x) the Existing Holders as a group, (y) or the New Holders as a group, respectively, in a manner that is different from any other Holders, as applicable, shall require the prior written consent of (1) a majority-in-interest of the Registrable Securities held by such Existing Holders, or (2) a majority-in-interest of the Registrable Securities held by such New Holders, as applicable, prior to entering into such amendment or waiver; provided, further, that notwithstanding the foregoing, any amendment hereto or waiver hereof that affects one Holder or group of affiliated Holders, solely in its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spacing w:after="0" w:line="258" w:lineRule="auto"/>
        <w:rPr>
          <w:sz w:val="20"/>
          <w:szCs w:val="20"/>
          <w:color w:val="auto"/>
        </w:rPr>
      </w:pPr>
      <w:r>
        <w:rPr>
          <w:rFonts w:ascii="Times New Roman" w:cs="Times New Roman" w:eastAsia="Times New Roman" w:hAnsi="Times New Roman"/>
          <w:sz w:val="18"/>
          <w:szCs w:val="18"/>
          <w:color w:val="auto"/>
        </w:rPr>
        <w:t>capacity as a holder of the shares of capital stock of the Company, in a manner that is materially different from the other Holders (in such capacity) shall require the consent of the Holder or group of affiliated Holders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w:t>
      </w:r>
      <w:r>
        <w:rPr>
          <w:rFonts w:ascii="Times New Roman" w:cs="Times New Roman" w:eastAsia="Times New Roman" w:hAnsi="Times New Roman"/>
          <w:sz w:val="18"/>
          <w:szCs w:val="18"/>
          <w:b w:val="1"/>
          <w:bCs w:val="1"/>
          <w:u w:val="single" w:color="auto"/>
          <w:color w:val="auto"/>
        </w:rPr>
        <w:t>Legend Removal</w:t>
      </w:r>
      <w:r>
        <w:rPr>
          <w:rFonts w:ascii="Times New Roman" w:cs="Times New Roman" w:eastAsia="Times New Roman" w:hAnsi="Times New Roman"/>
          <w:sz w:val="18"/>
          <w:szCs w:val="18"/>
          <w:color w:val="auto"/>
        </w:rPr>
        <w:t>. If a Holder holds Registrable Securities that are eligible to be sold without restriction under Rule 144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set forth under Rule 144(i)) or pursuant to an effective Registration Statement, then, at such Holder’s request, accompanied by such written representations and other documents as the Company or its transfer agent shall reasonably request, the Company shall, reasonably promptly, cause the Company’s transfer agent to remove any restrictive legend set forth on the Registrable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Securities held by such Holder in connection with any sale of such Registrable Securities pursuant to Rule 144 or the effective Registration Statement, as applicable (including, if required by the Company’s transfer agent, by delivering to the Company’s transfer agent a direction letter and opinion of counsel in form reasonably acceptable to the Company’s transfer agent).</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5.14.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and (ii) the date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no Registrable Securities remain outstanding. The provisions of Section 3.5 and Article IV shall survive any termination.</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33432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04" w:name="page105"/>
    <w:bookmarkEnd w:id="104"/>
    <w:p>
      <w:pPr>
        <w:ind w:left="4520"/>
        <w:spacing w:after="0"/>
        <w:rPr>
          <w:sz w:val="20"/>
          <w:szCs w:val="20"/>
          <w:color w:val="auto"/>
        </w:rPr>
      </w:pPr>
      <w:r>
        <w:rPr>
          <w:rFonts w:ascii="Times New Roman" w:cs="Times New Roman" w:eastAsia="Times New Roman" w:hAnsi="Times New Roman"/>
          <w:sz w:val="18"/>
          <w:szCs w:val="18"/>
          <w:color w:val="auto"/>
        </w:rPr>
        <w:t>SPAC:</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LEARN CW INVESTMENT CORPORATION</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SPONSOR:</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CWAM LC SPONSOR LLC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ABF Manager LLC, its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Sole Member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ind w:left="4520"/>
        <w:spacing w:after="0"/>
        <w:rPr>
          <w:sz w:val="20"/>
          <w:szCs w:val="20"/>
          <w:color w:val="auto"/>
        </w:rPr>
      </w:pPr>
      <w:r>
        <w:rPr>
          <w:rFonts w:ascii="Times New Roman" w:cs="Times New Roman" w:eastAsia="Times New Roman" w:hAnsi="Times New Roman"/>
          <w:sz w:val="18"/>
          <w:szCs w:val="18"/>
          <w:color w:val="auto"/>
        </w:rPr>
        <w:t>EXISTING HOLDERS: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color w:val="auto"/>
        </w:rPr>
        <w:t>By: /s/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ind w:left="4500"/>
        <w:spacing w:after="0"/>
        <w:rPr>
          <w:sz w:val="20"/>
          <w:szCs w:val="20"/>
          <w:color w:val="auto"/>
        </w:rPr>
      </w:pPr>
      <w:r>
        <w:rPr>
          <w:rFonts w:ascii="Times New Roman" w:cs="Times New Roman" w:eastAsia="Times New Roman" w:hAnsi="Times New Roman"/>
          <w:sz w:val="17"/>
          <w:szCs w:val="17"/>
          <w:color w:val="auto"/>
        </w:rPr>
        <w:t>The 2011 Jonathan R Goldman and Anuranjita</w:t>
      </w:r>
    </w:p>
    <w:p>
      <w:pPr>
        <w:spacing w:after="0" w:line="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Tewary Revocable Trust</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Anuranjita Tewary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Anuranjita Tewary</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ind w:left="4520"/>
        <w:spacing w:after="0"/>
        <w:rPr>
          <w:sz w:val="20"/>
          <w:szCs w:val="20"/>
          <w:color w:val="auto"/>
        </w:rPr>
      </w:pPr>
      <w:r>
        <w:rPr>
          <w:rFonts w:ascii="Times New Roman" w:cs="Times New Roman" w:eastAsia="Times New Roman" w:hAnsi="Times New Roman"/>
          <w:sz w:val="18"/>
          <w:szCs w:val="18"/>
          <w:color w:val="auto"/>
        </w:rPr>
        <w:t>By: /s/ Daniel H.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Daniel H. Stern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ind w:left="4520"/>
        <w:spacing w:after="0"/>
        <w:rPr>
          <w:sz w:val="20"/>
          <w:szCs w:val="20"/>
          <w:color w:val="auto"/>
        </w:rPr>
      </w:pPr>
      <w:r>
        <w:rPr>
          <w:rFonts w:ascii="Times New Roman" w:cs="Times New Roman" w:eastAsia="Times New Roman" w:hAnsi="Times New Roman"/>
          <w:sz w:val="18"/>
          <w:szCs w:val="18"/>
          <w:color w:val="auto"/>
        </w:rPr>
        <w:t>By: /s/ Peter Relan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Peter Relan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ind w:left="4520"/>
        <w:spacing w:after="0"/>
        <w:rPr>
          <w:sz w:val="20"/>
          <w:szCs w:val="20"/>
          <w:color w:val="auto"/>
        </w:rPr>
      </w:pPr>
      <w:r>
        <w:rPr>
          <w:rFonts w:ascii="Times New Roman" w:cs="Times New Roman" w:eastAsia="Times New Roman" w:hAnsi="Times New Roman"/>
          <w:sz w:val="18"/>
          <w:szCs w:val="18"/>
          <w:color w:val="auto"/>
        </w:rPr>
        <w:t>By: /s/ Ellen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334327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Ellen Levy</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THIS INVESTORS’ RIGHTS AGREEMENT (this “</w:t>
      </w:r>
      <w:r>
        <w:rPr>
          <w:rFonts w:ascii="Times New Roman" w:cs="Times New Roman" w:eastAsia="Times New Roman" w:hAnsi="Times New Roman"/>
          <w:sz w:val="18"/>
          <w:szCs w:val="18"/>
          <w:b w:val="1"/>
          <w:bCs w:val="1"/>
          <w:u w:val="single" w:color="auto"/>
          <w:color w:val="auto"/>
        </w:rPr>
        <w:t>Agreemen</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is entered into as of the 2nd day of October, 2024, by and among Innventure, Inc. f/k/a Learn SPAC Holdco, Inc.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a Delaware corporation, and the undersigned parties listed under Founding Investors on the signature page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collectively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WHEREAS, Holdco is party to that certain Business Combination Agreement, dated as of October 24, 2023 (as amended, amended and restated, supplemented or otherwise modified from time to time, the “</w:t>
      </w:r>
      <w:r>
        <w:rPr>
          <w:rFonts w:ascii="Times New Roman" w:cs="Times New Roman" w:eastAsia="Times New Roman" w:hAnsi="Times New Roman"/>
          <w:sz w:val="18"/>
          <w:szCs w:val="18"/>
          <w:b w:val="1"/>
          <w:bCs w:val="1"/>
          <w:u w:val="single" w:color="auto"/>
          <w:color w:val="auto"/>
        </w:rPr>
        <w:t>BCA</w:t>
      </w:r>
      <w:r>
        <w:rPr>
          <w:rFonts w:ascii="Times New Roman" w:cs="Times New Roman" w:eastAsia="Times New Roman" w:hAnsi="Times New Roman"/>
          <w:sz w:val="18"/>
          <w:szCs w:val="18"/>
          <w:color w:val="auto"/>
        </w:rPr>
        <w:t>”), by and among Holdco, Learn CW Investment Corporation, LCW Merger Sub, Inc., Innventure LLC (“</w:t>
      </w:r>
      <w:r>
        <w:rPr>
          <w:rFonts w:ascii="Times New Roman" w:cs="Times New Roman" w:eastAsia="Times New Roman" w:hAnsi="Times New Roman"/>
          <w:sz w:val="18"/>
          <w:szCs w:val="18"/>
          <w:b w:val="1"/>
          <w:bCs w:val="1"/>
          <w:u w:val="single" w:color="auto"/>
          <w:color w:val="auto"/>
        </w:rPr>
        <w:t>Innventure</w:t>
      </w:r>
      <w:r>
        <w:rPr>
          <w:rFonts w:ascii="Times New Roman" w:cs="Times New Roman" w:eastAsia="Times New Roman" w:hAnsi="Times New Roman"/>
          <w:sz w:val="18"/>
          <w:szCs w:val="18"/>
          <w:color w:val="auto"/>
        </w:rPr>
        <w:t>”), and Innventure Merger Sub, LLC (“</w:t>
      </w:r>
      <w:r>
        <w:rPr>
          <w:rFonts w:ascii="Times New Roman" w:cs="Times New Roman" w:eastAsia="Times New Roman" w:hAnsi="Times New Roman"/>
          <w:sz w:val="18"/>
          <w:szCs w:val="18"/>
          <w:b w:val="1"/>
          <w:bCs w:val="1"/>
          <w:u w:val="single" w:color="auto"/>
          <w:color w:val="auto"/>
        </w:rPr>
        <w:t>Innventure Merger Sub</w:t>
      </w:r>
      <w:r>
        <w:rPr>
          <w:rFonts w:ascii="Times New Roman" w:cs="Times New Roman" w:eastAsia="Times New Roman" w:hAnsi="Times New Roman"/>
          <w:sz w:val="18"/>
          <w:szCs w:val="18"/>
          <w:color w:val="auto"/>
        </w:rPr>
        <w:t>”), pursuant to which, among other things, Innventure Merger Sub merged with and into Innventure, with Innventure being the surviving company and a wholly-owned subsidiary of Holdco, and Innventure members receiving Common Shares of Holdco in exchange for their membership interests in Innventure as provided by the BCA; and</w:t>
      </w:r>
    </w:p>
    <w:p>
      <w:pPr>
        <w:spacing w:after="0" w:line="183"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BCA, Holdco has agreed to grant to the Founding Investors certain rights with respect to nomination of directors on the terms and conditions set forth herein.</w:t>
      </w:r>
    </w:p>
    <w:p>
      <w:pPr>
        <w:spacing w:after="0" w:line="162"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820" w:hanging="812"/>
        <w:spacing w:after="0"/>
        <w:tabs>
          <w:tab w:leader="none" w:pos="8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used herein have the following meanings:</w:t>
      </w:r>
    </w:p>
    <w:p>
      <w:pPr>
        <w:spacing w:after="0" w:line="221"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w:t>
      </w:r>
    </w:p>
    <w:p>
      <w:pPr>
        <w:spacing w:after="0" w:line="155" w:lineRule="exact"/>
        <w:rPr>
          <w:sz w:val="20"/>
          <w:szCs w:val="20"/>
          <w:color w:val="auto"/>
        </w:rPr>
      </w:pPr>
    </w:p>
    <w:p>
      <w:pPr>
        <w:ind w:left="820"/>
        <w:spacing w:after="0"/>
        <w:tabs>
          <w:tab w:leader="none" w:pos="12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is defined in the preamble to this Agreement.</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1.3</w:t>
        <w:tab/>
        <w:t>“</w:t>
      </w:r>
      <w:r>
        <w:rPr>
          <w:rFonts w:ascii="Times New Roman" w:cs="Times New Roman" w:eastAsia="Times New Roman" w:hAnsi="Times New Roman"/>
          <w:sz w:val="18"/>
          <w:szCs w:val="18"/>
          <w:b w:val="1"/>
          <w:bCs w:val="1"/>
          <w:u w:val="single" w:color="auto"/>
          <w:color w:val="auto"/>
        </w:rPr>
        <w:t>BCA</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1.4</w:t>
        <w:tab/>
        <w:t>“</w:t>
      </w:r>
      <w:r>
        <w:rPr>
          <w:rFonts w:ascii="Times New Roman" w:cs="Times New Roman" w:eastAsia="Times New Roman" w:hAnsi="Times New Roman"/>
          <w:sz w:val="18"/>
          <w:szCs w:val="18"/>
          <w:b w:val="1"/>
          <w:bCs w:val="1"/>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Beneficially Owned</w:t>
      </w:r>
      <w:r>
        <w:rPr>
          <w:rFonts w:ascii="Times New Roman" w:cs="Times New Roman" w:eastAsia="Times New Roman" w:hAnsi="Times New Roman"/>
          <w:sz w:val="18"/>
          <w:szCs w:val="18"/>
          <w:color w:val="auto"/>
        </w:rPr>
        <w:t>” has the meaning ascribed to it in Section 13(d) of the Exchange Act.</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1.5</w:t>
        <w:tab/>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Holdco.</w:t>
      </w:r>
    </w:p>
    <w:p>
      <w:pPr>
        <w:spacing w:after="0" w:line="22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1.6</w:t>
        <w:tab/>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BCA.</w:t>
      </w:r>
    </w:p>
    <w:p>
      <w:pPr>
        <w:spacing w:after="0" w:line="225" w:lineRule="exact"/>
        <w:rPr>
          <w:sz w:val="20"/>
          <w:szCs w:val="20"/>
          <w:color w:val="auto"/>
        </w:rPr>
      </w:pPr>
    </w:p>
    <w:p>
      <w:pPr>
        <w:jc w:val="both"/>
        <w:ind w:right="20" w:firstLine="810"/>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u w:val="single" w:color="auto"/>
          <w:color w:val="auto"/>
        </w:rPr>
        <w:t>Common Shares</w:t>
      </w:r>
      <w:r>
        <w:rPr>
          <w:rFonts w:ascii="Times New Roman" w:cs="Times New Roman" w:eastAsia="Times New Roman" w:hAnsi="Times New Roman"/>
          <w:sz w:val="18"/>
          <w:szCs w:val="18"/>
          <w:color w:val="auto"/>
        </w:rPr>
        <w:t>” means shares of Common Stock of Holdco, par value $0.0001 per share.</w:t>
      </w:r>
    </w:p>
    <w:p>
      <w:pPr>
        <w:spacing w:after="0" w:line="225"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u w:val="single" w:color="auto"/>
          <w:color w:val="auto"/>
        </w:rPr>
        <w:t>Founding Investor</w:t>
      </w:r>
      <w:r>
        <w:rPr>
          <w:rFonts w:ascii="Times New Roman" w:cs="Times New Roman" w:eastAsia="Times New Roman" w:hAnsi="Times New Roman"/>
          <w:sz w:val="18"/>
          <w:szCs w:val="18"/>
          <w:color w:val="auto"/>
        </w:rPr>
        <w:t xml:space="preserve">” means each of the persons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each of their Permitted Transferees.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u w:val="single" w:color="auto"/>
          <w:color w:val="auto"/>
        </w:rPr>
        <w:t>Founding Investor Shares</w:t>
      </w:r>
      <w:r>
        <w:rPr>
          <w:rFonts w:ascii="Times New Roman" w:cs="Times New Roman" w:eastAsia="Times New Roman" w:hAnsi="Times New Roman"/>
          <w:sz w:val="18"/>
          <w:szCs w:val="18"/>
          <w:color w:val="auto"/>
        </w:rPr>
        <w:t>” means those Common Shares Beneficially Owned by the Founding Investors.</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u w:val="single" w:color="auto"/>
          <w:color w:val="auto"/>
        </w:rPr>
        <w:t>Independent Director</w:t>
      </w:r>
      <w:r>
        <w:rPr>
          <w:rFonts w:ascii="Times New Roman" w:cs="Times New Roman" w:eastAsia="Times New Roman" w:hAnsi="Times New Roman"/>
          <w:sz w:val="18"/>
          <w:szCs w:val="18"/>
          <w:color w:val="auto"/>
        </w:rPr>
        <w:t>” shall mean a director who complies with the independence requirements for directors with respect to Holdco (without reference to any applicable exemptions from such requirements, and without reference to any heightened requirements for service on the audit committee of the Board of Directors) for companies listed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2" w:name="page113"/>
    <w:bookmarkEnd w:id="112"/>
    <w:p>
      <w:pPr>
        <w:ind w:left="82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u w:val="single" w:color="auto"/>
          <w:color w:val="auto"/>
        </w:rPr>
        <w:t>Majority Founding Investor Direction</w:t>
      </w:r>
      <w:r>
        <w:rPr>
          <w:rFonts w:ascii="Times New Roman" w:cs="Times New Roman" w:eastAsia="Times New Roman" w:hAnsi="Times New Roman"/>
          <w:sz w:val="18"/>
          <w:szCs w:val="18"/>
          <w:color w:val="auto"/>
        </w:rPr>
        <w:t>” means a direction to nominate directors received by Holdco from Founding Investors holding more than 50% of the Founding Investor Shares.</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u w:val="single" w:color="auto"/>
          <w:color w:val="auto"/>
        </w:rPr>
        <w:t>Management Director</w:t>
      </w:r>
      <w:r>
        <w:rPr>
          <w:rFonts w:ascii="Times New Roman" w:cs="Times New Roman" w:eastAsia="Times New Roman" w:hAnsi="Times New Roman"/>
          <w:sz w:val="18"/>
          <w:szCs w:val="18"/>
          <w:color w:val="auto"/>
        </w:rPr>
        <w:t>” shall mean a director who is an executive officer of Holdco.</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u w:val="single" w:color="auto"/>
          <w:color w:val="auto"/>
        </w:rPr>
        <w:t>Minimum Holding Condition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u w:val="single" w:color="auto"/>
          <w:color w:val="auto"/>
        </w:rPr>
        <w:t>Permitted Transferees</w:t>
      </w:r>
      <w:r>
        <w:rPr>
          <w:rFonts w:ascii="Times New Roman" w:cs="Times New Roman" w:eastAsia="Times New Roman" w:hAnsi="Times New Roman"/>
          <w:sz w:val="18"/>
          <w:szCs w:val="18"/>
          <w:color w:val="auto"/>
        </w:rPr>
        <w:t>” means (a) with respect to any Investor, its (i) officers, directors, members, consultants or Affiliates, (ii) relatives and trusts for estate planning purposes, (iii) descendants upon death or (iv) pursuant to a qualified domestic relations order, (b) Holdco, and (c) any other Investor.</w:t>
      </w:r>
    </w:p>
    <w:p>
      <w:pPr>
        <w:spacing w:after="0" w:line="171"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171" w:lineRule="exact"/>
        <w:rPr>
          <w:sz w:val="20"/>
          <w:szCs w:val="20"/>
          <w:color w:val="auto"/>
        </w:rPr>
      </w:pPr>
    </w:p>
    <w:p>
      <w:pPr>
        <w:jc w:val="both"/>
        <w:ind w:firstLine="810"/>
        <w:spacing w:after="0" w:line="28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9" w:lineRule="exact"/>
        <w:rPr>
          <w:sz w:val="20"/>
          <w:szCs w:val="20"/>
          <w:color w:val="auto"/>
        </w:rPr>
      </w:pPr>
    </w:p>
    <w:p>
      <w:pPr>
        <w:ind w:left="820" w:hanging="812"/>
        <w:spacing w:after="0"/>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Designees</w:t>
      </w:r>
    </w:p>
    <w:p>
      <w:pPr>
        <w:spacing w:after="0" w:line="225" w:lineRule="exact"/>
        <w:rPr>
          <w:rFonts w:ascii="Times New Roman" w:cs="Times New Roman" w:eastAsia="Times New Roman" w:hAnsi="Times New Roman"/>
          <w:sz w:val="18"/>
          <w:szCs w:val="18"/>
          <w:color w:val="auto"/>
        </w:rPr>
      </w:pPr>
    </w:p>
    <w:p>
      <w:pPr>
        <w:jc w:val="both"/>
        <w:ind w:left="820" w:firstLine="1132"/>
        <w:spacing w:after="0" w:line="253" w:lineRule="auto"/>
        <w:tabs>
          <w:tab w:leader="none" w:pos="27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the Board shall initially consist of nine (9) directors, including Gregory W. Haskell, David Yablunosky, Michael Otworth, Suzanne Niemeyer, James O. Donnally, Bruce Brown, Elizabeth Williams, Daniel J. Hennessy, and Michael Amalfitano. In accordance with the certificate of incorporation of Holdco, the Board will be divided into three (3) classes serving staggered three-year terms. The initial term of the Class I directors shall expire at the first (1st) annual meeting of the stockholders of Holdco following the Closing Date at which directors are elected. The initial term of the Class II directors shall expire at the second (2nd) annual meeting of the stockholders of Holdco following the Closing Date at which directors are elected. The initial term of the Class III directors shall expire at the third (3rd) annual meeting of the stockholders of Holdco following the Closing Date at which directors are elected. Gregory W. Haskell, Daniel J. Hennessy and Michael Amalfitano will be assigned to Class I, David Yablunosky, James O. Donnally, and Bruce Brown will be assigned to Class II, and Michael Otworth, Suzanne Niemeyer, and Elizabeth Williams will be assigned to Class III. From and after the Closing, the rights of the Founding Investors to designate directors to the Board and its committees shall be as set forth in the remainder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20" w:firstLine="1132"/>
        <w:spacing w:after="0" w:line="256" w:lineRule="auto"/>
        <w:tabs>
          <w:tab w:leader="none" w:pos="257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Date, in respect of each annual meeting or special meeting of the stockholders of Holdco at which directors are to be elected, the Founding Investors, collectively, shall have the right, but not the obligation, to nominate for election to the Board of Directors in any applicable election that number of individuals determined in accordance with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below (the “</w:t>
      </w:r>
      <w:r>
        <w:rPr>
          <w:rFonts w:ascii="Times New Roman" w:cs="Times New Roman" w:eastAsia="Times New Roman" w:hAnsi="Times New Roman"/>
          <w:sz w:val="18"/>
          <w:szCs w:val="18"/>
          <w:b w:val="1"/>
          <w:bCs w:val="1"/>
          <w:u w:val="single" w:color="auto"/>
          <w:color w:val="auto"/>
        </w:rPr>
        <w:t>Founding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Investor Nominees</w:t>
      </w:r>
      <w:r>
        <w:rPr>
          <w:rFonts w:ascii="Times New Roman" w:cs="Times New Roman" w:eastAsia="Times New Roman" w:hAnsi="Times New Roman"/>
          <w:sz w:val="18"/>
          <w:szCs w:val="18"/>
          <w:color w:val="auto"/>
        </w:rPr>
        <w:t>”). Holdco will use reasonable best efforts, including taking all necessary action (to the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extent such action is consistent with the fiduciary duties of the directors under Delaware law), to cause the Founding Investor Nominees to be elected to serve as directors on the Board of Directors.</w:t>
      </w:r>
    </w:p>
    <w:p>
      <w:pPr>
        <w:spacing w:after="0" w:line="187" w:lineRule="exact"/>
        <w:rPr>
          <w:rFonts w:ascii="Times New Roman" w:cs="Times New Roman" w:eastAsia="Times New Roman" w:hAnsi="Times New Roman"/>
          <w:sz w:val="18"/>
          <w:szCs w:val="18"/>
          <w:color w:val="auto"/>
        </w:rPr>
      </w:pPr>
    </w:p>
    <w:p>
      <w:pPr>
        <w:jc w:val="both"/>
        <w:ind w:left="820" w:firstLine="1132"/>
        <w:spacing w:after="0" w:line="266" w:lineRule="auto"/>
        <w:tabs>
          <w:tab w:leader="none" w:pos="258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Founding Investor Nominees which Holdco shall cause to be elected at each annual meeting or special meeting of the stockholders of Holdco at which directors are to be elected is that number which, assuming all such individuals are successfully elected to the Board of Directors,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820"/>
        <w:spacing w:after="0" w:line="282" w:lineRule="auto"/>
        <w:rPr>
          <w:sz w:val="20"/>
          <w:szCs w:val="20"/>
          <w:color w:val="auto"/>
        </w:rPr>
      </w:pPr>
      <w:r>
        <w:rPr>
          <w:rFonts w:ascii="Times New Roman" w:cs="Times New Roman" w:eastAsia="Times New Roman" w:hAnsi="Times New Roman"/>
          <w:sz w:val="18"/>
          <w:szCs w:val="18"/>
          <w:color w:val="auto"/>
        </w:rPr>
        <w:t>taken together with any incumbent director of a different class nominated by the Founding Investors and not standing for election in such election, would result in the number of directors on the Board of Directors nominated by the Founding Investors as specified below:</w:t>
      </w:r>
    </w:p>
    <w:p>
      <w:pPr>
        <w:spacing w:after="0" w:line="162" w:lineRule="exact"/>
        <w:rPr>
          <w:sz w:val="20"/>
          <w:szCs w:val="20"/>
          <w:color w:val="auto"/>
        </w:rPr>
      </w:pPr>
    </w:p>
    <w:p>
      <w:pPr>
        <w:ind w:left="1300" w:firstLine="1786"/>
        <w:spacing w:after="0" w:line="282" w:lineRule="auto"/>
        <w:tabs>
          <w:tab w:leader="none" w:pos="37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collectively beneficially own (directly or indirectly) greater than 70% of the outstanding Common Shares;</w:t>
      </w:r>
    </w:p>
    <w:p>
      <w:pPr>
        <w:spacing w:after="0" w:line="161" w:lineRule="exact"/>
        <w:rPr>
          <w:rFonts w:ascii="Times New Roman" w:cs="Times New Roman" w:eastAsia="Times New Roman" w:hAnsi="Times New Roman"/>
          <w:sz w:val="18"/>
          <w:szCs w:val="18"/>
          <w:color w:val="auto"/>
        </w:rPr>
      </w:pPr>
    </w:p>
    <w:p>
      <w:pPr>
        <w:ind w:left="1300" w:right="20" w:firstLine="1786"/>
        <w:spacing w:after="0" w:line="282" w:lineRule="auto"/>
        <w:tabs>
          <w:tab w:leader="none" w:pos="37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collectively beneficially own more than 50% of the outstanding Common Shares but less than 70% of the outstanding Common Shares;</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7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collectively beneficially own at least 40% of the outstanding Common Shares but less than 50% of the outstanding Common Shares;</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72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collectively beneficially own at least 20% of the outstanding Common Shares but less than 40% of the outstanding Common Shares; and</w:t>
      </w:r>
    </w:p>
    <w:p>
      <w:pPr>
        <w:spacing w:after="0" w:line="161" w:lineRule="exact"/>
        <w:rPr>
          <w:rFonts w:ascii="Times New Roman" w:cs="Times New Roman" w:eastAsia="Times New Roman" w:hAnsi="Times New Roman"/>
          <w:sz w:val="18"/>
          <w:szCs w:val="18"/>
          <w:color w:val="auto"/>
        </w:rPr>
      </w:pPr>
    </w:p>
    <w:p>
      <w:pPr>
        <w:ind w:left="1300" w:firstLine="1786"/>
        <w:spacing w:after="0" w:line="282" w:lineRule="auto"/>
        <w:tabs>
          <w:tab w:leader="none" w:pos="3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directors, so long as the Founding Investors collectively beneficially own at least 5% of the outstanding Common Shares but less than 20% of the outstanding Common Shares.</w:t>
      </w:r>
    </w:p>
    <w:p>
      <w:pPr>
        <w:spacing w:after="0" w:line="162" w:lineRule="exact"/>
        <w:rPr>
          <w:sz w:val="20"/>
          <w:szCs w:val="20"/>
          <w:color w:val="auto"/>
        </w:rPr>
      </w:pPr>
    </w:p>
    <w:p>
      <w:pPr>
        <w:ind w:right="20" w:firstLine="810"/>
        <w:spacing w:after="0" w:line="282" w:lineRule="auto"/>
        <w:rPr>
          <w:sz w:val="20"/>
          <w:szCs w:val="20"/>
          <w:color w:val="auto"/>
        </w:rPr>
      </w:pPr>
      <w:r>
        <w:rPr>
          <w:rFonts w:ascii="Times New Roman" w:cs="Times New Roman" w:eastAsia="Times New Roman" w:hAnsi="Times New Roman"/>
          <w:sz w:val="18"/>
          <w:szCs w:val="18"/>
          <w:color w:val="auto"/>
        </w:rPr>
        <w:t>In the event the size of the Board is increased or decreased at any time to other than nine (9) directors, the Founding Investors’ collective nomination rights under this Section 2.1 shall be proportionately increased or decreased, respectively, rounded up to the nearest whole number.</w:t>
      </w:r>
    </w:p>
    <w:p>
      <w:pPr>
        <w:spacing w:after="0" w:line="162" w:lineRule="exact"/>
        <w:rPr>
          <w:sz w:val="20"/>
          <w:szCs w:val="20"/>
          <w:color w:val="auto"/>
        </w:rPr>
      </w:pPr>
    </w:p>
    <w:p>
      <w:pPr>
        <w:jc w:val="both"/>
        <w:ind w:left="820" w:firstLine="1132"/>
        <w:spacing w:after="0" w:line="266" w:lineRule="auto"/>
        <w:tabs>
          <w:tab w:leader="none" w:pos="251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rights granted to the Founding Investors to designate members of the Board are additive to, and not intended to limit in any way, the rights that Founding Investors or any of their respective Affiliates may have to nominate, elect or remove directors under Holdco’s certificate of incorporation, bylaws or the Delaware General Corporation Law.</w:t>
      </w:r>
    </w:p>
    <w:p>
      <w:pPr>
        <w:spacing w:after="0" w:line="175" w:lineRule="exact"/>
        <w:rPr>
          <w:rFonts w:ascii="Times New Roman" w:cs="Times New Roman" w:eastAsia="Times New Roman" w:hAnsi="Times New Roman"/>
          <w:sz w:val="18"/>
          <w:szCs w:val="18"/>
          <w:color w:val="auto"/>
        </w:rPr>
      </w:pPr>
    </w:p>
    <w:p>
      <w:pPr>
        <w:jc w:val="both"/>
        <w:ind w:left="820" w:firstLine="1132"/>
        <w:spacing w:after="0" w:line="255" w:lineRule="auto"/>
        <w:tabs>
          <w:tab w:leader="none" w:pos="245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agrees, to the fullest extent permitted by applicable law (including with respect to any applicable fiduciary duties under Delaware law), that taking all necessary corporate action to effectuate the above will include (i) including the Persons designated pursuant to this Section 2.1(b) in the slate of nominees recommended by the Board for election at any meeting of stockholders called for the purpose of electing directors, (ii) nominating and recommending each such individual to be elected as a director as provided herein, (iii) soliciting proxies or consents in favor thereof, and (iv) without limiting the foregoing, otherwise using its reasonable best efforts to cause such nominees to be elected to the Board, including providing at least as high a level of support for the election of such nominees as it provides to any other individual standing for election as a director.</w:t>
      </w:r>
    </w:p>
    <w:p>
      <w:pPr>
        <w:spacing w:after="0" w:line="188" w:lineRule="exact"/>
        <w:rPr>
          <w:rFonts w:ascii="Times New Roman" w:cs="Times New Roman" w:eastAsia="Times New Roman" w:hAnsi="Times New Roman"/>
          <w:sz w:val="18"/>
          <w:szCs w:val="18"/>
          <w:color w:val="auto"/>
        </w:rPr>
      </w:pPr>
    </w:p>
    <w:p>
      <w:pPr>
        <w:jc w:val="both"/>
        <w:ind w:left="820" w:firstLine="1132"/>
        <w:spacing w:after="0" w:line="261" w:lineRule="auto"/>
        <w:tabs>
          <w:tab w:leader="none" w:pos="25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this Agreement, then the Founding Investors will be entitled to designate an individual to fill the vacancy. Holdco will take all necessary action (to the extent permitted by applicable law and to the extent such action is consistent with the fiduciary duties of the directors under Delaware law) to cause such replacement designee to become a member of the Board.</w:t>
      </w:r>
    </w:p>
    <w:p>
      <w:pPr>
        <w:spacing w:after="0" w:line="179"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This Agreement and the rights, duties and obligations of Holdco hereunder may not be assigned or delegated by Holdco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 Holdco:</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6900 Tavistock Lakes Boulevard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Suite 400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Orlando, Florida 32827</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Attn: Bill Haskell; Roland Austrup</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Email: bhaskell@innventure.com;</w:t>
            </w:r>
          </w:p>
        </w:tc>
        <w:tc>
          <w:tcPr>
            <w:tcW w:w="0" w:type="dxa"/>
            <w:vAlign w:val="bottom"/>
          </w:tcPr>
          <w:p>
            <w:pPr>
              <w:spacing w:after="0"/>
              <w:rPr>
                <w:sz w:val="1"/>
                <w:szCs w:val="1"/>
                <w:color w:val="auto"/>
              </w:rPr>
            </w:pPr>
          </w:p>
        </w:tc>
      </w:tr>
      <w:tr>
        <w:trPr>
          <w:trHeight w:val="234"/>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raustrup@innventure.com</w:t>
            </w:r>
          </w:p>
        </w:tc>
        <w:tc>
          <w:tcPr>
            <w:tcW w:w="0" w:type="dxa"/>
            <w:vAlign w:val="bottom"/>
          </w:tcPr>
          <w:p>
            <w:pPr>
              <w:spacing w:after="0"/>
              <w:rPr>
                <w:sz w:val="1"/>
                <w:szCs w:val="1"/>
                <w:color w:val="auto"/>
              </w:rPr>
            </w:pPr>
          </w:p>
        </w:tc>
      </w:tr>
      <w:tr>
        <w:trPr>
          <w:trHeight w:val="198"/>
        </w:trPr>
        <w:tc>
          <w:tcPr>
            <w:tcW w:w="214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to:</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Jones Day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1221 Peachtree Street, N.E., Suite 400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Atlanta, Georgia 30361</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Attn: Joel T. May; Patrick S. Baldwin;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L. Short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Email: jtmay@jonesday.com;</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pbaldwin@jonesday.com;</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tshort@jonesday.com</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a Founding Investor, to the address set forth below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76"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No amendment, modification or termination of this Agreement shall be binding upon any party unless executed in writing by such party.</w:t>
      </w:r>
    </w:p>
    <w:p>
      <w:pPr>
        <w:spacing w:after="0" w:line="162" w:lineRule="exact"/>
        <w:rPr>
          <w:sz w:val="20"/>
          <w:szCs w:val="20"/>
          <w:color w:val="auto"/>
        </w:rPr>
      </w:pPr>
    </w:p>
    <w:p>
      <w:pPr>
        <w:jc w:val="both"/>
        <w:ind w:right="20" w:firstLine="810"/>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2"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Holdco fails to observe or perform any covenant or agreement to be observed or performed under this Agreement, the Investor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7" w:lineRule="exact"/>
        <w:rPr>
          <w:sz w:val="20"/>
          <w:szCs w:val="20"/>
          <w:color w:val="auto"/>
        </w:rPr>
      </w:pPr>
    </w:p>
    <w:p>
      <w:pPr>
        <w:jc w:val="both"/>
        <w:ind w:firstLine="810"/>
        <w:spacing w:after="0" w:line="25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This Agreement shall be governed by the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 The parties (a) hereby irrevocably and unconditionally submit to the jurisdiction of Court of Chancery of the State of Delaware and any State of Delaware appellate court therefrom for the purpose of any suit, action or other proceeding arising out of or based upon this Agreement, (b) agree not to commence any suit, action or other proceeding arising out of or based upon this Agreement except in the Court of Chancery of the State of Delaware and any State of Delaware appellate court therefrom,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4" w:lineRule="exact"/>
        <w:rPr>
          <w:sz w:val="20"/>
          <w:szCs w:val="20"/>
          <w:color w:val="auto"/>
        </w:rPr>
      </w:pPr>
    </w:p>
    <w:p>
      <w:pPr>
        <w:jc w:val="both"/>
        <w:ind w:firstLine="81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OF ANY CLAIM OR CAUSE OF ACTION BASED UPON OR ARISING OUT OF THIS AGREEMENT OR THE SUBJECT MATTER HEREOF. THE SCOPE OF THIS WAVIER IS INTENDED TO BE ALL-ENCOMPASSING OF ANY AND ALL DISPUTES THAT MAY BE FILED IN ANY COURT AND THAT RELATE TO THE SUBJECT MATTER OF THIS AGREEMENT, INCLUDING, WITHOUT LIMITATION, CONTRACT CLAIMS, TORT OR DELICT CLAIMS (INCLUDING NEGLIGENCE), BREACH OF DUTY CLAIMS AND ALL OTHER COMMON LAW, CIVIL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RIGHT TO A TRIAL BY JURY FOLLOWING CONSULTATION WITH LEGAL COUNSEL.</w:t>
      </w:r>
    </w:p>
    <w:p>
      <w:pPr>
        <w:spacing w:after="0" w:line="188"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Each party will bear its own costs in respect of any disputes arising under this Agreement. The prevailing party shall be entitled to reasonable legal fees, costs and necessary disbursements in addition to any other relief to which such party may be entitled. Each of the parties to this Agreement consents to personal jurisdiction for any equitable action sought in any court of competent jurisdiction.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firstLine="810"/>
        <w:spacing w:after="0" w:line="282" w:lineRule="auto"/>
        <w:rPr>
          <w:sz w:val="20"/>
          <w:szCs w:val="20"/>
          <w:color w:val="auto"/>
        </w:rPr>
      </w:pPr>
      <w:r>
        <w:rPr>
          <w:rFonts w:ascii="Times New Roman" w:cs="Times New Roman" w:eastAsia="Times New Roman" w:hAnsi="Times New Roman"/>
          <w:sz w:val="18"/>
          <w:szCs w:val="18"/>
          <w:color w:val="221E1F"/>
        </w:rPr>
        <w:t>IN WITNESS WHEREOF, the parties have caused this Investors’ Rights Agreement to be executed and delivered by their duly authorized representatives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INNVENTURE, INC. F/K/A LEARN SPAC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HOLDCO,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color w:val="221E1F"/>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221E1F"/>
        </w:rPr>
        <w:t>Name: Michael Otworth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Chairman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FOUNDING INVESTORS: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OTWORTH</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RICHARD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RICHARD BRENNER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SCOTT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/s/ BILL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BILL HASKELL</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DAVID E.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21E1F"/>
        </w:rPr>
        <w:t>DAVID E. YABLUNOSKY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ROLAND AUSTRUP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ROLAND AUSTRUP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GREG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GREG WASSON</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21E1F"/>
        </w:rPr>
        <w:t>Signature Page to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is effective as of October 2, 2024 by and between Innventure, Inc. (formerly known as Learn SPAC HoldCo,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[Indemnitee]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This Agreement supersedes and replaces any and all previous agreements, if any, between the Company and the Indemnitee covering indemnification.</w:t>
      </w:r>
    </w:p>
    <w:p>
      <w:pPr>
        <w:spacing w:after="0" w:line="176" w:lineRule="exact"/>
        <w:rPr>
          <w:sz w:val="20"/>
          <w:szCs w:val="20"/>
          <w:color w:val="auto"/>
        </w:rPr>
      </w:pPr>
    </w:p>
    <w:p>
      <w:pPr>
        <w:ind w:firstLine="656"/>
        <w:spacing w:after="0" w:line="282" w:lineRule="auto"/>
        <w:tabs>
          <w:tab w:leader="none" w:pos="11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the difficulty in obtaining liability insurance for its directors, officers, employees, controlling persons, fiduciaries and other agents and affiliates, the significant cost of such insurance and the general limitations in the coverage of such insurance.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recognizes the substantial increase in corporate litigation in general, subjecting directors, officers, employees, controlling persons, fiduciaries and other agents and affiliates to expensive litigation risks at the same time as the availability and coverage of liability insurance has been severely limited.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protection available to directors, officers, employees, controlling persons, fiduciaries and other agents and affiliates of the Company may not be adequate under the present circumstances, and directors, officers, employees, controlling persons, fiduciaries and other agents and affiliates of the Company (or persons who may be alleged or deemed to be the same), including the Indemnitee, may not be willing to serve or continue to serve or be associated with the Company in such capacities without additional protection.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 desires to attract and retain the involvement of highly qualified persons, such as Indemnitee, to serve and be associated with the Company, and (b) accordingly, wishes to provide for the indemnification and advancement of expenses to the Indemnitee to the maximum extent permitted by law.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view of the considerations set forth above, the Company desires that Indemnitee shall be indemnified and advanced expenses by the Company as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and covenants contained herein, the receipt and sufficiency of which are hereby acknowledged, the parties hereto agree as follows:</w:t>
      </w:r>
    </w:p>
    <w:p>
      <w:pPr>
        <w:spacing w:after="0" w:line="158" w:lineRule="exact"/>
        <w:rPr>
          <w:sz w:val="20"/>
          <w:szCs w:val="20"/>
          <w:color w:val="auto"/>
        </w:rPr>
      </w:pPr>
    </w:p>
    <w:p>
      <w:pPr>
        <w:ind w:left="1340" w:hanging="684"/>
        <w:spacing w:after="0"/>
        <w:tabs>
          <w:tab w:leader="none" w:pos="1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27"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98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be deemed to have occurred if, on or after the date of this Agreement,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 (as defined in Rule 13d-3 under said Act), directly or indirectly, of securities of the Company representing more than fifty percent (50%) of the total voting power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18"/>
          <w:szCs w:val="18"/>
          <w:color w:val="auto"/>
        </w:rPr>
        <w:t>represented by the Company’s then outstanding Voting Securities, (ii) 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(iv) the stockholders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92" w:lineRule="exact"/>
        <w:rPr>
          <w:sz w:val="20"/>
          <w:szCs w:val="20"/>
          <w:color w:val="auto"/>
        </w:rPr>
      </w:pPr>
    </w:p>
    <w:p>
      <w:pPr>
        <w:jc w:val="both"/>
        <w:ind w:firstLine="1304"/>
        <w:spacing w:after="0" w:line="261" w:lineRule="auto"/>
        <w:tabs>
          <w:tab w:leader="none" w:pos="198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shall mean with respect to a Covered Event: any threatened, asserted, pending or completed action, suit, proceeding or alternative dispute resolution mechanism, or any hearing, inquiry or investigation (formal or informal) that Indemnitee in good faith believes might lead to the institution of any such action, suit, proceeding or alternative dispute resolution mechanism, whether civil, criminal, administrative, investigative or other, including any appeal therefrom.</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include, in addition to Innventure, Inc., any constituent corporation (including any constituent of a constituent) absorbed in a consolidation or merger to which Innventure, Inc. (or any of its wholly owned subsidiaries or majority owned joint ventures)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Event</w:t>
      </w:r>
      <w:r>
        <w:rPr>
          <w:rFonts w:ascii="Times New Roman" w:cs="Times New Roman" w:eastAsia="Times New Roman" w:hAnsi="Times New Roman"/>
          <w:sz w:val="18"/>
          <w:szCs w:val="18"/>
          <w:color w:val="auto"/>
        </w:rPr>
        <w:t>” shall mean any event or occurrence by reason of the fact that Indemnitee is or was a director, officer, employee, agent or fiduciary of the Company, or any subsidiary of the Company, direct or indirect, whether before or after the date of this Agreement, or is or was serving at the request of the Company as a director, officer, employee, agent or fiduciary of another corporation, partnership, joint venture, trust or other enterprise, or by reason of any action or inaction on the part of Indemnitee while serving in such capacity, whether before or after the date of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9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Advance</w:t>
      </w:r>
      <w:r>
        <w:rPr>
          <w:rFonts w:ascii="Times New Roman" w:cs="Times New Roman" w:eastAsia="Times New Roman" w:hAnsi="Times New Roman"/>
          <w:sz w:val="18"/>
          <w:szCs w:val="18"/>
          <w:color w:val="auto"/>
        </w:rPr>
        <w:t>” shall mean a payment to Indemnitee for Expenses pursuant to Section 3 hereof, in advance of the settlement of or final judgment in any action, suit, proceeding or alternative dispute resolution mechanism, hearing, inquiry or investigation, which constitutes a Claim.</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both"/>
        <w:ind w:firstLine="1304"/>
        <w:spacing w:after="0" w:line="257" w:lineRule="auto"/>
        <w:tabs>
          <w:tab w:leader="none" w:pos="18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shall mean any and all direct and indirect costs, losses, claims, damages, fees, expenses and liabilities, joint or several (including reasonable attorneys’ fees and all other costs, expenses and obligations reasonably incurred in connection with investigating, defending, being a witness in or participating in (including on appeal), or preparing to defend, to be a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actually and reasonably incurred, of any Claim and any federal, state, local or foreign taxes imposed on the Indemnitee as a result of the actual or deemed receipt of any payments under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5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Legal Counsel</w:t>
      </w:r>
      <w:r>
        <w:rPr>
          <w:rFonts w:ascii="Times New Roman" w:cs="Times New Roman" w:eastAsia="Times New Roman" w:hAnsi="Times New Roman"/>
          <w:sz w:val="18"/>
          <w:szCs w:val="18"/>
          <w:color w:val="auto"/>
        </w:rPr>
        <w:t>” shall mean an attorney or firm of attorneys, selected in accordance with the provisions of Section 2(d) hereof, who shall not have otherwise performed services for (i) the Company or Indemnitee in any matter material to either such party (other than with respect to matters concerning the rights of Indemnitee under this Agreement, or of other indemnitees under similar indemnity agreements) or (ii) any other party to the Claim giving rise to a claim for indemnification hereunder, within the last three (3) years. Notwithstanding the foregoing, the term “Independent Legal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i w:val="1"/>
          <w:iCs w:val="1"/>
          <w:color w:val="auto"/>
        </w:rPr>
        <w:t>fines”</w:t>
      </w:r>
      <w:r>
        <w:rPr>
          <w:rFonts w:ascii="Times New Roman" w:cs="Times New Roman" w:eastAsia="Times New Roman" w:hAnsi="Times New Roman"/>
          <w:sz w:val="18"/>
          <w:szCs w:val="18"/>
          <w:color w:val="auto"/>
        </w:rPr>
        <w:t xml:space="preserve"> shall include any excise taxes assessed on Indemnitee with respect to an employee benefit plan; and references to “</w:t>
      </w:r>
      <w:r>
        <w:rPr>
          <w:rFonts w:ascii="Times New Roman" w:cs="Times New Roman" w:eastAsia="Times New Roman" w:hAnsi="Times New Roman"/>
          <w:sz w:val="18"/>
          <w:szCs w:val="18"/>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18"/>
          <w:szCs w:val="18"/>
          <w:i w:val="1"/>
          <w:i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Reviewing Party</w:t>
      </w:r>
      <w:r>
        <w:rPr>
          <w:rFonts w:ascii="Times New Roman" w:cs="Times New Roman" w:eastAsia="Times New Roman" w:hAnsi="Times New Roman"/>
          <w:sz w:val="18"/>
          <w:szCs w:val="18"/>
          <w:color w:val="auto"/>
        </w:rPr>
        <w:t>” shall mean, subject to the provisions of Section 2(d), any person or body appointed by the Board of Directors in accordance with applicable law to review the Company’s obligations hereunder and under applicable law, which may include a member or members of the Company’s Board of Directors, Independent Legal Counsel or any other person or body not a party to the particular Claim for which Indemnitee is seeking indemnification, exoneration and hold harmless rights. In the absence of the appointment of another Reviewing Party, but subject to the provisions of Section 2(d), the full Board of Directors shall be deemed to be the “Reviewing Party” within the meaning of this Agreement.</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refers to a section of this Agreement unless otherwise indicated.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Securities</w:t>
      </w:r>
      <w:r>
        <w:rPr>
          <w:rFonts w:ascii="Times New Roman" w:cs="Times New Roman" w:eastAsia="Times New Roman" w:hAnsi="Times New Roman"/>
          <w:sz w:val="18"/>
          <w:szCs w:val="18"/>
          <w:color w:val="auto"/>
        </w:rPr>
        <w:t>” shall mean any securities of the Company that vote generally in the election of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ind w:left="1280" w:hanging="624"/>
        <w:spacing w:after="0"/>
        <w:tabs>
          <w:tab w:leader="none" w:pos="12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89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Expenses</w:t>
      </w:r>
      <w:r>
        <w:rPr>
          <w:rFonts w:ascii="Times New Roman" w:cs="Times New Roman" w:eastAsia="Times New Roman" w:hAnsi="Times New Roman"/>
          <w:sz w:val="18"/>
          <w:szCs w:val="18"/>
          <w:color w:val="auto"/>
        </w:rPr>
        <w:t>. Subject to the provisions of Section 2(b) below, the Company shall indemnify, exonerate and hold harmless Indemnitee for Expenses to the fullest extent permitted by law if Indemnitee was, is or becomes a party to or witness or other participant in, or is threatened to be made a party to or witness or other participant in, any Claim (whether by reason of or arising in part out of a Covered Event), including all interest, assessments and other charges incurred in connection with or in respect of such Expenses.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Indemnification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82"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the event any Reviewing Party shall have determined (in a written opinion, in any case in which Independent Legal Counsel is the Reviewing Party) that Indemnitee is not entitled to be indemnified, exonerated or held harmless hereunder under applicable law, (A) the Company shall have no further obligation under Section 2(a) to make any payments to Indemnitee not made prior to such determination by such Reviewing Party and (B) the Company shall be entitled to be reimbursed by Indemnitee (who hereby agrees to reimburse the Company) for all Expenses theretofore paid in indemnifying, exonerating and holding harmless Indemnitee (within thirty (30) days after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Indemnitee has commenced or thereafter commences legal proceedings in a court of competent jurisdiction to secure a determination that Indemnitee is entitled to be indemnified, exonerated or held harmless hereunder under applicable law, any determination made by any Reviewing Party that Indemnitee is not entitled to be indemnified hereunder under applicable law shall not be binding and Indemnitee shall not be required to reimburse the Company for any Expenses theretofore paid in indemnifying, exonerating and holding harmless Indemnitee until a final judicial determination is made with respect thereto (as to which all rights of appeal therefrom have been exhausted or lapsed). Indemnitee’s obligation to reimburse the Company for any Expenses shall be unsecured and no interest shall be charged thereon.</w:t>
      </w:r>
    </w:p>
    <w:p>
      <w:pPr>
        <w:spacing w:after="0" w:line="19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51"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2(b)(iii) below, if the Reviewing Party shall not have made a determination within forty-five (45) days after receipt by the Company of the request therefor, the requisite determination of entitlement to indemnification shall, to the fullest extent not prohibited by law,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w:t>
      </w:r>
    </w:p>
    <w:p>
      <w:pPr>
        <w:spacing w:after="0" w:line="2"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prohibition of such indemnification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45-day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w:t>
      </w:r>
    </w:p>
    <w:p>
      <w:pPr>
        <w:spacing w:after="0" w:line="185" w:lineRule="exact"/>
        <w:rPr>
          <w:rFonts w:ascii="Times New Roman" w:cs="Times New Roman" w:eastAsia="Times New Roman" w:hAnsi="Times New Roman"/>
          <w:sz w:val="18"/>
          <w:szCs w:val="18"/>
          <w:color w:val="auto"/>
        </w:rPr>
      </w:pPr>
    </w:p>
    <w:p>
      <w:pPr>
        <w:ind w:firstLine="1952"/>
        <w:spacing w:after="0" w:line="282" w:lineRule="auto"/>
        <w:tabs>
          <w:tab w:leader="none" w:pos="2618" w:val="left"/>
        </w:tabs>
        <w:numPr>
          <w:ilvl w:val="3"/>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of Indemnitee to indemnification under this Agreement shall be required to be made prior to the final disposition of the Claim.</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Indemnitee Rights on Unfavorable Determination; Binding Effect</w:t>
      </w:r>
      <w:r>
        <w:rPr>
          <w:rFonts w:ascii="Times New Roman" w:cs="Times New Roman" w:eastAsia="Times New Roman" w:hAnsi="Times New Roman"/>
          <w:sz w:val="18"/>
          <w:szCs w:val="18"/>
          <w:color w:val="auto"/>
        </w:rPr>
        <w:t>. If any Reviewing Party determines that Indemnitee substantively is not entitled to be indemnified, exonerated or held harmless hereunder in whole or in part under applicable law, Indemnitee shall have the right to commence litigation seeking an initial determination by the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court or challenging any such determination by such Reviewing Party or any aspect thereof, including the legal or factual bases therefor, and, subject to the provisions of Section 15 hereof, the Company hereby consents to service of process and to appear in any such proceeding. Absent such litigation, any determination by any Reviewing Party shall be conclusive and binding on the Company and Indemnitee.</w:t>
      </w:r>
    </w:p>
    <w:p>
      <w:pPr>
        <w:spacing w:after="0" w:line="176" w:lineRule="exact"/>
        <w:rPr>
          <w:sz w:val="20"/>
          <w:szCs w:val="20"/>
          <w:color w:val="auto"/>
        </w:rPr>
      </w:pPr>
    </w:p>
    <w:p>
      <w:pPr>
        <w:jc w:val="both"/>
        <w:ind w:firstLine="1304"/>
        <w:spacing w:after="0" w:line="252" w:lineRule="auto"/>
        <w:tabs>
          <w:tab w:leader="none" w:pos="21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Reviewing Party; Change in Control</w:t>
      </w:r>
      <w:r>
        <w:rPr>
          <w:rFonts w:ascii="Times New Roman" w:cs="Times New Roman" w:eastAsia="Times New Roman" w:hAnsi="Times New Roman"/>
          <w:sz w:val="18"/>
          <w:szCs w:val="18"/>
          <w:color w:val="auto"/>
        </w:rPr>
        <w:t>. If there has not been a Change in Control, any Reviewing Party shall be selected by the Board of Directors, which may be the full Board of Directors in the absence of the selection of another Reviewing Party, and if there has been such a Change in Control (other than a Change in Control which has been approved by a majority of the Company’s Board of Directors who were directors immediately prior to such Change in Control), any Reviewing Party with respect to all matters thereafter arising concerning Indemnitee’s indemnification, exoneration and hold harmless rights for Expenses under this Agreement or any other agreement or under the Company’s amended and restated certificate of incorporation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or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as now or hereafter in effect, or under any other applicable law, if desired by Indemnitee, shall be Independent Legal Counsel selected by the Indemnitee and approved by Company (which approval shall not be unreasonably withheld). Such counsel, among other things, shall render its written opinion to the Company and Indemnitee as to whether and to what extent Indemnitee would be entitled to be indemnified, exonerated or held harmless hereunder under applicable law and the Company agrees to abide by such opinion. The Company agrees to pay the reasonable fees of the Independent Legal Counsel referred to above and to fully indemnify, exonerate and hold harmless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Legal Counsel in connection with all matters concerning a single Indemnitee, and such Independent Legal Counsel shall be the Independent Legal Counsel for any or all other Indemnitees unless (i) the Company otherwise determines or (ii) any Indemnitee shall provide a written statement setting forth in detail a reasonable objection to such Independent Legal Counsel representing other Indemnitees.</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Payment of Expenses</w:t>
      </w:r>
      <w:r>
        <w:rPr>
          <w:rFonts w:ascii="Times New Roman" w:cs="Times New Roman" w:eastAsia="Times New Roman" w:hAnsi="Times New Roman"/>
          <w:sz w:val="18"/>
          <w:szCs w:val="18"/>
          <w:color w:val="auto"/>
        </w:rPr>
        <w:t>. Notwithstanding any other provision of this Agreement other than Section 10 hereof, to the fullest extent permitted by applicable law and to the extent that Indemnitee was a party to (or participant in) and has been successful on the merits or otherwise, including, without limitation, the dismissal of an action without prejudice, in defense of any Claim, Indemnitee shall be indemnified, exonerated and held harmless against all Expenses actually and reasonably incurred by Indemnitee in connection therewith. If Indemnitee is not wholly successful in such Claim but is successful, on the merits or otherwise, as to one or more but less than all claims, issues or matters in such Claim,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Claim by dismissal, with or without prejudice, shall be deemed to be a successful result as to such claim, issue or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both"/>
        <w:ind w:firstLine="1304"/>
        <w:spacing w:after="0" w:line="253" w:lineRule="auto"/>
        <w:tabs>
          <w:tab w:leader="none" w:pos="189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exoneration and hold harmless rights provided for in this Agreement is for any reason held by a court of competent jurisdiction to be unavailable to an Indemnitee, then in lieu of indemnifying, exonerating and holding harmless Indemnitee thereunder, the Company shall contribute to the amount paid or required to be paid by Indemnitee as a result of such Expenses (i) in such proportion as is deemed fair and reasonable in light of all of the circumstances in order to reflect the relative benefits received by the Company and Indemnitee as a result of the event(s) and/or transaction(s) giving cause to such Claim or (ii) if the allocation provided by clause (i) above is not permitted by applicable law, in such proportion as is appropriate to reflect not only the relative benefits referred to in clause (i) above but also the relative fault of the Company (and its directors, officers, employees and agents) and Indemnitee in connection with the action or inaction which resulted in such Expenses, as well as any other relevant equitable considerations. In connection with the registration of the Company’s securities, the relative benefits received by the Company and Indemnitee shall be deemed to be in the same respective proportions that the net proceeds from the offering (before deducting expenses) received by the Company and Indemnitee, in each case as set forth in the table on the cover page of the applicable prospectus, bear to the aggregate public offering price of the securities so offered. The relative fault of the Company and Indemnitee shall be determined by reference to, among other things, whether the untrue or alleged untrue statement of a material fact or the omission or alleged omission to state a material fact relates to information supplied by the Company or Indemnitee and the parties’ relative intent, knowledge, access to information and opportunity to correct or prevent such statement or omission.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and Indemnitee agree that it would not be just and equitable if contribution pursuant to this Section 2(f) were determined by pro rata or by any other method of allocation which does not take account of the equitable considerations referred to in the immediately preceding paragraph. In connection with the registration of the Company’s securities, in no event shall Indemnitee be required to contribute any amount under this Section 2(f) in excess of the net proceeds received by Indemnitee from its sale of securities under such registration statement. No person found guilty of fraudulent misrepresentation (within the meaning of Section 11(a) of the Securities Act of 1933, as amended) shall be entitled to contribution from any person who was not found guilty of such fraudulent misrepresentation.</w:t>
      </w:r>
    </w:p>
    <w:p>
      <w:pPr>
        <w:spacing w:after="0" w:line="183" w:lineRule="exact"/>
        <w:rPr>
          <w:sz w:val="20"/>
          <w:szCs w:val="20"/>
          <w:color w:val="auto"/>
        </w:rPr>
      </w:pPr>
    </w:p>
    <w:p>
      <w:pPr>
        <w:ind w:left="1280" w:hanging="624"/>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 Advances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6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Make Expense Advances</w:t>
      </w:r>
      <w:r>
        <w:rPr>
          <w:rFonts w:ascii="Times New Roman" w:cs="Times New Roman" w:eastAsia="Times New Roman" w:hAnsi="Times New Roman"/>
          <w:sz w:val="18"/>
          <w:szCs w:val="18"/>
          <w:color w:val="auto"/>
        </w:rPr>
        <w:t xml:space="preserve">. The Company shall make Expense Advances to Indemnitee upon receipt of a written undertaking,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by or on behalf of the Indemnitee to repay such amounts if it shall ultimately be determined that the Indemnitee is not entitled to be indemnified, exonerated or held harmless therefor by the Company.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0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Undertaking</w:t>
      </w:r>
      <w:r>
        <w:rPr>
          <w:rFonts w:ascii="Times New Roman" w:cs="Times New Roman" w:eastAsia="Times New Roman" w:hAnsi="Times New Roman"/>
          <w:sz w:val="18"/>
          <w:szCs w:val="18"/>
          <w:color w:val="auto"/>
        </w:rPr>
        <w:t>. Any written undertaking by the Indemnitee to repay any Expense Advances hereunder shall be unsecured and no interest shall be charged thereon.</w:t>
      </w:r>
    </w:p>
    <w:p>
      <w:pPr>
        <w:spacing w:after="0" w:line="15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Procedures for Indemnification and Expense Advances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20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All payments of Expenses (including without limitation Expense Advances) by the Company to the Indemnitee pursuant to this Agreement shall be made to the fullest extent permitted by law as soon as practicable after written demand by Indemnitee therefor is presented to the Company, but in no event later than forty-five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8"/>
        <w:spacing w:after="0" w:line="266" w:lineRule="auto"/>
        <w:tabs>
          <w:tab w:leader="none" w:pos="3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written demand by Indemnitee is presented to the Company, except in the case of Expense Advances, which shall be made no later than twenty (20) days after such written demand by Indemnitee is presented to the Company. If the Company disputes a portion of the amounts for which indemnification is requested, the undisputed portion shall be paid and only the disputed portion withheld pending resolution of any such dispute.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3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Notice/Cooperation by Indemnitee</w:t>
      </w:r>
      <w:r>
        <w:rPr>
          <w:rFonts w:ascii="Times New Roman" w:cs="Times New Roman" w:eastAsia="Times New Roman" w:hAnsi="Times New Roman"/>
          <w:sz w:val="18"/>
          <w:szCs w:val="18"/>
          <w:color w:val="auto"/>
        </w:rPr>
        <w:t xml:space="preserve">. Indemnitee shall, as a condition precedent to Indemnitee’s right to be indemnified, exonerated or held harmless or Indemnitee’s right to receive Expense Advances under this Agreement, give the Company notice in writing as soon as practicable of any Claim made against Indemnitee for which indemnification, exoneration and hold harmless rights will or could be sought under this Agreement and, in connection with Indemnitee’s right to receive Expense Advances under this Agreement, provide the Company with a signed, written undertaking,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Notice to the Company shall be directed to the General Counsel and Corporate Secretary of the Company at the address (including electronic address) shown on the signature page of this Agreement (or such other address as the Company shall designate in writing to Indemnitee) and shall include a description of the nature of the Claim and the facts underlying the Claim, in each case to the extent known to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Claim. In addition, Indemnitee shall give the Company such information and cooperation as the Company may reasonably require and as shall be within Indemnitee’s power. The failure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except to the extent (solely with respect to the indemnity hereunder) that such failure or delay materially prejudices the Company.</w:t>
      </w:r>
    </w:p>
    <w:p>
      <w:pPr>
        <w:spacing w:after="0" w:line="19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Presumptions; Burden of Proof</w:t>
      </w:r>
      <w:r>
        <w:rPr>
          <w:rFonts w:ascii="Times New Roman" w:cs="Times New Roman" w:eastAsia="Times New Roman" w:hAnsi="Times New Roman"/>
          <w:sz w:val="18"/>
          <w:szCs w:val="18"/>
          <w:color w:val="auto"/>
        </w:rPr>
        <w:t xml:space="preserve">. For purposes of this Agreement, the termination of any Claim by judgment, order, settlement (whether with or without court approval)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or its equivalent, shall not create a presumption that Indemnitee did not meet any particular standard of conduct or have any particular belief or that a court has determined that indemnification, exoneration and hold harmless rights are not permitted by this Agreement or applicable law. In addition, neither the failure of any Reviewing Party to have made a determination as to whether Indemnitee has met any particular standard of conduct or had any particular belief, nor an actual determination by any Reviewing Party that Indemnitee has not met such standard of conduct or did not have such belief, prior to the commencement of legal proceedings by Indemnitee to secure a judicial determination that Indemnitee should be indemnified, exonerated or held harmless under this Agreement or applicable law, shall be a defense to Indemnitee’s claim or create a presumption that Indemnitee has not met any particular standard of conduct or did not have any particular belief. In connection with any determination by any Reviewing Party or otherwise as to whether the Indemnitee is entitled to be indemnified, exonerated or held harmless hereunder, the burden of proof shall be on the Company to establish that Indemnitee is not so entitled.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firstLine="1304"/>
        <w:spacing w:after="0" w:line="258" w:lineRule="auto"/>
        <w:tabs>
          <w:tab w:leader="none" w:pos="209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Insurers</w:t>
      </w:r>
      <w:r>
        <w:rPr>
          <w:rFonts w:ascii="Times New Roman" w:cs="Times New Roman" w:eastAsia="Times New Roman" w:hAnsi="Times New Roman"/>
          <w:sz w:val="18"/>
          <w:szCs w:val="18"/>
          <w:color w:val="auto"/>
        </w:rPr>
        <w:t>. If, at the time of the receipt by the Company of a notice of a Claim pursuant to Section 4(b) hereof, the Company has liability insurance in effect which may cover such Claim, the Company shall give prompt notice of the commencement of such Claim to the insurers in accordance with the procedures set forth in the respective policies. The Company shall thereafter take all reasonably necessary or desirable action to cause such insurers to pay, on behalf of the Indemnitee, all amounts payable as a result of such Claim in accordance with the terms of such policies.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xml:space="preserve">. In the event the Company shall be obligated hereunder to provide indemnification, exoneration and hold harmless rights for or make any Expense Advances with respect to the Expenses of any Claim, the Company, if appropriate, shall be entitled to assume the defense of such Claim with counsel approved by Indemnitee (which approval shall not be unreasonably withheld)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Indemnitee shall have the right to employ Indemnitee’s separate counsel in any such Claim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Claim, then the fees and expenses of Indemnitee’s separate counsel shall be Expenses for which Indemnitee may receive indemnification, exoneration and hold harmless rights or Expense Advances hereunder. The Company shall have the right to conduct such defense as it sees fit in its sole discretion, including the right to settle any claim, action or proceeding against Indemnitee without the consent of Indemnitee, provided that the terms of such settlement include a full release of Indemnitee by the claimant from all liabilities or potential liabilities under such claim. In the event such full release is not obtained, the Company shall obtain the consent of Indemnitee, regardless of whether the terms of such settlement limit any indemnification, exoneration and hold harmless rights Indemnitee may now, or hereafter, be entitled to under this Agreement, the Company’s Certificate of Incorporation, the Bylaws, any agreement, any vote of stockholders or disinterested directors,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or otherwise.</w:t>
      </w:r>
    </w:p>
    <w:p>
      <w:pPr>
        <w:spacing w:after="0" w:line="190"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Indemnification Rights; Nonexclusivity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94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Company hereby agrees to indemnify, exonerate and hold harmless the Indemnitee to the fullest extent permitted by law, notwithstanding that such indemnification, exoneration and hold harmless rights are not specifically authorized by the other provisions of this Agreement, the Company’s Certificate of Incorporation, the Bylaws or by statute, a vote of stockholders or a resolution of directors, or otherwise. The rights of indemnification and to receive Expense Advances as provided by this Agreement shall be interpreted independently of, and without reference to, any other such rights to which Indemnitee may at any time be entitled. In the event of any change after the date of this Agreement in any applicable law, statute or rule which expands the right of a Delaware corporation to indemnify, exonerate and hold harmless a member of its board of directors or 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both"/>
        <w:spacing w:after="0" w:line="258" w:lineRule="auto"/>
        <w:rPr>
          <w:sz w:val="20"/>
          <w:szCs w:val="20"/>
          <w:color w:val="auto"/>
        </w:rPr>
      </w:pPr>
      <w:r>
        <w:rPr>
          <w:rFonts w:ascii="Times New Roman" w:cs="Times New Roman" w:eastAsia="Times New Roman" w:hAnsi="Times New Roman"/>
          <w:sz w:val="18"/>
          <w:szCs w:val="18"/>
          <w:color w:val="auto"/>
        </w:rPr>
        <w:t>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exonerate and hold harmless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10(a) hereof.</w:t>
      </w:r>
    </w:p>
    <w:p>
      <w:pPr>
        <w:spacing w:after="0" w:line="183" w:lineRule="exact"/>
        <w:rPr>
          <w:sz w:val="20"/>
          <w:szCs w:val="20"/>
          <w:color w:val="auto"/>
        </w:rPr>
      </w:pPr>
    </w:p>
    <w:p>
      <w:pPr>
        <w:jc w:val="both"/>
        <w:ind w:firstLine="1304"/>
        <w:spacing w:after="0" w:line="258" w:lineRule="auto"/>
        <w:tabs>
          <w:tab w:leader="none" w:pos="19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indemnification, exoneration and hold harmless rights and the payment of Expense Advances provided by this Agreement shall be in addition to any rights to which Indemnitee may be entitled under the Company’s Certificate of Incorporation, the Bylaws, any other agreement, any vote of stockholders or disinterested directors, the DGCL, or otherwise. The indemnification, exoneration and hold harmless rights and the payment of Expense Advances provided under this Agreement shall continue as to Indemnitee for any action taken or not taken while serving in an indemnified, exonerated or held harmless capacity even though subsequent thereto Indemnitee may have ceased to serve in such capacity.</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7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Duplication of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be liable under this Agreement to make any payment in connection with any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against Indemnitee to the extent Indemnitee has otherwise actually received payment (under any insurance policy, provision of the Company’s Certificate of Incorporation, the Bylaws or otherwise) of the amounts otherwise payable hereunder, except as provided in Section 18 below.</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Partial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Indemnitee is entitled under any provision of this Agreement to indemnification, exoneration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rights by the Company for some or a portion of Expenses incurred in connection with any Claim, but not, however, for the total amount thereof, the Company shall nevertheless indemnify, exonerate and hold harmless Indemnitee for the portion of such Expenses to which Indemnitee is entitled.</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35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Mutual Acknowledgment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Company and Indemnitee acknowledge that in certain instances, federal law or applicable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may prohibit the Company from indemnifying, exonerating and holding harmless its directors, officers, employees, agents or fiduciaries under this Agreement or otherwise. Indemnitee understands and acknowledges that the Company may be required in the future to undertake with the Securities and Exchange Commission to submit the question of indemnification, exoneration and hold harmless rights to a court in certain circumstances for a determination of the Company’s right under public policy to indemnify, exonerate and hold harmless Indemnitee.</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42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the Company maintains liability insurance applicable to directors, officers, employees,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fiduciaries, Indemnitee shall be covered by such policies in such a manner as to provide Indemnitee the same rights and benefits as are provided to the most favorably insured of the Company’s directors who are not employees of the Company, if Indemnitee is a director who is not employed by the Company; or of the Company’s officers, if Indemnitee is a director of the Company and is also employed by the Company, or is not a director of the Company but is an officer; or in the Company’s sole discretion, if Indemnitee is not an officer or director but is an employee, agent or fiduciary.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1420" w:hanging="764"/>
        <w:spacing w:after="0"/>
        <w:tabs>
          <w:tab w:leader="none" w:pos="14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Agreement, the Company shall not be obligated pursuant to the terms of this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214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Action or Omissions</w:t>
      </w:r>
      <w:r>
        <w:rPr>
          <w:rFonts w:ascii="Times New Roman" w:cs="Times New Roman" w:eastAsia="Times New Roman" w:hAnsi="Times New Roman"/>
          <w:sz w:val="18"/>
          <w:szCs w:val="18"/>
          <w:color w:val="auto"/>
        </w:rPr>
        <w:t xml:space="preserve">. To indemnify, exonerate and hold harmless Indemnitee for Expenses resulting from acts, omissions or transactions for which Indemnitee is prohibited from receiving indemnification, exoneration and hold harmless rights under this Agreement or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 limitation set forth in this Section 10(a) regarding the Company’s obligation to provide indemnification, exoneration and hold harmless rights to Indemnitee, Indemnitee shall be entitled under Section 3 to receive Expense Advances hereunder with respect to any such Claim unless and until a court having jurisdiction over the Claim shall have made a final judicial determination (as to which all rights of appeal therefrom have been exhausted or lapsed) that Indemnitee has engaged in acts, omissions or transactions for which Indemnitee is prohibited from receiving indemnification under this Agreement or applicable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2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To indemnify, exonerate and hold harmless or make Expense Advances to Indemnitee with respect to Claims initiated or brought voluntarily by Indemnitee and not by way of defense, counterclaim or cross claim, except (i) with respect to actions or proceedings brought to establish or enforce an indemnification, exoneration and hold harmless right under this Agreement or any other agreement or insurance policy or under the Company’s Certificate of Incorporation or Bylaws now or hereafter in effect relating to Claims for Covered Events, (ii) in specific cases if the Board of Directors has approved the initiation or bringing of such Claim or (iii) as otherwise required under Section 145 of the DGCL, regardless of whether Indemnitee ultimately is determined to be entitled to such indemnification, exoneration, hold harmless right, Expense Advances or insurance recovery, as the case may be.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Good Faith</w:t>
      </w:r>
      <w:r>
        <w:rPr>
          <w:rFonts w:ascii="Times New Roman" w:cs="Times New Roman" w:eastAsia="Times New Roman" w:hAnsi="Times New Roman"/>
          <w:sz w:val="18"/>
          <w:szCs w:val="18"/>
          <w:color w:val="auto"/>
        </w:rPr>
        <w:t>. To indemnify, exonerate and hold harmless Indemnitee for any Expenses incurred by Indemnitee with respect to any action instituted (i) by Indemnitee to enforce or interpret this Agreement, if a court having jurisdiction over such action determines as provided in Section 13 hereof that each of the material assertions made by Indemnitee as a basis for such action was not made in good faith or was frivolous or (ii) by or in the name of the Company to enforce or interpret this Agreement, if a court having jurisdiction over such action determines as provided in Section 13 hereof that each of the material defenses asserted by Indemnitee in such action was made in bad faith or was frivolous.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Under Section 16(b) or Sarbanes-Oxley Act</w:t>
      </w:r>
      <w:r>
        <w:rPr>
          <w:rFonts w:ascii="Times New Roman" w:cs="Times New Roman" w:eastAsia="Times New Roman" w:hAnsi="Times New Roman"/>
          <w:sz w:val="18"/>
          <w:szCs w:val="18"/>
          <w:color w:val="auto"/>
        </w:rPr>
        <w:t>. To indemnify, exonerate and hold harmless Indemnitee for expenses and the payment of profits arising from the purchase and sale by Indemnitee of securities in violation of Section 16(b) of the Securities Exchange Act of 1934, as amended, or any similar successor statute or any reimbursement of the Company by Indemnitee of any bonus or other incentive-based or equity-based compensation or of any profits realized by Indemnitee from the sale of securities of the Company, as required in each case under the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xml:space="preserve">”), or the payment to the Company of profits arising from the purchase and sale by Indemnitee of securities in violation of Section 306 of the Sarbanes-Oxley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 limitation set forth in this Section 10(d) regarding the Company’s obligation to provide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indemnification, exoneration, and hold harmless, Indemnitee shall be entitled under Section 3 hereof to receive Expense Advances hereunder with respect to any such Claim unless and until a court having jurisdiction over the Claim shall have made a final judicial determination (as to which all rights of appeal therefrom have been exhausted or lapsed) that Indemnitee has violated said statute.</w:t>
      </w:r>
    </w:p>
    <w:p>
      <w:pPr>
        <w:spacing w:after="0" w:line="172" w:lineRule="exact"/>
        <w:rPr>
          <w:sz w:val="20"/>
          <w:szCs w:val="20"/>
          <w:color w:val="auto"/>
        </w:rPr>
      </w:pPr>
    </w:p>
    <w:p>
      <w:pPr>
        <w:ind w:firstLine="656"/>
        <w:spacing w:after="0" w:line="286" w:lineRule="auto"/>
        <w:tabs>
          <w:tab w:leader="none" w:pos="1497"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counterparts and by facsimile or electronic transmission,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an original and all of which, together, shall constitute one instrument.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7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inure to the benefit of and be enforceable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respective successors and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employee, agent or fiduciary (as applicable) of the Company or of any other enterprise at the Company’s request.</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27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 Incurred in Action Relating to Enforcement or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any action is instituted by Indemnitee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or under any liability insurance policies maintained by the Company to enforce or interpret any of the terms hereof or thereof, Indemnitee shall be entitled to be indemnified for all Expenses incurred by Indemnitee with respect to such action (including without limitation attorneys’ fees), regardless of whether Indemnitee is ultimately successful in such action, unless as a part of such action a court having jurisdiction over such action makes a final judicial determination (as to which all rights of appeal therefrom have been exhausted or lapsed) that each of the material assertions made by Indemnitee as a basis for such action was not made in good faith or was frivolous;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until such final judicial determination is made, Indemnitee shall be entitled under Section 3 to receive payment of Expense Advances hereunder with respect to such action. In the event of an action instituted by or in the name of the Company under this Agreement to enforce or interpret any of the terms of this Agreement, Indemnitee shall be entitled to be indemnified, exonerated or held harmless for all Expenses incurred by Indemnitee in defense of such action (including without limitation costs and expenses incurred with respect to Indemnitee’s counterclaims and cross-claims made in such action), unless as a part of such action a court having jurisdiction over such action makes a final judicial determination (as to which all rights of appeal therefrom have been exhausted or lapsed) that each of the material defenses asserted by Indemnitee in such action was made in bad faith or was frivolous;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until such final judicial determination is made, Indemnitee shall be entitled under Section 3 to receive payment of Expense Advances hereunder with respect to such action.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both"/>
        <w:ind w:firstLine="656"/>
        <w:spacing w:after="0" w:line="257" w:lineRule="auto"/>
        <w:tabs>
          <w:tab w:leader="none" w:pos="1359"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demands and other communications under this Agreement shall be in writing (including electronic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deemed duly given (i) if delivered by hand and signed for by the party addressed, on the date of such delivery, (ii) if mailed by domestic certified or registered mail with postage prepaid, on the third business day after the date postmarked or (iii) if sent electronically by electronic mail, on the business day sent if sent before 7:00 P.M. Eastern Time on that day or the next business day after the date sent if sent after 7:00 P.M. Eastern Time on the business day sent. Addresses (including electronic addresses, if applicable) for notice to either party are as shown on the signature page of this Agreement or as subsequently modified by written notice.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32"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Indemnitee each hereby irrevocably consent to the jurisdiction of the courts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for all purposes in connection with any action or proceeding which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30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shall be severable in the event that any of the provisions hereof (including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494"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rights, remedies, liabilities, powers and duties of the parties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Delaware without regard to principles of conflicts of laws.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413"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Primacy of Indemnification; Subrogation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payment under this Agreement, the Company shall be subrogated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of such payment to all of the rights of recovery of Indemnitee from any insurance policy purchased by the Company, who shall execute all documents required and shall do all acts that may be necessary to secure such rights and to enable the Company effectively to bring suit to enforce such rights. In no event, however, shall the Company or any other person have any right of recovery, through subrogation or otherwise, against (i) Indemnitee, or</w:t>
      </w:r>
    </w:p>
    <w:p>
      <w:pPr>
        <w:spacing w:after="0" w:line="3"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insurance policy purchased or maintained by Indemnitee.</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1278"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modification, termination or cancellation of this Agreement shall be effective unless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signed by both the parties hereto. No waiver of any of the provisions of this Agreement shall be deemed to be or shall constitute a waiver of any other provisions hereof (whether or not similar), nor shall such waiver constitute a continuing waiver.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both"/>
        <w:ind w:firstLine="656"/>
        <w:spacing w:after="0" w:line="259" w:lineRule="auto"/>
        <w:tabs>
          <w:tab w:leader="none" w:pos="134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Integration and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sets forth the entire understanding between the parties hereto and supersedes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merges all previous written and oral negotiations, commitments, understandings and agreements relating to the subject matter hereof between the parties hereto, including any existing director or officer indemnification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Agreement is a supplement to and in furtherance of the Certificate of Incorporation, the Bylaws, any directors and officers insurance maintained by the Company and applicable law, and shall not be deemed a substitute therefor, nor to diminish or abrogate any rights of Indemnitee thereunder.</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78"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Construction as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shall be construed as giving Indemnitee any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by the Company or any of its subsidiaries or affiliated entities.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4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the Company undertakes to cause such act, resolution, approval or other procedure to be affected or adopted in a manner that will enable the Company to fulfill its obligations under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Indemnification Agreement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Authorized Officer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6900 Tavistock Lakes Blvd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Suite 400</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Electronic Mail: legalnotices@innventure.com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17" w:right="107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Undertaking</w:t>
      </w:r>
    </w:p>
    <w:p>
      <w:pPr>
        <w:spacing w:after="0" w:line="221" w:lineRule="exact"/>
        <w:rPr>
          <w:sz w:val="20"/>
          <w:szCs w:val="20"/>
          <w:color w:val="auto"/>
        </w:rPr>
      </w:pPr>
    </w:p>
    <w:p>
      <w:pPr>
        <w:jc w:val="center"/>
        <w:ind w:left="340" w:right="5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AFFIRMATION AND UNDERTAKING FOR ADVANCE OF EXPENSES PURSUANT TO SECTION 145(e) OF THE GENERAL CORPORATION LAW OF THE STATE OF DELAWARE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Pursuant to Section 145(e)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Article X, Section 2 of the Amended and Restated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of Innventure, Inc. (formerly known as Learn SPAC HoldCo,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Section 3(a) of my Indemnification Agreement with the Company (the “</w:t>
      </w:r>
      <w:r>
        <w:rPr>
          <w:rFonts w:ascii="Times New Roman" w:cs="Times New Roman" w:eastAsia="Times New Roman" w:hAnsi="Times New Roman"/>
          <w:sz w:val="18"/>
          <w:szCs w:val="18"/>
          <w:b w:val="1"/>
          <w:bCs w:val="1"/>
          <w:i w:val="1"/>
          <w:iCs w:val="1"/>
          <w:color w:val="auto"/>
        </w:rPr>
        <w:t>Indemnification Agreement</w:t>
      </w:r>
      <w:r>
        <w:rPr>
          <w:rFonts w:ascii="Times New Roman" w:cs="Times New Roman" w:eastAsia="Times New Roman" w:hAnsi="Times New Roman"/>
          <w:sz w:val="18"/>
          <w:szCs w:val="18"/>
          <w:color w:val="auto"/>
        </w:rPr>
        <w:t>”), I understand that I must provide a written undertaking in order for the Company to make Expense Advances to me in connection with [NAME OF PROCEEDING], as well as in any related action, suit or proceeding that is threatened, pending or may be filed in the future in which I am a party, a witness or other participant.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capitalized terms used herein and not otherwise defined shall have the meanings specified in the Indemnification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hereby affirm my good-faith belief that I have met the standard of conduct for indemnification imposed by Section 145(d) of the DGCL. I affirm that in connection with the matters for which I seek Expense Advances, I have acted in good faith and in a manner I reasonably believed to be in or not opposed to the best interests of the Company, and with respect to any criminal action or proceeding, had no reasonable cause to believe that such conduct was unlawful.</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hereby undertake to repay the Expense Advances if it is ultimately determined that I am not entitled to be indemnified, exonerated or held harmless therefor by the Company under Section 145 of the DGCL, Article X of the Certificate of Incorporation or the Indemnification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undertaking is a general, unsecured obligation, and no interest shall be charged 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have executed this Affirmation and Undertaking on this ____ day of __________,20___.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10.9</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October [__],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6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w:t>
            </w:r>
          </w:p>
        </w:tc>
        <w:tc>
          <w:tcPr>
            <w:tcW w:w="14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DEFINITIONS</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General Interpretive Principles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SALE AND PURCHASE OF SERIES B PREFERRED STOCK</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and Purchase of the Series B Preferred Stock</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Closing</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Conditions Precedent to Closing</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ARTICLE III</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Representations and Warranties of the Company</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 of Each Purchaser</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ARTICLE IV</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Company Registration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Obligations of the Company</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Furnish Information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Expenses of Registration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V</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ADDITIONAL AGREEMENTS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  Taking of Necessary Action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Actions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Treatment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4501 Tax</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0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88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88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Survival of Representations and Warranties and Registration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Entire Agreement; Third Party Beneficiaries; Amendment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  Successors and Assigns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Governing Law; Jurisdiction;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Section 4501 Tax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88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 – PURCHASERS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040" w:type="dxa"/>
            <w:vAlign w:val="bottom"/>
          </w:tcPr>
          <w:p>
            <w:pPr>
              <w:spacing w:after="0"/>
              <w:rPr>
                <w:sz w:val="24"/>
                <w:szCs w:val="24"/>
                <w:color w:val="auto"/>
              </w:rPr>
            </w:pPr>
          </w:p>
        </w:tc>
        <w:tc>
          <w:tcPr>
            <w:tcW w:w="7880" w:type="dxa"/>
            <w:vAlign w:val="bottom"/>
          </w:tcPr>
          <w:p>
            <w:pPr>
              <w:jc w:val="center"/>
              <w:ind w:left="1191"/>
              <w:spacing w:after="0"/>
              <w:rPr>
                <w:sz w:val="20"/>
                <w:szCs w:val="20"/>
                <w:color w:val="auto"/>
              </w:rPr>
            </w:pPr>
            <w:r>
              <w:rPr>
                <w:rFonts w:ascii="Times New Roman" w:cs="Times New Roman" w:eastAsia="Times New Roman" w:hAnsi="Times New Roman"/>
                <w:sz w:val="14"/>
                <w:szCs w:val="14"/>
                <w:color w:val="auto"/>
              </w:rPr>
              <w:t>2</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40" w:type="dxa"/>
            <w:vAlign w:val="bottom"/>
            <w:tcBorders>
              <w:bottom w:val="single" w:sz="8" w:color="auto"/>
            </w:tcBorders>
          </w:tcPr>
          <w:p>
            <w:pPr>
              <w:spacing w:after="0"/>
              <w:rPr>
                <w:sz w:val="3"/>
                <w:szCs w:val="3"/>
                <w:color w:val="auto"/>
              </w:rPr>
            </w:pPr>
          </w:p>
        </w:tc>
        <w:tc>
          <w:tcPr>
            <w:tcW w:w="7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u w:val="single" w:color="auto"/>
          <w:color w:val="auto"/>
        </w:rPr>
        <w:t>INVESTMENT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[__], 2024, is by and among Learn SPAC HoldCo, Inc., a Delaware corporation (which shall be renamed “Innventure, Inc.” upon consummation of the Transaction,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3,000,000 shares of the Company’s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purchase price of $10.00 per share (the “</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having the terms and conditions specified in the form of Certificate of Designation attached hereto as Exhibit A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dated as of October 24, 2023, by and among the Company, Learn CW Investment Corporation, a Cayman Islands exempted company with limited liability, LCW Merger Sub, Inc., a Delaware corporation, Innventure Merger Sub, LLC, a Delaware limited liability company, and Innventure LLC, a Delaware limited liability company, as the same may be amended, modified or supplemented from time to time.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shall be listed and traded on the Listing Exchange under the name and ticker “INV” upon consummation of the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a nationally recognized stock exchange or listing system mutually agreed to by the parties, which shall either be the Nasdaq Stock Market (Nasdaq) or NYSE American LLC (NYSE American).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 or the Business Combination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the preamble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Business Combination Agreement, and the consummation of which shall take place on the Closing Date (as defined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B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B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B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1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B Preferred Stock pursuant to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via the exchange of documents and signatures substantially concurrently with the consummation of the Transaction, subject to the satisfaction or waiver of the conditions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(such date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Purchaser is not ready and able to fund the Closing on the date of the consummation of the Transaction, the parties hereto agree that they shall use reasonable best efforts to consummate the Closing as soon as practicable, but not later than five (5) Business Days following the consummation of the Transaction.</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64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B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B Preferred Stock to each applicable Purchaser on the transfer agent’s books and records, against payment in full by or on behalf of such Purchaser of the applicable Purchase Price and (B) deliver to each Purchaser this Agreement and the Certificate, each of which shall be duly authorized and executed by the Company.</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6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Conditions Precedent to 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21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of the Company and the Purchasers to consummate the Closing shall be subject to the satisfaction or waiver,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have enacted, issued, promulgated, enforced or entered any judgment, order, law, rule or regulation which is then in effect and has the effect of making the consummation of the transactions contemplated hereby illegal or otherwise restraining or prohibiting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have closed.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Purchaser to consummate the Closing shall be subject to the satisfaction or waiver by such Purchaser, in its sole discretion and if permissible under applicable law, on or prior to the Closing Date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ind w:left="2660" w:hanging="708"/>
        <w:spacing w:after="0"/>
        <w:tabs>
          <w:tab w:leader="none" w:pos="2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have occurred by the Outside Date;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60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shall be true and correct in all material respects at and as of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63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this Agreement to be performed, satisfied or complied with by it at or prior to the Closing Date;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2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of the Secretary or an Assistant Secretary of the Company in form reasonably acceptable to the Purchasers with respect to the Company’s good standing in its jurisdiction of organization, its organizational documents, and its corporate authorization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consummate the Closing shall be subject to the satisfaction or waiver by the Company, in its sole discretion and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9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Purchasers contained in this Agreement shall be true and correct as to each Purchaser, severally and not jointly, except as would not have a material adverse effect on such Purchaser’s ability to consummate the transactions contemplated hereby;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2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performed, satisfied and complied in all material respects with all covenants, agreements and conditions required by this Agreement to be performed, satisfied or complied with by it at or prior to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and as of the Closing Date (or, if any such representations and warranties expressly relate to an earlier date, then as of such earlier date), the Company represents and warrants to each Purchaser as follows:</w:t>
      </w:r>
    </w:p>
    <w:p>
      <w:pPr>
        <w:spacing w:after="0" w:line="390" w:lineRule="exact"/>
        <w:rPr>
          <w:sz w:val="20"/>
          <w:szCs w:val="20"/>
          <w:color w:val="auto"/>
        </w:rPr>
      </w:pPr>
    </w:p>
    <w:p>
      <w:pPr>
        <w:jc w:val="both"/>
        <w:ind w:firstLine="656"/>
        <w:spacing w:after="0" w:line="261" w:lineRule="auto"/>
        <w:tabs>
          <w:tab w:leader="none" w:pos="127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both"/>
        <w:ind w:firstLine="656"/>
        <w:spacing w:after="0" w:line="253" w:lineRule="auto"/>
        <w:tabs>
          <w:tab w:leader="none" w:pos="139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(1) 250,000,000 shares of Common Stock, and (2)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5,000,000 shares will have been designated as “Series B Preferred Stock.” Other than as disclosed here, in the Company Reports and as may be contemplated in connection with the consummation of the Transaction, there are no (i) outstanding warrants, options, agreements, convertible securities, performance units or other commitments or instruments pursuant to which the Company is or may become obligated to issue or sell any securities, including Common Stock, (ii) outstanding obligations of the Company to repurchase, redeem or otherwise acquire outstanding Common Stock or any securities convertible into or exchangeable for the foregoing, (iii) bonds, debentures, notes or other indebtedness of the Company having the right to vote (or convertible into, or exchangeable for, securities having the right to vote) on any matters on which the holders of Common Stock may vote, are issued or outstanding, (iv) preemptive or similar rights to purchase or otherwise acquire the Common Stock, or (v) any right of first refusal, right of first offer, proxy, voting trust, voting agreement or similar arrangement with respect to the sale or voting of the Common Stock.</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4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B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the Board of Directors has duly reserved the requisite number of shares of Series B Preferred Stock to be issued in accordance with the terms and conditions of the Certificate.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B Preferred Stock in a manner that would require the registration under the Securities Act of the Series B Preferred Stock, or (ii) engaged in any form of general solicitation or general advertising (as those terms are used in Regulation D of the Securities Act or within the meaning of Rule 502(c) of the Securities Act) in connection with the offering of the Series B Preferred Stock or in any manner involving a public offering within the meaning of Section 4(a)(2) of the Securities Act.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both"/>
        <w:ind w:firstLine="656"/>
        <w:spacing w:after="0" w:line="256" w:lineRule="auto"/>
        <w:tabs>
          <w:tab w:leader="none" w:pos="13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B Preferred Stock will be validly issued, fully paid and nonassessable and free of pre-emptive or similar rights. The Common Stock issuable upon conversion of the Series B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B Preferred Stock and Common Stock issuable upon conversion thereof will be issued in compliance with all applicable federal and state securities laws.</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23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The execution, delivery and performance of this Agreement and the Certificate in accordance with their terms and the consummation by the Company of the Transaction,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clause (ii) and this clause (iii)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clause (2) and this clause (3)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46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8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1300" w:firstLine="652"/>
        <w:spacing w:after="0" w:line="282" w:lineRule="auto"/>
        <w:tabs>
          <w:tab w:leader="none" w:pos="270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June 30, 2024 and except as described in subsequent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since June 30, 2024 in the ordinary course of business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6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 individually or in the aggregate, would reasonably be expected to have a Material Adverse Effect or (ii) challenge the validity of the Transaction. Neither the Company nor any of its Subsidiaries is subject to any order, judgment or decree of a Governmental Entity that, individually or in the aggregate, has had or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8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both"/>
        <w:ind w:firstLine="656"/>
        <w:spacing w:after="0" w:line="255" w:lineRule="auto"/>
        <w:tabs>
          <w:tab w:leader="none" w:pos="140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Upon consummation of the Transaction, the Common Stock shall be registered pursuant to Section 12(b) of the Exchange Act and listed on the Listing Exchange, and the Company has taken no action designed to, or which, to the knowledge of the Company, is reasonably likely to have the effect of, prevent the registration of the Common Stock under the Exchange Act or the Listing Exchange, nor has the Company received as of the date of this Agreement any notification that the SEC or the Listing Exchange the effect of which may be to prevent such registration or listing.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and as of the Closing (or, if any such representations and warranties expressly relate to an earlier date, then as of such earlier date), each Purchaser severally (and not jointly) represents and warrants to the Company as follows:</w:t>
      </w:r>
    </w:p>
    <w:p>
      <w:pPr>
        <w:spacing w:after="0" w:line="176" w:lineRule="exact"/>
        <w:rPr>
          <w:sz w:val="20"/>
          <w:szCs w:val="20"/>
          <w:color w:val="auto"/>
        </w:rPr>
      </w:pPr>
    </w:p>
    <w:p>
      <w:pPr>
        <w:jc w:val="both"/>
        <w:ind w:firstLine="1304"/>
        <w:spacing w:after="0" w:line="255" w:lineRule="auto"/>
        <w:tabs>
          <w:tab w:leader="none" w:pos="1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B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B Preferred Stock. The Purchaser has not been formed for the specific purpose of acquiring the Series B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both"/>
        <w:ind w:firstLine="1304"/>
        <w:spacing w:after="0" w:line="261" w:lineRule="auto"/>
        <w:tabs>
          <w:tab w:leader="none" w:pos="19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B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Series B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B Preferred Stock are “restricted securities” under applicable U.S. federal and state securities laws and that, pursuant to these laws, the Purchaser must hold the shares of Series B Preferred Stock indefinitely (or until converted in accordance with the terms of the Certificate) unless they are registered with the SEC and qualified by state authorities. The Purchaser acknowledges that the Company has no obligation to register or qualify the Series B Preferred Stock for resale, subject to the requirements of Article IV hereof.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B Preferred Stock, and that the Company has made no assurances that a public market will ever exist for the Series B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B Preferred Stock may be notated with a legend substantially similar to the following or otherwise required by the securities laws of any state, to the extent such laws are applicable to the shares of Series B Preferred Stock represented by the certificate, instrument, or book entry so legended:</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SHARES OF SERIES B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jc w:val="both"/>
        <w:ind w:firstLine="1304"/>
        <w:spacing w:after="0" w:line="266" w:lineRule="auto"/>
        <w:tabs>
          <w:tab w:leader="none" w:pos="193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in connection with such Purchaser’s execution of that certain Indication of Interest.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1304"/>
        <w:spacing w:after="0" w:line="255" w:lineRule="auto"/>
        <w:tabs>
          <w:tab w:leader="none" w:pos="19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B Preferred Stock or any use of this Agreement, including (i) the legal requirements within its jurisdiction for the purchase of the Series B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B Preferred Stock. The Purchaser’s subscription and payment for and continued beneficial ownership of the Series B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B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3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Closing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the Series B Preferred Stock then outstanding, including the shares of Series B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20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both"/>
        <w:ind w:firstLine="1304"/>
        <w:spacing w:after="0" w:line="266" w:lineRule="auto"/>
        <w:tabs>
          <w:tab w:leader="none" w:pos="211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register and qualify the Converted Shares covered by the Registration Statement under such other securities or blue-sky laws of such jurisdictions as shall be reasonably requested by the selling Purchasers;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and listing fees;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200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firstLine="1304"/>
        <w:spacing w:after="0" w:line="253" w:lineRule="auto"/>
        <w:tabs>
          <w:tab w:leader="none" w:pos="19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B Preferred Stock subject to the terms and conditions hereof and compliance with applicable law. In case at any time before or after the Closing Date any further action is necessary or desirable to carry out the purposes of the sale and purchase of the Series B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Corporate Action</w:t>
      </w:r>
      <w:r>
        <w:rPr>
          <w:rFonts w:ascii="Times New Roman" w:cs="Times New Roman" w:eastAsia="Times New Roman" w:hAnsi="Times New Roman"/>
          <w:sz w:val="17"/>
          <w:szCs w:val="17"/>
          <w:color w:val="auto"/>
        </w:rPr>
        <w:t>s.</w:t>
      </w:r>
    </w:p>
    <w:p>
      <w:pPr>
        <w:spacing w:after="0" w:line="225" w:lineRule="exact"/>
        <w:rPr>
          <w:sz w:val="20"/>
          <w:szCs w:val="20"/>
          <w:color w:val="auto"/>
        </w:rPr>
      </w:pPr>
    </w:p>
    <w:p>
      <w:pPr>
        <w:jc w:val="both"/>
        <w:ind w:firstLine="1304"/>
        <w:spacing w:after="0" w:line="266" w:lineRule="auto"/>
        <w:tabs>
          <w:tab w:leader="none" w:pos="19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B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B Preferred Stock pursuant to the terms of the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left="1960" w:hanging="656"/>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B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Closing Date by Company or any Purchaser if the Closing does not occur by the close of business on October 13,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notwithstanding the foregoing, no party hereto may terminate this Agreement pursuant to this clause (a) if (i) the action or failure of such party to act has been a cause of or resulted in the failure of the Closing to occur by the Outside Date and (ii) such action or failure to act constitutes a breach of this Agreement; provided, further, that if the Learn CW Investment Corporation shareholders approve an extension of the date by which Learn CW Investment Corporation is required to consummate an initial business combination in compliance with applicable law, then the Outside Date shall automatically be extended to refer to such extended date. Such termination by a Purchaser will be effective only with respect to that individual Purchaser’s purchase.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ind w:firstLine="1304"/>
        <w:spacing w:after="0" w:line="266" w:lineRule="auto"/>
        <w:tabs>
          <w:tab w:leader="none" w:pos="20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this Agreement shall be effectuated by the delivery by the party terminating this Agreement to each other party of a written notice of such termination. If this Agreement so terminates, it shall become null and void and have no further force or effect, except as provided in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2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and the Closing is not consummated, this Agreement shall become void and of no further force and effect, without any liability on the part of any party hereto, except that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their terms. Notwithstanding the foregoing,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relieve any party to this Agreement of liability for any fraud and willful breach of any provision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execution and delivery of this Agreement and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B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both"/>
        <w:ind w:firstLine="1304"/>
        <w:spacing w:after="0" w:line="252" w:lineRule="auto"/>
        <w:tabs>
          <w:tab w:leader="none" w:pos="195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Conversion Limitations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0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herein to the contrary, including in the Certificate, the Company shall not issue to the Purchaser any shares of Common Stock to the extent such shares after giving effect to a conversion and when added to the number of shares of Common Stock issued and issuable upon conversion of any shares of Series B Preferred Stock issued pursuant to this Agreement, the number of shares of Common Stock issued and issuable upon exercise of the Warrant to Acquire Securities of Innventure, Inc., dated October 2, 2024, by and between the Company and WTI FUND X, LLC, and the number of shares of Common Stock issued and issuable upon exercise of the Warrant to Acquire Securities of Innventure, Inc., dated October 2, 2024, by and between the Company and WTI FUND XI, LLC, would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3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8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both"/>
        <w:ind w:left="-20" w:firstLine="1304"/>
        <w:spacing w:after="0" w:line="255" w:lineRule="auto"/>
        <w:tabs>
          <w:tab w:leader="none" w:pos="191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B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B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56" w:name="page157"/>
    <w:bookmarkEnd w:id="15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executed by the parties hereto or by their respective duly authorized officers, all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4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Address: 11755 Wilshire Boulevard, Suite 2320</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ind w:left="44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color w:val="auto"/>
        </w:rPr>
        <w:t>[INSERT PURCHASER NAME]</w:t>
      </w:r>
    </w:p>
    <w:p>
      <w:pPr>
        <w:spacing w:after="0" w:line="200" w:lineRule="exact"/>
        <w:rPr>
          <w:sz w:val="20"/>
          <w:szCs w:val="20"/>
          <w:color w:val="auto"/>
        </w:rPr>
      </w:pPr>
    </w:p>
    <w:p>
      <w:pPr>
        <w:spacing w:after="0" w:line="2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180340</wp:posOffset>
            </wp:positionV>
            <wp:extent cx="297434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297434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2974340" cy="1714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-127635</wp:posOffset>
            </wp:positionV>
            <wp:extent cx="297434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275590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WAIVER AND CONSENT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WAIVER AND CONSENT (this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dated as of October 2, 2024, is made by and among Learn CW Investment Corporation, a Cayman Islands exempted company with limited liability (the “</w:t>
      </w:r>
      <w:r>
        <w:rPr>
          <w:rFonts w:ascii="Times New Roman" w:cs="Times New Roman" w:eastAsia="Times New Roman" w:hAnsi="Times New Roman"/>
          <w:sz w:val="18"/>
          <w:szCs w:val="18"/>
          <w:u w:val="single" w:color="auto"/>
          <w:color w:val="auto"/>
        </w:rPr>
        <w:t>SPAC</w:t>
      </w:r>
      <w:r>
        <w:rPr>
          <w:rFonts w:ascii="Times New Roman" w:cs="Times New Roman" w:eastAsia="Times New Roman" w:hAnsi="Times New Roman"/>
          <w:sz w:val="18"/>
          <w:szCs w:val="18"/>
          <w:color w:val="auto"/>
        </w:rPr>
        <w:t>”), Learn SPAC Holdco, Inc., a Delaware corporation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Innventure LLC, a Delaware limited liability company (“</w:t>
      </w:r>
      <w:r>
        <w:rPr>
          <w:rFonts w:ascii="Times New Roman" w:cs="Times New Roman" w:eastAsia="Times New Roman" w:hAnsi="Times New Roman"/>
          <w:sz w:val="18"/>
          <w:szCs w:val="18"/>
          <w:u w:val="single" w:color="auto"/>
          <w:color w:val="auto"/>
        </w:rPr>
        <w:t>Innventure</w:t>
      </w:r>
      <w:r>
        <w:rPr>
          <w:rFonts w:ascii="Times New Roman" w:cs="Times New Roman" w:eastAsia="Times New Roman" w:hAnsi="Times New Roman"/>
          <w:sz w:val="18"/>
          <w:szCs w:val="18"/>
          <w:color w:val="auto"/>
        </w:rPr>
        <w:t>” and, together with the SPAC and Holdco,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meanings ascribed to such terms in the A&amp;R Certificate of Incorporation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on October 24, 2023, Holdco, the SPAC, Innventure and the other persons party thereto, entered into a Business Combination Agreement (as amended or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whereby the Parties intend to effect a business combination among Holdco, the SPAC and Innventure, on the terms and subject to the conditions set forth therein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contemporaneously with the execution of the Business Combination Agreement, Holdco, the SPAC, Innventure and certain members of Innventure (“</w:t>
      </w:r>
      <w:r>
        <w:rPr>
          <w:rFonts w:ascii="Times New Roman" w:cs="Times New Roman" w:eastAsia="Times New Roman" w:hAnsi="Times New Roman"/>
          <w:sz w:val="18"/>
          <w:szCs w:val="18"/>
          <w:u w:val="single" w:color="auto"/>
          <w:color w:val="auto"/>
        </w:rPr>
        <w:t>Innventure Members</w:t>
      </w:r>
      <w:r>
        <w:rPr>
          <w:rFonts w:ascii="Times New Roman" w:cs="Times New Roman" w:eastAsia="Times New Roman" w:hAnsi="Times New Roman"/>
          <w:sz w:val="18"/>
          <w:szCs w:val="18"/>
          <w:color w:val="auto"/>
        </w:rPr>
        <w:t>”) entered into a Member Support Agreement (the “</w:t>
      </w:r>
      <w:r>
        <w:rPr>
          <w:rFonts w:ascii="Times New Roman" w:cs="Times New Roman" w:eastAsia="Times New Roman" w:hAnsi="Times New Roman"/>
          <w:sz w:val="18"/>
          <w:szCs w:val="18"/>
          <w:u w:val="single" w:color="auto"/>
          <w:color w:val="auto"/>
        </w:rPr>
        <w:t>Member Support Agreement</w:t>
      </w:r>
      <w:r>
        <w:rPr>
          <w:rFonts w:ascii="Times New Roman" w:cs="Times New Roman" w:eastAsia="Times New Roman" w:hAnsi="Times New Roman"/>
          <w:sz w:val="18"/>
          <w:szCs w:val="18"/>
          <w:color w:val="auto"/>
        </w:rPr>
        <w:t>”), pursuant to which such Innventure Members agreed to, among other things, be subject to certain restrictions on transfer set forth in Section 7 of the Member Support Agreement (the “</w:t>
      </w:r>
      <w:r>
        <w:rPr>
          <w:rFonts w:ascii="Times New Roman" w:cs="Times New Roman" w:eastAsia="Times New Roman" w:hAnsi="Times New Roman"/>
          <w:sz w:val="18"/>
          <w:szCs w:val="18"/>
          <w:u w:val="single" w:color="auto"/>
          <w:color w:val="auto"/>
        </w:rPr>
        <w:t>MSA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on the shares of Common Stock received by the Innventure Members as consideration in the Transactions (such shares, the “</w:t>
      </w:r>
      <w:r>
        <w:rPr>
          <w:rFonts w:ascii="Times New Roman" w:cs="Times New Roman" w:eastAsia="Times New Roman" w:hAnsi="Times New Roman"/>
          <w:sz w:val="18"/>
          <w:szCs w:val="18"/>
          <w:u w:val="single" w:color="auto"/>
          <w:color w:val="auto"/>
        </w:rPr>
        <w:t>MSA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 period of 180 days following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Transactions, Holdco expects to adopt an Amended and Restated Certificate of Incorporation (the “</w:t>
      </w:r>
      <w:r>
        <w:rPr>
          <w:rFonts w:ascii="Times New Roman" w:cs="Times New Roman" w:eastAsia="Times New Roman" w:hAnsi="Times New Roman"/>
          <w:sz w:val="18"/>
          <w:szCs w:val="18"/>
          <w:u w:val="single" w:color="auto"/>
          <w:color w:val="auto"/>
        </w:rPr>
        <w:t>A&amp;R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substantially in the form agreed by the parties hereto, pursuant to which, among other things, shares of Common Stock issued as consideration to former holders of membership interests, warrants, or other equity interests of Innventure as consideration in the Transactions (such shares, the “</w:t>
      </w:r>
      <w:r>
        <w:rPr>
          <w:rFonts w:ascii="Times New Roman" w:cs="Times New Roman" w:eastAsia="Times New Roman" w:hAnsi="Times New Roman"/>
          <w:sz w:val="18"/>
          <w:szCs w:val="18"/>
          <w:u w:val="single" w:color="auto"/>
          <w:color w:val="auto"/>
        </w:rPr>
        <w:t>Charter Subject Shares</w:t>
      </w:r>
      <w:r>
        <w:rPr>
          <w:rFonts w:ascii="Times New Roman" w:cs="Times New Roman" w:eastAsia="Times New Roman" w:hAnsi="Times New Roman"/>
          <w:sz w:val="18"/>
          <w:szCs w:val="18"/>
          <w:color w:val="auto"/>
        </w:rPr>
        <w:t>”) will be subject to certain restrictions on transfer set forth in Section 4.6 of the A&amp;R Certificate of Incorporation (the “</w:t>
      </w:r>
      <w:r>
        <w:rPr>
          <w:rFonts w:ascii="Times New Roman" w:cs="Times New Roman" w:eastAsia="Times New Roman" w:hAnsi="Times New Roman"/>
          <w:sz w:val="18"/>
          <w:szCs w:val="18"/>
          <w:u w:val="single" w:color="auto"/>
          <w:color w:val="auto"/>
        </w:rPr>
        <w:t>Charter Lock-Up</w:t>
      </w:r>
      <w:r>
        <w:rPr>
          <w:rFonts w:ascii="Times New Roman" w:cs="Times New Roman" w:eastAsia="Times New Roman" w:hAnsi="Times New Roman"/>
          <w:sz w:val="18"/>
          <w:szCs w:val="18"/>
          <w:color w:val="auto"/>
        </w:rPr>
        <w:t>”) for a period of 180 days following the Closing;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4.6(c) of the A&amp;R Certificate of Incorporation provides that, notwithstanding any other provision of the A&amp;R Certificate of Incorporation, Holdco may, with the prior written consent of the SPAC given prior to Closing, waive, amend, or repeal the lock-up obligations imposed by the A&amp;R Certificate of Incorporation;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Section 12 of the Member Support Agreement provides that any provision of the Member Support Agreement may be waived by the party against whom the waiver is to be effective;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each of Holdco and the SPAC desire to waive the MSA Lock-Up with respect to 10% of the MSA Subject Shares of the Company Members (excluding all directors and officers or expected directors and officers of Holdco or Innventure and their affiliates) on a pro rata basis (such shares, the “</w:t>
      </w:r>
      <w:r>
        <w:rPr>
          <w:rFonts w:ascii="Times New Roman" w:cs="Times New Roman" w:eastAsia="Times New Roman" w:hAnsi="Times New Roman"/>
          <w:sz w:val="18"/>
          <w:szCs w:val="18"/>
          <w:u w:val="single" w:color="auto"/>
          <w:color w:val="auto"/>
        </w:rPr>
        <w:t>MSA Waiver Shares</w:t>
      </w:r>
      <w:r>
        <w:rPr>
          <w:rFonts w:ascii="Times New Roman" w:cs="Times New Roman" w:eastAsia="Times New Roman" w:hAnsi="Times New Roman"/>
          <w:sz w:val="18"/>
          <w:szCs w:val="18"/>
          <w:color w:val="auto"/>
        </w:rPr>
        <w:t>”), for the benefit of each of the SPAC and of Holdco;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each of Holdco and the SPAC desire to waive the Charter Lock-Up with respect to 10% of the Charter Subject Shares (excluding all directors and officers or expected directors and officers of Holdco or Innventure and their affiliates) on a pro rata basis (such shares, the “</w:t>
      </w:r>
      <w:r>
        <w:rPr>
          <w:rFonts w:ascii="Times New Roman" w:cs="Times New Roman" w:eastAsia="Times New Roman" w:hAnsi="Times New Roman"/>
          <w:sz w:val="18"/>
          <w:szCs w:val="18"/>
          <w:u w:val="single" w:color="auto"/>
          <w:color w:val="auto"/>
        </w:rPr>
        <w:t>Charter Waiver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the benefit of each of the SPAC and of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hereby agree as follows:</w:t>
      </w:r>
    </w:p>
    <w:p>
      <w:pPr>
        <w:spacing w:after="0" w:line="229" w:lineRule="exact"/>
        <w:rPr>
          <w:sz w:val="20"/>
          <w:szCs w:val="20"/>
          <w:color w:val="auto"/>
        </w:rPr>
      </w:pPr>
    </w:p>
    <w:p>
      <w:pPr>
        <w:jc w:val="both"/>
        <w:ind w:firstLine="656"/>
        <w:spacing w:after="0" w:line="266" w:lineRule="auto"/>
        <w:tabs>
          <w:tab w:leader="none" w:pos="118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Consent, A&amp;R Certificate of Incorporation</w:t>
      </w:r>
      <w:r>
        <w:rPr>
          <w:rFonts w:ascii="Times New Roman" w:cs="Times New Roman" w:eastAsia="Times New Roman" w:hAnsi="Times New Roman"/>
          <w:sz w:val="18"/>
          <w:szCs w:val="18"/>
          <w:color w:val="auto"/>
        </w:rPr>
        <w:t>. Holdco and the SPAC hereby mutually consent to waive the Charter Lock-Up with respect to the Charter Waiver Shares and waive any past, current or future breach under the A&amp;R Certificate of Incorporation solely with respect to the Charter Lock-Up and the Charter Waiver Shares caused by, arising from or in connection with this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and Consent, Member Support Agreement</w:t>
      </w:r>
      <w:r>
        <w:rPr>
          <w:rFonts w:ascii="Times New Roman" w:cs="Times New Roman" w:eastAsia="Times New Roman" w:hAnsi="Times New Roman"/>
          <w:sz w:val="18"/>
          <w:szCs w:val="18"/>
          <w:color w:val="auto"/>
        </w:rPr>
        <w:t>. Holdco and the SPAC hereby mutually consent to waive the MSA Lock-Up with respect to the MSA Waiver Shares and waive any past, current or future breach under the Member Support Agreement solely with respect to the MSA Lock-Up and the MSA Waiver Shares caused by, arising from or in connection with this Waiver.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41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provided herein, the terms and provisions of each of the A&amp;R Certificate of Incorporation and the Member Support Agreement shall remain unmodified and continue in full force and effect. This Waiver shall not operate as a waiver of, or restrict in any manner whatsoever, the rights of the parties to such documents with respect to any matters not described in this Waiver, including, for the avoidance of doubt, with respect to the enforceability of the MSA Lock-Up and the Charter Lock-Up with respect to all MSA Subject Shares and Charter Shares other than the MSA Waiver Shares and Charter Waiver Shares, respectively.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may be executed in one or more counterparts for the convenience of the Parties hereto, each of which when so executed and delivered shall be deemed an original, and all of which together shall constitute one and the same agreement. Delivery of an executed counterpart of a signature page to this Waiver by electronic, facsimile or portable document format shall be effective as delivery of a mutually executed counterpart to this Waiver.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Waiver, the rights and duties of the Parties hereto, and any disputes (whether in contract, tort or statute) arising out of, under or in connection with this Waiver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hereto irrevocably and unconditionally submit to the exclusive jurisdiction of the United States District Court for the District of Delaware or, if such court does not have jurisdiction, the Delaware state courts located in Wilmington, Delaware, in any action arising out of or related to this Waiver. The Parties hereto irrevocably agree that all such claims shall be heard and determined in such a Delaware federal or state court, and that such jurisdiction of such courts with respect thereto will be exclusive.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Waiver supersedes all prior agreements, written or oral, among the Parties hereto with respect to the subject matter hereof and contain the entire agreement among the Parties with respect to the subject matter hereof. Any provision of this Waiver may be amended or waived if, but only if, such amendment or waiver is in writing and is signed, in the case of an amendment, by each party to this Waiver,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Waiver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LEARN CW INVESTMENT CORPORATION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335153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335153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28575</wp:posOffset>
            </wp:positionV>
            <wp:extent cx="335153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Manager</w:t>
      </w:r>
    </w:p>
    <w:p>
      <w:pPr>
        <w:spacing w:after="0" w:line="20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Waiver and Consent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Unsecured Promissory Note</w:t>
      </w:r>
    </w:p>
    <w:p>
      <w:pPr>
        <w:spacing w:after="0" w:line="229" w:lineRule="exact"/>
        <w:rPr>
          <w:sz w:val="20"/>
          <w:szCs w:val="20"/>
          <w:color w:val="auto"/>
        </w:rPr>
      </w:pPr>
    </w:p>
    <w:p>
      <w:pPr>
        <w:spacing w:after="0"/>
        <w:tabs>
          <w:tab w:leader="none" w:pos="8940" w:val="left"/>
        </w:tabs>
        <w:rPr>
          <w:sz w:val="20"/>
          <w:szCs w:val="20"/>
          <w:color w:val="auto"/>
        </w:rPr>
      </w:pPr>
      <w:r>
        <w:rPr>
          <w:rFonts w:ascii="Times New Roman" w:cs="Times New Roman" w:eastAsia="Times New Roman" w:hAnsi="Times New Roman"/>
          <w:sz w:val="18"/>
          <w:szCs w:val="18"/>
          <w:color w:val="auto"/>
        </w:rPr>
        <w:t>October 1, 2024 (the “</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Principal Amount: $10,000,000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principal sum of ten million dollars ($10,000,000)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loaned to Innventure,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by Glockner Family Venture Fund, LP, a Florida limited partnership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Borrower hereby promises to pay to the Lender the Principal Amount, together with accrued interest thereon pursuant to the terms and conditions set forth in this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Note</w:t>
      </w:r>
      <w:r>
        <w:rPr>
          <w:rFonts w:ascii="Times New Roman" w:cs="Times New Roman" w:eastAsia="Times New Roman" w:hAnsi="Times New Roman"/>
          <w:sz w:val="18"/>
          <w:szCs w:val="18"/>
          <w:color w:val="auto"/>
        </w:rPr>
        <w:t>. Pursuant to that certain Unsecured Promissory Note dated as of August 20, 2024 (the “</w:t>
      </w:r>
      <w:r>
        <w:rPr>
          <w:rFonts w:ascii="Times New Roman" w:cs="Times New Roman" w:eastAsia="Times New Roman" w:hAnsi="Times New Roman"/>
          <w:sz w:val="18"/>
          <w:szCs w:val="18"/>
          <w:u w:val="single" w:color="auto"/>
          <w:color w:val="auto"/>
        </w:rPr>
        <w:t>Prior Note</w:t>
      </w:r>
      <w:r>
        <w:rPr>
          <w:rFonts w:ascii="Times New Roman" w:cs="Times New Roman" w:eastAsia="Times New Roman" w:hAnsi="Times New Roman"/>
          <w:sz w:val="18"/>
          <w:szCs w:val="18"/>
          <w:color w:val="auto"/>
        </w:rPr>
        <w:t>”), the Lender previously lent</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$10,000,000 to the Borrower. On or about the date hereof, the Lender has been paid the Loan Fee (as defined in the Prior Note), and the parties agree to amend and restate the Prior Note as set forth herein. Any amounts disbursed pursuant to the Prior Note are deemed to be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for the purposes hereof.</w:t>
      </w:r>
    </w:p>
    <w:p>
      <w:pPr>
        <w:spacing w:after="0" w:line="182"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68"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Borrower shall repay the outstanding Principal Amount on the earlier of (a) January 31, 2025 and (b) the first business day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on which the Borrower has sufficient capital to be able to repay all amounts outstanding under this Note and otherwise meet its expected working capital needs, as determined by the Borrower in its reasonable discretion (in each case,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color w:val="auto"/>
        </w:rPr>
        <w:t>. The Borrower shall have the right at any time and from time to time to prepay this Note in whole or in part without premium or penalty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Maturity Date.</w:t>
      </w:r>
    </w:p>
    <w:p>
      <w:pPr>
        <w:spacing w:after="0" w:line="154" w:lineRule="exact"/>
        <w:rPr>
          <w:rFonts w:ascii="Times New Roman" w:cs="Times New Roman" w:eastAsia="Times New Roman" w:hAnsi="Times New Roman"/>
          <w:sz w:val="18"/>
          <w:szCs w:val="18"/>
          <w:b w:val="1"/>
          <w:bCs w:val="1"/>
          <w:color w:val="auto"/>
        </w:rPr>
      </w:pPr>
    </w:p>
    <w:p>
      <w:pPr>
        <w:jc w:val="both"/>
        <w:ind w:right="180" w:firstLine="8"/>
        <w:spacing w:after="0" w:line="262"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If the Borrower fails to pay any amount due under this Note, such failure shall constitute an event of default under this Note (an “</w:t>
      </w:r>
      <w:r>
        <w:rPr>
          <w:rFonts w:ascii="Times New Roman" w:cs="Times New Roman" w:eastAsia="Times New Roman" w:hAnsi="Times New Roman"/>
          <w:sz w:val="18"/>
          <w:szCs w:val="18"/>
          <w:u w:val="single" w:color="auto"/>
          <w:color w:val="auto"/>
        </w:rPr>
        <w:t>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payment is not then permitted under that certain Loan and Security Agreement, dated as of October 1, 2024, by and among the Borrower and each of WTI Fund X, Inc. and WTI Fund XI, Inc., each as a lender, as amended from time to time, then the failure to make such payment shall not constitute an Event of Default.</w:t>
      </w:r>
    </w:p>
    <w:p>
      <w:pPr>
        <w:spacing w:after="0" w:line="176"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From and after the Restatement Date, interest shall accrue on the Principal Amount at a rate of fifteen and ninety-nine one hundredths percent</w:t>
      </w:r>
    </w:p>
    <w:p>
      <w:pPr>
        <w:spacing w:after="0" w:line="31" w:lineRule="exact"/>
        <w:rPr>
          <w:rFonts w:ascii="Times New Roman" w:cs="Times New Roman" w:eastAsia="Times New Roman" w:hAnsi="Times New Roman"/>
          <w:sz w:val="18"/>
          <w:szCs w:val="18"/>
          <w:b w:val="1"/>
          <w:bCs w:val="1"/>
          <w:color w:val="auto"/>
        </w:rPr>
      </w:pPr>
    </w:p>
    <w:p>
      <w:pPr>
        <w:ind w:righ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(15.99%) per annum. Such interest shall be calculated on the basis of a 365-day year for the actual number of days elapsed. From and after the Restatement Date, accrued interest on the Principal Amount shall be payable in arrears on the first business day of each calendar month, beginning on November 1, 2024.</w:t>
      </w:r>
    </w:p>
    <w:p>
      <w:pPr>
        <w:spacing w:after="0" w:line="181" w:lineRule="exact"/>
        <w:rPr>
          <w:rFonts w:ascii="Times New Roman" w:cs="Times New Roman" w:eastAsia="Times New Roman" w:hAnsi="Times New Roman"/>
          <w:sz w:val="18"/>
          <w:szCs w:val="18"/>
          <w:b w:val="1"/>
          <w:bCs w:val="1"/>
          <w:color w:val="auto"/>
        </w:rPr>
      </w:pPr>
    </w:p>
    <w:p>
      <w:pPr>
        <w:ind w:right="160" w:firstLine="8"/>
        <w:spacing w:after="0" w:line="268"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No delay or omission on part of the Lender in exercising any right hereunder shall operate as a waiver of any such right or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the Lender, nor shall any delay, omission or waiver on any one occasion be deemed a bar to or waiver of the same or any other right on any future occasion.</w:t>
      </w:r>
    </w:p>
    <w:p>
      <w:pPr>
        <w:spacing w:after="0" w:line="170" w:lineRule="exact"/>
        <w:rPr>
          <w:rFonts w:ascii="Times New Roman" w:cs="Times New Roman" w:eastAsia="Times New Roman" w:hAnsi="Times New Roman"/>
          <w:sz w:val="18"/>
          <w:szCs w:val="18"/>
          <w:b w:val="1"/>
          <w:bCs w:val="1"/>
          <w:color w:val="auto"/>
        </w:rPr>
      </w:pPr>
    </w:p>
    <w:p>
      <w:pPr>
        <w:ind w:right="360" w:firstLine="8"/>
        <w:spacing w:after="0" w:line="286" w:lineRule="auto"/>
        <w:tabs>
          <w:tab w:leader="none" w:pos="31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or conflict of law provision or rule that would cause the application of the laws of any jurisdiction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4" w:name="page165"/>
    <w:bookmarkEnd w:id="164"/>
    <w:p>
      <w:pPr>
        <w:ind w:left="-8" w:right="40" w:firstLine="8"/>
        <w:spacing w:after="0" w:line="255" w:lineRule="auto"/>
        <w:tabs>
          <w:tab w:leader="none" w:pos="35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rFonts w:ascii="Times New Roman" w:cs="Times New Roman" w:eastAsia="Times New Roman" w:hAnsi="Times New Roman"/>
          <w:sz w:val="18"/>
          <w:szCs w:val="18"/>
          <w:b w:val="1"/>
          <w:bCs w:val="1"/>
          <w:color w:val="auto"/>
        </w:rPr>
      </w:pPr>
    </w:p>
    <w:p>
      <w:pPr>
        <w:ind w:left="-8" w:firstLine="8"/>
        <w:spacing w:after="0" w:line="255" w:lineRule="auto"/>
        <w:tabs>
          <w:tab w:leader="none" w:pos="34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any interest rate applicable to the Loan,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charges and other amounts which are treated as interest on the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any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credited to the principal balance of such Loan, and the provisions hereof shall immediately be reformed and the amounts thereafter decreased to the extent necessary to comply with the applicable usury laws, but so as to permit the recovery of the fullest amount otherwise due under this Note.</w:t>
      </w:r>
    </w:p>
    <w:p>
      <w:pPr>
        <w:spacing w:after="0" w:line="184" w:lineRule="exact"/>
        <w:rPr>
          <w:rFonts w:ascii="Times New Roman" w:cs="Times New Roman" w:eastAsia="Times New Roman" w:hAnsi="Times New Roman"/>
          <w:sz w:val="18"/>
          <w:szCs w:val="18"/>
          <w:b w:val="1"/>
          <w:bCs w:val="1"/>
          <w:color w:val="auto"/>
        </w:rPr>
      </w:pPr>
    </w:p>
    <w:p>
      <w:pPr>
        <w:ind w:left="-8" w:right="40" w:firstLine="8"/>
        <w:spacing w:after="0" w:line="268"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Note may only be amended by a written instrument signed by both parties. No waiver of any provision of this Note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effective unless it is in writing and signed by the party waiving such provision. No waiver of any provision of this Note shall be construed as a waiver of any other provision or of the same provision on another occasion.</w:t>
      </w:r>
    </w:p>
    <w:p>
      <w:pPr>
        <w:spacing w:after="0" w:line="170" w:lineRule="exact"/>
        <w:rPr>
          <w:rFonts w:ascii="Times New Roman" w:cs="Times New Roman" w:eastAsia="Times New Roman" w:hAnsi="Times New Roman"/>
          <w:sz w:val="18"/>
          <w:szCs w:val="18"/>
          <w:b w:val="1"/>
          <w:bCs w:val="1"/>
          <w:color w:val="auto"/>
        </w:rPr>
      </w:pPr>
    </w:p>
    <w:p>
      <w:pPr>
        <w:ind w:left="-8" w:right="60" w:firstLine="8"/>
        <w:spacing w:after="0" w:line="268"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Note shall be binding upon and inure to the benefit of the parties hereto and their respective successors and assigns, except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may not assign or otherwise transfer any of its rights or obligations hereunder without the prior written consent of the Lender (and any attempted assignment or transfer by the Borrower without such consent shall be null and void).</w:t>
      </w:r>
    </w:p>
    <w:p>
      <w:pPr>
        <w:spacing w:after="0" w:line="170" w:lineRule="exact"/>
        <w:rPr>
          <w:rFonts w:ascii="Times New Roman" w:cs="Times New Roman" w:eastAsia="Times New Roman" w:hAnsi="Times New Roman"/>
          <w:sz w:val="18"/>
          <w:szCs w:val="18"/>
          <w:b w:val="1"/>
          <w:bCs w:val="1"/>
          <w:color w:val="auto"/>
        </w:rPr>
      </w:pPr>
    </w:p>
    <w:p>
      <w:pPr>
        <w:ind w:left="-8" w:right="300" w:firstLine="8"/>
        <w:spacing w:after="0" w:line="286"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Note constitutes the entire agreement between the parties with respect to the subject matter hereof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whether written or oral, relating to such subject matter.</w:t>
      </w:r>
    </w:p>
    <w:p>
      <w:pPr>
        <w:spacing w:after="0" w:line="154" w:lineRule="exact"/>
        <w:rPr>
          <w:rFonts w:ascii="Times New Roman" w:cs="Times New Roman" w:eastAsia="Times New Roman" w:hAnsi="Times New Roman"/>
          <w:sz w:val="18"/>
          <w:szCs w:val="18"/>
          <w:b w:val="1"/>
          <w:bCs w:val="1"/>
          <w:color w:val="auto"/>
        </w:rPr>
      </w:pPr>
    </w:p>
    <w:p>
      <w:pPr>
        <w:ind w:left="-8" w:right="300" w:firstLine="8"/>
        <w:spacing w:after="0" w:line="268" w:lineRule="auto"/>
        <w:tabs>
          <w:tab w:leader="none" w:pos="30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color w:val="auto"/>
        </w:rPr>
        <w:t>. This Note renews, amends, restates, and supersedes the Prior Note, and no novation of the indebtedness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is intended nor shall any such novation be deemed to have occurred on account of the execution and delivery of this Note or otherwise. Upon execution and delivery of this Note, the Prior Note shall be deemed superseded, replaced, and no longer in effect.</w:t>
      </w:r>
    </w:p>
    <w:p>
      <w:pPr>
        <w:spacing w:after="0" w:line="1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65" w:name="page166"/>
    <w:bookmarkEnd w:id="165"/>
    <w:p>
      <w:pPr>
        <w:ind w:left="340"/>
        <w:spacing w:after="0"/>
        <w:rPr>
          <w:sz w:val="20"/>
          <w:szCs w:val="20"/>
          <w:color w:val="auto"/>
        </w:rPr>
      </w:pPr>
      <w:r>
        <w:rPr>
          <w:rFonts w:ascii="Times New Roman" w:cs="Times New Roman" w:eastAsia="Times New Roman" w:hAnsi="Times New Roman"/>
          <w:sz w:val="18"/>
          <w:szCs w:val="18"/>
          <w:color w:val="auto"/>
        </w:rPr>
        <w:t>IN WITNESS WHEREOF, the Borrower has executed this Note as of the date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63703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GLOCKNER FAMILY VENTURE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BELLRINGER CONSULTING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O. Donnally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O. Donnally</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jdonnally@glockner.com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Unsecured Promissory Note</w:t>
      </w:r>
    </w:p>
    <w:p>
      <w:pPr>
        <w:spacing w:after="0" w:line="207"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18"/>
          <w:szCs w:val="18"/>
          <w:color w:val="auto"/>
        </w:rPr>
        <w:t>October 1, 2024 (the “</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Principal Amount: $1,000,000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exchange for the principal sum of one million dollars ($1,000,000) (the “</w:t>
      </w: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loaned to Innventure,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by John Scott, an individual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Borrower hereby promises to pay to the Lender the Principal Amount, together with accrued interest thereon pursuant to the terms and conditions set forth in this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Note</w:t>
      </w:r>
      <w:r>
        <w:rPr>
          <w:rFonts w:ascii="Times New Roman" w:cs="Times New Roman" w:eastAsia="Times New Roman" w:hAnsi="Times New Roman"/>
          <w:sz w:val="18"/>
          <w:szCs w:val="18"/>
          <w:color w:val="auto"/>
        </w:rPr>
        <w:t>. Pursuant to that certain Unsecured Promissory Note dated as of August 22, 2024 (the “</w:t>
      </w:r>
      <w:r>
        <w:rPr>
          <w:rFonts w:ascii="Times New Roman" w:cs="Times New Roman" w:eastAsia="Times New Roman" w:hAnsi="Times New Roman"/>
          <w:sz w:val="18"/>
          <w:szCs w:val="18"/>
          <w:u w:val="single" w:color="auto"/>
          <w:color w:val="auto"/>
        </w:rPr>
        <w:t>Prior Note</w:t>
      </w:r>
      <w:r>
        <w:rPr>
          <w:rFonts w:ascii="Times New Roman" w:cs="Times New Roman" w:eastAsia="Times New Roman" w:hAnsi="Times New Roman"/>
          <w:sz w:val="18"/>
          <w:szCs w:val="18"/>
          <w:color w:val="auto"/>
        </w:rPr>
        <w:t>”), the Lender previously lent</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$2,000,000 to the Borrower. On or about the date hereof, the Lender has been paid $1,000,000 of the principal outstanding under the Prior Note, and the parties agree to amend and restate the Prior Note as set forth herein. Any amounts disbursed pursuant to the Prior Note are deemed to be the “Loan” for the purposes hereof.</w:t>
      </w:r>
    </w:p>
    <w:p>
      <w:pPr>
        <w:spacing w:after="0" w:line="182"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0" w:firstLine="8"/>
        <w:spacing w:after="0" w:line="268"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From August 22, 2024 to but excluding the Restatement Date, interest accrued on the principal outstanding under the Prior Note at a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11.5% per annum, and from and after the Restatement Date, interest shall accrue on the outstanding Principal Amount at the rate of thirteen and half percent (13.5%) per annum. Such interest shall be calculated on the basis of a 365-day year for the actual number of days elapsed.</w:t>
      </w:r>
    </w:p>
    <w:p>
      <w:pPr>
        <w:spacing w:after="0" w:line="170" w:lineRule="exact"/>
        <w:rPr>
          <w:rFonts w:ascii="Times New Roman" w:cs="Times New Roman" w:eastAsia="Times New Roman" w:hAnsi="Times New Roman"/>
          <w:sz w:val="18"/>
          <w:szCs w:val="18"/>
          <w:b w:val="1"/>
          <w:bCs w:val="1"/>
          <w:color w:val="auto"/>
        </w:rPr>
      </w:pPr>
    </w:p>
    <w:p>
      <w:pPr>
        <w:ind w:right="280" w:firstLine="8"/>
        <w:spacing w:after="0" w:line="286"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The Borrower shall repay the outstanding Principal Amount of this Note and accrued interest thereon on January 31, 2025 (the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86"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color w:val="auto"/>
        </w:rPr>
        <w:t>. The Borrower shall have the right at any time and from time to time to prepay this Note in whole or in part without premium or penalty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Maturity Date.</w:t>
      </w:r>
    </w:p>
    <w:p>
      <w:pPr>
        <w:spacing w:after="0" w:line="154" w:lineRule="exact"/>
        <w:rPr>
          <w:rFonts w:ascii="Times New Roman" w:cs="Times New Roman" w:eastAsia="Times New Roman" w:hAnsi="Times New Roman"/>
          <w:sz w:val="18"/>
          <w:szCs w:val="18"/>
          <w:b w:val="1"/>
          <w:bCs w:val="1"/>
          <w:color w:val="auto"/>
        </w:rPr>
      </w:pPr>
    </w:p>
    <w:p>
      <w:pPr>
        <w:jc w:val="both"/>
        <w:ind w:right="180" w:firstLine="8"/>
        <w:spacing w:after="0" w:line="262"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If the Borrower fails to pay any amount due under this Note, such failure shall constitute an event of default under this Note (an “</w:t>
      </w:r>
      <w:r>
        <w:rPr>
          <w:rFonts w:ascii="Times New Roman" w:cs="Times New Roman" w:eastAsia="Times New Roman" w:hAnsi="Times New Roman"/>
          <w:sz w:val="18"/>
          <w:szCs w:val="18"/>
          <w:u w:val="single" w:color="auto"/>
          <w:color w:val="auto"/>
        </w:rPr>
        <w:t>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payment is not then permitted under that certain Loan and Security Agreement, dated as of October 1, 2024, by and among the Borrower and each of WTI Fund X, Inc. and WTI Fund XI, Inc., each as a lender, as amended from time to time, then the failure to make such payment shall not constitute an Event of Default.</w:t>
      </w:r>
    </w:p>
    <w:p>
      <w:pPr>
        <w:spacing w:after="0" w:line="176" w:lineRule="exact"/>
        <w:rPr>
          <w:rFonts w:ascii="Times New Roman" w:cs="Times New Roman" w:eastAsia="Times New Roman" w:hAnsi="Times New Roman"/>
          <w:sz w:val="18"/>
          <w:szCs w:val="18"/>
          <w:b w:val="1"/>
          <w:bCs w:val="1"/>
          <w:color w:val="auto"/>
        </w:rPr>
      </w:pPr>
    </w:p>
    <w:p>
      <w:pPr>
        <w:ind w:right="160" w:firstLine="8"/>
        <w:spacing w:after="0" w:line="268"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No delay or omission on part of the Lender in exercising any right hereunder shall operate as a waiver of any such right or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the Lender, nor shall any delay, omission or waiver on any one occasion be deemed a bar to or waiver of the same or any other right on any future occasion.</w:t>
      </w:r>
    </w:p>
    <w:p>
      <w:pPr>
        <w:spacing w:after="0" w:line="170" w:lineRule="exact"/>
        <w:rPr>
          <w:rFonts w:ascii="Times New Roman" w:cs="Times New Roman" w:eastAsia="Times New Roman" w:hAnsi="Times New Roman"/>
          <w:sz w:val="18"/>
          <w:szCs w:val="18"/>
          <w:b w:val="1"/>
          <w:bCs w:val="1"/>
          <w:color w:val="auto"/>
        </w:rPr>
      </w:pPr>
    </w:p>
    <w:p>
      <w:pPr>
        <w:ind w:right="360" w:firstLine="8"/>
        <w:spacing w:after="0" w:line="286" w:lineRule="auto"/>
        <w:tabs>
          <w:tab w:leader="none" w:pos="315"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without giving effect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or conflict of law provision or rule that would cause the application of the laws of any jurisdiction other than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7" w:name="page168"/>
    <w:bookmarkEnd w:id="167"/>
    <w:p>
      <w:pPr>
        <w:ind w:left="-8" w:right="80" w:firstLine="8"/>
        <w:spacing w:after="0" w:line="255"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IT OR HE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THE OTHER PARTY HAS REPRESENTED, EXPRESSLY OR OTHERWISE, THAT SUCH OTHER PARTY WOULD NOT, IN THE EVENT OF LITIGATION, SEEK TO ENFORCE THE FOREGOING WAIVER AND (B) ACKNOWLEDGES THAT IT/HE AND THE PARTY HERETO HAVE BEEN INDUCED TO ENTER INTO THIS AGREEMENT BY, AMONG OTHER THINGS, THE MUTUAL WAIVERS AND CERTIFICATIONS IN THIS SECTION.</w:t>
      </w:r>
    </w:p>
    <w:p>
      <w:pPr>
        <w:spacing w:after="0" w:line="184" w:lineRule="exact"/>
        <w:rPr>
          <w:rFonts w:ascii="Times New Roman" w:cs="Times New Roman" w:eastAsia="Times New Roman" w:hAnsi="Times New Roman"/>
          <w:sz w:val="18"/>
          <w:szCs w:val="18"/>
          <w:b w:val="1"/>
          <w:bCs w:val="1"/>
          <w:color w:val="auto"/>
        </w:rPr>
      </w:pPr>
    </w:p>
    <w:p>
      <w:pPr>
        <w:ind w:left="-8" w:firstLine="8"/>
        <w:spacing w:after="0" w:line="255" w:lineRule="auto"/>
        <w:tabs>
          <w:tab w:leader="none" w:pos="29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any interest rate applicable to the Loan,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charges and other amounts which are treated as interest on the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any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credited to the principal balance of such Loan, and the provisions hereof shall immediately be reformed and the amounts thereafter decreased to the extent necessary to comply with the applicable usury laws, but so as to permit the recovery of the fullest amount otherwise due under this Note.</w:t>
      </w:r>
    </w:p>
    <w:p>
      <w:pPr>
        <w:spacing w:after="0" w:line="184" w:lineRule="exact"/>
        <w:rPr>
          <w:rFonts w:ascii="Times New Roman" w:cs="Times New Roman" w:eastAsia="Times New Roman" w:hAnsi="Times New Roman"/>
          <w:sz w:val="18"/>
          <w:szCs w:val="18"/>
          <w:b w:val="1"/>
          <w:bCs w:val="1"/>
          <w:color w:val="auto"/>
        </w:rPr>
      </w:pPr>
    </w:p>
    <w:p>
      <w:pPr>
        <w:ind w:left="-8" w:right="40" w:firstLine="8"/>
        <w:spacing w:after="0" w:line="268"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 This Note may only be amended by a written instrument signed by both parties. No waiver of any provision of this Note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effective unless it is in writing and signed by the party waiving such provision. No waiver of any provision of this Note shall be construed as a waiver of any other provision or of the same provision on another occasion.</w:t>
      </w:r>
    </w:p>
    <w:p>
      <w:pPr>
        <w:spacing w:after="0" w:line="170" w:lineRule="exact"/>
        <w:rPr>
          <w:rFonts w:ascii="Times New Roman" w:cs="Times New Roman" w:eastAsia="Times New Roman" w:hAnsi="Times New Roman"/>
          <w:sz w:val="18"/>
          <w:szCs w:val="18"/>
          <w:b w:val="1"/>
          <w:bCs w:val="1"/>
          <w:color w:val="auto"/>
        </w:rPr>
      </w:pPr>
    </w:p>
    <w:p>
      <w:pPr>
        <w:ind w:left="-8" w:right="60" w:firstLine="8"/>
        <w:spacing w:after="0" w:line="268"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Note shall be binding upon and inure to the benefit of the parties hereto and their respective successors and assigns, except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may not assign or otherwise transfer any of its rights or obligations hereunder without the prior written consent of the Lender (and any attempted assignment or transfer by the Borrower without such consent shall be null and void).</w:t>
      </w:r>
    </w:p>
    <w:p>
      <w:pPr>
        <w:spacing w:after="0" w:line="170" w:lineRule="exact"/>
        <w:rPr>
          <w:rFonts w:ascii="Times New Roman" w:cs="Times New Roman" w:eastAsia="Times New Roman" w:hAnsi="Times New Roman"/>
          <w:sz w:val="18"/>
          <w:szCs w:val="18"/>
          <w:b w:val="1"/>
          <w:bCs w:val="1"/>
          <w:color w:val="auto"/>
        </w:rPr>
      </w:pPr>
    </w:p>
    <w:p>
      <w:pPr>
        <w:ind w:left="-8" w:right="300" w:firstLine="8"/>
        <w:spacing w:after="0" w:line="286"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Note constitutes the entire agreement between the parties with respect to the subject matter hereof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whether written or oral, relating to such subject matter.</w:t>
      </w:r>
    </w:p>
    <w:p>
      <w:pPr>
        <w:spacing w:after="0" w:line="154" w:lineRule="exact"/>
        <w:rPr>
          <w:rFonts w:ascii="Times New Roman" w:cs="Times New Roman" w:eastAsia="Times New Roman" w:hAnsi="Times New Roman"/>
          <w:sz w:val="18"/>
          <w:szCs w:val="18"/>
          <w:b w:val="1"/>
          <w:bCs w:val="1"/>
          <w:color w:val="auto"/>
        </w:rPr>
      </w:pPr>
    </w:p>
    <w:p>
      <w:pPr>
        <w:ind w:left="-8" w:right="300" w:firstLine="8"/>
        <w:spacing w:after="0" w:line="268" w:lineRule="auto"/>
        <w:tabs>
          <w:tab w:leader="none" w:pos="30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color w:val="auto"/>
        </w:rPr>
        <w:t>. This Note renews, amends, restates, and supersedes the Prior Note, and no novation of the indebtedness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is intended nor shall any such novation be deemed to have occurred on account of the execution and delivery of this Note or otherwise. Upon execution and delivery of this Note, the Prior Note shall be deemed superseded, replaced, and no longer in effect.</w:t>
      </w:r>
    </w:p>
    <w:p>
      <w:pPr>
        <w:spacing w:after="0" w:line="1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68" w:name="page169"/>
    <w:bookmarkEnd w:id="168"/>
    <w:p>
      <w:pPr>
        <w:ind w:left="340"/>
        <w:spacing w:after="0"/>
        <w:rPr>
          <w:sz w:val="20"/>
          <w:szCs w:val="20"/>
          <w:color w:val="auto"/>
        </w:rPr>
      </w:pPr>
      <w:r>
        <w:rPr>
          <w:rFonts w:ascii="Times New Roman" w:cs="Times New Roman" w:eastAsia="Times New Roman" w:hAnsi="Times New Roman"/>
          <w:sz w:val="18"/>
          <w:szCs w:val="18"/>
          <w:color w:val="auto"/>
        </w:rPr>
        <w:t>IN WITNESS WHEREOF, the Borrower has executed this Note as of the date first above written.</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163703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Email: legalnotices@innventure.com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Scott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jscott@innventure.com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156845</wp:posOffset>
            </wp:positionV>
            <wp:extent cx="2237105" cy="4457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22371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EFFECTIVE AS OF OCTOBER 2, 2024)</w:t>
      </w:r>
    </w:p>
    <w:p>
      <w:pPr>
        <w:spacing w:after="0" w:line="225" w:lineRule="exact"/>
        <w:rPr>
          <w:sz w:val="20"/>
          <w:szCs w:val="20"/>
          <w:color w:val="auto"/>
        </w:rPr>
      </w:pPr>
    </w:p>
    <w:p>
      <w:pPr>
        <w:jc w:val="both"/>
        <w:ind w:firstLine="656"/>
        <w:spacing w:after="0" w:line="262" w:lineRule="auto"/>
        <w:tabs>
          <w:tab w:leader="none" w:pos="13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 of the Code</w:t>
      </w:r>
      <w:r>
        <w:rPr>
          <w:rFonts w:ascii="Times New Roman" w:cs="Times New Roman" w:eastAsia="Times New Roman" w:hAnsi="Times New Roman"/>
          <w:sz w:val="18"/>
          <w:szCs w:val="18"/>
          <w:color w:val="auto"/>
        </w:rPr>
        <w:t>. This Code of Business Conduct and Ethics (this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provides standards and procedures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conduct of Covered Persons (as defined below) of Innventure, Inc. (“</w:t>
      </w:r>
      <w:r>
        <w:rPr>
          <w:rFonts w:ascii="Times New Roman" w:cs="Times New Roman" w:eastAsia="Times New Roman" w:hAnsi="Times New Roman"/>
          <w:sz w:val="18"/>
          <w:szCs w:val="18"/>
          <w:b w:val="1"/>
          <w:bCs w:val="1"/>
          <w:i w:val="1"/>
          <w:iCs w:val="1"/>
          <w:color w:val="auto"/>
        </w:rPr>
        <w:t>Innventure</w:t>
      </w:r>
      <w:r>
        <w:rPr>
          <w:rFonts w:ascii="Times New Roman" w:cs="Times New Roman" w:eastAsia="Times New Roman" w:hAnsi="Times New Roman"/>
          <w:sz w:val="18"/>
          <w:szCs w:val="18"/>
          <w:color w:val="auto"/>
        </w:rPr>
        <w:t>”) and its subsidiaries, including, without limitation, AeroFlexx, LLC and Accelsius Holdings, LLC (each a “Subsidiary” and, collectively with Innventure,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Innventure expects all persons subject to this Code, in carrying out their responsibilities, to act in accordance with these standards, which are designed to deter wrongdoing and promote:</w:t>
      </w:r>
    </w:p>
    <w:p>
      <w:pPr>
        <w:spacing w:after="0" w:line="180" w:lineRule="exact"/>
        <w:rPr>
          <w:sz w:val="20"/>
          <w:szCs w:val="20"/>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Innventure files with, or submits to,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any other governmental agency and in other public communications;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internal reporting of violations of this Code to the persons identified herein;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this Code.</w:t>
      </w:r>
    </w:p>
    <w:p>
      <w:pPr>
        <w:spacing w:after="0" w:line="221" w:lineRule="exact"/>
        <w:rPr>
          <w:sz w:val="20"/>
          <w:szCs w:val="20"/>
          <w:color w:val="auto"/>
        </w:rPr>
      </w:pPr>
    </w:p>
    <w:p>
      <w:pPr>
        <w:jc w:val="both"/>
        <w:ind w:firstLine="656"/>
        <w:spacing w:after="0" w:line="262" w:lineRule="auto"/>
        <w:tabs>
          <w:tab w:leader="none" w:pos="133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Persons Subject to the Code</w:t>
      </w:r>
      <w:r>
        <w:rPr>
          <w:rFonts w:ascii="Times New Roman" w:cs="Times New Roman" w:eastAsia="Times New Roman" w:hAnsi="Times New Roman"/>
          <w:sz w:val="18"/>
          <w:szCs w:val="18"/>
          <w:color w:val="auto"/>
        </w:rPr>
        <w:t>. This Code applies to all Innventure directors, officers (including the principal executive officer,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principal accounting officer), employees, consultants, independent contractors and agents, as well as to all directors, officers, employees, consultants, independent contractors and agents of each Subsidiary. Such individuals are referred to herein collectively as the “</w:t>
      </w:r>
      <w:r>
        <w:rPr>
          <w:rFonts w:ascii="Times New Roman" w:cs="Times New Roman" w:eastAsia="Times New Roman" w:hAnsi="Times New Roman"/>
          <w:sz w:val="18"/>
          <w:szCs w:val="18"/>
          <w:b w:val="1"/>
          <w:bCs w:val="1"/>
          <w:i w:val="1"/>
          <w:i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Consequences for Violation of the Code</w:t>
      </w:r>
      <w:r>
        <w:rPr>
          <w:rFonts w:ascii="Times New Roman" w:cs="Times New Roman" w:eastAsia="Times New Roman" w:hAnsi="Times New Roman"/>
          <w:sz w:val="18"/>
          <w:szCs w:val="18"/>
          <w:color w:val="auto"/>
        </w:rPr>
        <w:t>. Should the Company become aware of a violation of this Code, other Company policies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we will take appropriate action to address the issue and to prevent the problem from occurring in the future. Depending on the circumstances, corrective and preventive steps might include training, counseling, and disciplinary actions up to and including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0" w:name="page171"/>
    <w:bookmarkEnd w:id="170"/>
    <w:p>
      <w:pPr>
        <w:ind w:left="1280" w:hanging="624"/>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Payments by and to the Company and its Covered Persons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Officials</w:t>
      </w:r>
      <w:r>
        <w:rPr>
          <w:rFonts w:ascii="Times New Roman" w:cs="Times New Roman" w:eastAsia="Times New Roman" w:hAnsi="Times New Roman"/>
          <w:sz w:val="18"/>
          <w:szCs w:val="18"/>
          <w:color w:val="auto"/>
        </w:rPr>
        <w:t>. Any direct or indirect payment, transfer, offer or promise of transfer of anything of value (whether cash or non-cash) to a government official for the purpose of improperly influencing government acts or decisions in order to obtain or retain business or to secure a business advantage is an improper payment and is prohibited. Government officials include a wide range of individuals and entities at all levels of government, and include any person acting on behalf of a governmental entity, political party or government-owned or controlled company (e.g., state-owned energy companies or public utilities), as well as military personnel and candidates for political office. Covered Persons should be aware that some laws prohibit providing anything of value to government officials, even when there is no intent or expectation of receiving any preferential treatment or other benefit. Covered Persons should consult with Innventure’s General Counsel before offering to provide any item of value to a government official, including meals and entertainment.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3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 from Business Providers</w:t>
      </w:r>
      <w:r>
        <w:rPr>
          <w:rFonts w:ascii="Times New Roman" w:cs="Times New Roman" w:eastAsia="Times New Roman" w:hAnsi="Times New Roman"/>
          <w:sz w:val="18"/>
          <w:szCs w:val="18"/>
          <w:color w:val="auto"/>
        </w:rPr>
        <w:t>. Covered Persons (including their immediate family members) may neither accept, nor give or seek for themselves or others any gifts, favors, entertainment or consideration of any kind (collectively, “</w:t>
      </w:r>
      <w:r>
        <w:rPr>
          <w:rFonts w:ascii="Times New Roman" w:cs="Times New Roman" w:eastAsia="Times New Roman" w:hAnsi="Times New Roman"/>
          <w:sz w:val="18"/>
          <w:szCs w:val="18"/>
          <w:b w:val="1"/>
          <w:bCs w:val="1"/>
          <w:i w:val="1"/>
          <w:iCs w:val="1"/>
          <w:color w:val="auto"/>
        </w:rPr>
        <w:t>Gifts</w:t>
      </w:r>
      <w:r>
        <w:rPr>
          <w:rFonts w:ascii="Times New Roman" w:cs="Times New Roman" w:eastAsia="Times New Roman" w:hAnsi="Times New Roman"/>
          <w:sz w:val="18"/>
          <w:szCs w:val="18"/>
          <w:color w:val="auto"/>
        </w:rPr>
        <w:t>”), to or from any person or business organization that does or seeks to do business with, or is a competitor of, the Company (collectively, “</w:t>
      </w:r>
      <w:r>
        <w:rPr>
          <w:rFonts w:ascii="Times New Roman" w:cs="Times New Roman" w:eastAsia="Times New Roman" w:hAnsi="Times New Roman"/>
          <w:sz w:val="18"/>
          <w:szCs w:val="18"/>
          <w:b w:val="1"/>
          <w:bCs w:val="1"/>
          <w:i w:val="1"/>
          <w:iCs w:val="1"/>
          <w:color w:val="auto"/>
        </w:rPr>
        <w:t>Business Providers</w:t>
      </w:r>
      <w:r>
        <w:rPr>
          <w:rFonts w:ascii="Times New Roman" w:cs="Times New Roman" w:eastAsia="Times New Roman" w:hAnsi="Times New Roman"/>
          <w:sz w:val="18"/>
          <w:szCs w:val="18"/>
          <w:color w:val="auto"/>
        </w:rPr>
        <w:t>”), unless (i) they are consistent with customary business practices, (ii) they do not have more than a nominal value (determination is situation-dependent, but $250 is a good rule-of-thumb) (iii) they do not occur more frequently than once per calendar quarter, regardless of amount, and (iv) such Gift is not otherwise in violation of any country or local law in which the Gift is being provided. Under no circumstances may an employee accept a Gift from a Business Provider that could be construed as a kickback, bribe, gratuity or cash payment, regardless of value. A strict standard is imposed with respect to accepting Gifts from, and providing Gifts to, Business Providers, as the Company desires to preserve its ability to make impartial business decisions and to avoid any improper incentives for decision makers.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Gifts that comply with the criteria outlined above may be accepted from Business Providers. Any Gift that may be inconsistent with the criteria outlined above should be reported to Innventure’s General Counsel. Innventure’s General Counsel will then make a determination as to whether such Gift may be accepted, returned, donated or handled in a different manner. Examples of permissible Gifts accepted from a Business Provider because they are consistent with customary business practices include, but are not limited to, the following:</w:t>
      </w:r>
    </w:p>
    <w:p>
      <w:pPr>
        <w:spacing w:after="0" w:line="180"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admission at educational programs sponsored by a Business Provider, but excludes the cost of transportation or lodging;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meals at which business matters are discussed;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charitable or sporting events that the Business Provider will attend;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items of nominal value associated with a party’s commercial and marketing efforts (e.g., t-shirts, hats, cups, or pens);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won as part of games of chance or broadly disseminated to attendees at an industry-related event, provided that such item is not valued at greater than a nominal value.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jc w:val="both"/>
        <w:ind w:firstLine="1304"/>
        <w:spacing w:after="0" w:line="258" w:lineRule="auto"/>
        <w:tabs>
          <w:tab w:leader="none" w:pos="2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Related to Sales and Purchases</w:t>
      </w:r>
      <w:r>
        <w:rPr>
          <w:rFonts w:ascii="Times New Roman" w:cs="Times New Roman" w:eastAsia="Times New Roman" w:hAnsi="Times New Roman"/>
          <w:sz w:val="18"/>
          <w:szCs w:val="18"/>
          <w:color w:val="auto"/>
        </w:rPr>
        <w:t>. So as to avoid any appearance of illegal or unethical payments, or creating an environment where these may inadvertently be made, commissions, rebates, discounts, credits and allowances associated with Company sales should be paid or granted only by the company on whose books the related sale is recorded, bear a reasonable relationship to the value of goods delivered or services rendered, be given to the specific business entity involved and not to individuals or to a related business entity, and be supported by appropriate documentation.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Agreements for the Company to pay commissions, rebates, credits, discounts or allowances should be in writing; however, when this is not feasible, an explanatory memorandum for the file prepared by the approving department and reviewed by Innventure’s General Counsel should be created.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Any potential deviation from these provisions should be reviewed in advance with Innventure’s Chief Financial Officer and General Counsel, and Innventure’s Internal Auditing department (whether outsourced or not) should also be informed. There must be no falsification, misrepresentation, or deliberate overbilling reflected in any document (including invoices, consular documents, letters of credit, etc.) involved in the transaction. This includes suppression or omission of documents or of information in the documents, or deliberate misdirection of documents.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Payments for goods and services purchased by the Company are otherwise subject to the same considerations noted above.</w:t>
      </w:r>
    </w:p>
    <w:p>
      <w:pPr>
        <w:spacing w:after="0" w:line="225" w:lineRule="exact"/>
        <w:rPr>
          <w:sz w:val="20"/>
          <w:szCs w:val="20"/>
          <w:color w:val="auto"/>
        </w:rPr>
      </w:pPr>
    </w:p>
    <w:p>
      <w:pPr>
        <w:jc w:val="both"/>
        <w:ind w:right="20" w:firstLine="1304"/>
        <w:spacing w:after="0" w:line="261" w:lineRule="auto"/>
        <w:tabs>
          <w:tab w:leader="none" w:pos="20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Political Contributions</w:t>
      </w:r>
      <w:r>
        <w:rPr>
          <w:rFonts w:ascii="Times New Roman" w:cs="Times New Roman" w:eastAsia="Times New Roman" w:hAnsi="Times New Roman"/>
          <w:sz w:val="18"/>
          <w:szCs w:val="18"/>
          <w:color w:val="auto"/>
        </w:rPr>
        <w:t>. Covered Persons may not use Company funds, property or services for contributions to any political party or committee, or to any candidate for or holder of any office of any government. This does not preclude (i) the operation of a political action committee under applicable laws, (ii) Company contributions, where lawful, to support or oppose public referenda or similar ballot issues, or (iii) Company political contributions, where lawful and done in accordance with current policy.</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policy is not intended to affect the rights of individuals to make personal political contributions as long as the donation is derived exclusively from that individual’s personal funds or time and in no way was provided directly or indirectly by the Company.</w:t>
      </w:r>
    </w:p>
    <w:p>
      <w:pPr>
        <w:spacing w:after="0" w:line="158" w:lineRule="exact"/>
        <w:rPr>
          <w:sz w:val="20"/>
          <w:szCs w:val="20"/>
          <w:color w:val="auto"/>
        </w:rPr>
      </w:pPr>
    </w:p>
    <w:p>
      <w:pPr>
        <w:jc w:val="both"/>
        <w:ind w:firstLine="656"/>
        <w:spacing w:after="0" w:line="257" w:lineRule="auto"/>
        <w:tabs>
          <w:tab w:leader="none" w:pos="13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Conflicts of Interest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 conflict of interest occurs when an individual’s private interest interferes, or appears to interfere,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Covered Persons should avoid any situation that involves or may involve a perceived or actual conflict between their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and the Company’s interests. As in all other facets of their duties, Covered Persons dealing with customers, suppliers, contractors, competitors or any persons doing or seeking to do business with the Company are to act in the best interests of the Company to the exclusion of considerations of personal preference or advantage. Each Covered Person must make prompt and full disclosure in writing to his or her supervisor (if applicable) and Innventure’s General Counsel of the following prospective situations that may involve a perceived or actual conflict of interest:</w:t>
      </w:r>
    </w:p>
    <w:p>
      <w:pPr>
        <w:spacing w:after="0" w:line="186" w:lineRule="exact"/>
        <w:rPr>
          <w:sz w:val="20"/>
          <w:szCs w:val="20"/>
          <w:color w:val="auto"/>
        </w:rPr>
      </w:pPr>
    </w:p>
    <w:p>
      <w:pPr>
        <w:jc w:val="both"/>
        <w:ind w:left="1300" w:hanging="644"/>
        <w:spacing w:after="0" w:line="258"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 or a member of the Covered Person’s family, has a significant financial interest in any outside enterprise that does or seeks to do business with or is a direct or indirect competitor of the Company. As a minimum standard, a “significant” financial interest exists with respect to a company where (A) there is greater than 2% ownership of a private company or 5% in the case of a public company, (B) a family member is associated with the company, or (C) there is any other interest in the company in excess of 5% of the company’s assets or annual revenue.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Person serves as a director, officer, partner, consultant or employee to any outside enterprise that does or is seeking to do business with or is a competitor of the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broker, finder, go-between or otherwise for the benefit of a third party in transactions involving or potentially involving the Company or its interests.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 or circumstance, including family or other personal relationships, that might dissuade the Covered Person from acting in the best interest of the Company.</w:t>
      </w:r>
    </w:p>
    <w:p>
      <w:pPr>
        <w:spacing w:after="0" w:line="158" w:lineRule="exact"/>
        <w:rPr>
          <w:sz w:val="20"/>
          <w:szCs w:val="20"/>
          <w:color w:val="auto"/>
        </w:rPr>
      </w:pPr>
    </w:p>
    <w:p>
      <w:pPr>
        <w:jc w:val="both"/>
        <w:ind w:firstLine="656"/>
        <w:spacing w:after="0" w:line="256" w:lineRule="auto"/>
        <w:tabs>
          <w:tab w:leader="none" w:pos="130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 in Outside Organizations</w:t>
      </w:r>
      <w:r>
        <w:rPr>
          <w:rFonts w:ascii="Times New Roman" w:cs="Times New Roman" w:eastAsia="Times New Roman" w:hAnsi="Times New Roman"/>
          <w:sz w:val="18"/>
          <w:szCs w:val="18"/>
          <w:color w:val="auto"/>
        </w:rPr>
        <w:t>. Employees should not accept a directorship with any for-profit corporation without the prior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Innventure’s General Counsel and, in the case of directors and executive officers of Innventure (including Innventure’s principal executive officer, principal financial officer and principal accounting officer), they also must notify Innventure’s Nominating and Corporate Governance Committee and comply with the applicable procedures, if any, set forth or recommended by Innventure’s Nominating and Corporate Governance Committee. Employees, directors and executive officers must ensure their participation or service to other organizations, be they civic, charitable, corporate, governmental, public, private, or non-profit in nature, does not (A) materially detract from or interfere with the full and timely performance of their services to the Company or (B) create possible or perceived conflicts of interest as to the Company.</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8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Protection of Company Information and Assets</w:t>
      </w:r>
      <w:r>
        <w:rPr>
          <w:rFonts w:ascii="Times New Roman" w:cs="Times New Roman" w:eastAsia="Times New Roman" w:hAnsi="Times New Roman"/>
          <w:sz w:val="18"/>
          <w:szCs w:val="18"/>
          <w:color w:val="auto"/>
        </w:rPr>
        <w:t>. Covered Persons must ensure the proper handling, protection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disposal of Company information. Business information is a valuable resource to the Company and improperly handled or disclosed business information (whether intentional or inadvertent), may result in financial damage to the Company and have other negative consequences.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ensure the proper handling, protection and disposal of Company information, Covered Persons must not: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or release confidential data or information obtained while in the Company’s employment or service, including (but not limited to) materials relating to patents, trade secrets, other intellectual property, customers, development programs, costs, marketing, trading, investment, sales activities, promotion, credit and financial data, manufacturing processes, financing methods, strategic plans or the business and affairs of the Company, to any unauthorized individual or entity; and/or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nonpublic information obtained while in the Company’s employment or service for the Covered Person’s personal advantage, including any use for the purposes of: (A) trading or providing information for others to trade in securities, (B) acquiring a property interest of any kind, or (C) retaining Company documents or using for any purpose or revealing to anyone else Company business practices, confidential information or trade secrets after leaving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spacing w:after="0" w:line="282" w:lineRule="auto"/>
        <w:rPr>
          <w:sz w:val="20"/>
          <w:szCs w:val="20"/>
          <w:color w:val="auto"/>
        </w:rPr>
      </w:pPr>
      <w:r>
        <w:rPr>
          <w:rFonts w:ascii="Times New Roman" w:cs="Times New Roman" w:eastAsia="Times New Roman" w:hAnsi="Times New Roman"/>
          <w:sz w:val="18"/>
          <w:szCs w:val="18"/>
          <w:color w:val="auto"/>
        </w:rPr>
        <w:t>Upon termination of employment or service with the Company, Covered Persons must return to the company that employed or engaged them (i.e., Innventure or a Subsidiary) all tangible items and electronic files (including copies) that relate to the business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important to remember that these obligations continue even after a person is no longer employed by or serving with the Company.</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Notwithstanding the foregoing, nothing in this Code is intended to restrict, limit or prohibit Covered Persons from reporting possible violations of law or regulation to any governmental agency or entity, including but not limited to, the Department of Justice or the SEC, or from making other disclosures that are protected under state or federal law or regulation, including, without limitation, good faith disclosure on a confidential basis of confidential information constituting “Trade Secrets” as defined in 18 U.S.C. § 1839, so long as such disclosures are consistent with 18 U.S.C. § 1833. Covered Persons do not need the prior authorization of the Company to make such reports or disclosures. Covered Persons are not required to notify the Company that they have made any such reports or disclosures.</w:t>
      </w:r>
    </w:p>
    <w:p>
      <w:pPr>
        <w:spacing w:after="0" w:line="182" w:lineRule="exact"/>
        <w:rPr>
          <w:sz w:val="20"/>
          <w:szCs w:val="20"/>
          <w:color w:val="auto"/>
        </w:rPr>
      </w:pPr>
    </w:p>
    <w:p>
      <w:pPr>
        <w:jc w:val="both"/>
        <w:ind w:firstLine="656"/>
        <w:spacing w:after="0" w:line="268" w:lineRule="auto"/>
        <w:tabs>
          <w:tab w:leader="none" w:pos="12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Fair Dealing</w:t>
      </w:r>
      <w:r>
        <w:rPr>
          <w:rFonts w:ascii="Times New Roman" w:cs="Times New Roman" w:eastAsia="Times New Roman" w:hAnsi="Times New Roman"/>
          <w:sz w:val="18"/>
          <w:szCs w:val="18"/>
          <w:color w:val="auto"/>
        </w:rPr>
        <w:t>. All Covered Persons must deal honestly and fairly with the Company’s customers, suppliers, competitors,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stakeholders and must not take unfair advantage of others through manipulation, concealment, abuse of privileged information, misrepresentation of material facts or other unfair dealing practices.</w:t>
      </w:r>
    </w:p>
    <w:p>
      <w:pPr>
        <w:spacing w:after="0" w:line="170" w:lineRule="exact"/>
        <w:rPr>
          <w:rFonts w:ascii="Times New Roman" w:cs="Times New Roman" w:eastAsia="Times New Roman" w:hAnsi="Times New Roman"/>
          <w:sz w:val="18"/>
          <w:szCs w:val="18"/>
          <w:color w:val="auto"/>
        </w:rPr>
      </w:pPr>
    </w:p>
    <w:p>
      <w:pPr>
        <w:jc w:val="both"/>
        <w:ind w:firstLine="656"/>
        <w:spacing w:after="0" w:line="254" w:lineRule="auto"/>
        <w:tabs>
          <w:tab w:leader="none" w:pos="12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Data and Information Systems</w:t>
      </w:r>
      <w:r>
        <w:rPr>
          <w:rFonts w:ascii="Times New Roman" w:cs="Times New Roman" w:eastAsia="Times New Roman" w:hAnsi="Times New Roman"/>
          <w:sz w:val="18"/>
          <w:szCs w:val="18"/>
          <w:color w:val="auto"/>
        </w:rPr>
        <w:t>. The Company’s computer information systems and the Company data processed,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stored electronically are assets requiring unique protection. Each Covered Person is responsible for compliance with the Company’s policies, standards and related procedures for electronic information security. Additionally, Covered Persons may be required by law to read and comply with the license agreements associated with the computer software they utilize. Covered Persons should properly utilize and protect the Company’s computer information systems and the Company data, including but not limited to only using such data as necessary for the performance of their duties and only using such Company computer information systems and/or Company data for the benefit of the Company. Covered Persons are expected to use good judgment and conduct themselves professionally when posting and interacting on social media platforms or participating in online forums, blogs, chat rooms or comment boards. Covered Persons should not act or post in a way that would give the impression that they are speaking or posting on behalf of the Company unless they are specifically authorized to do so.</w:t>
      </w:r>
    </w:p>
    <w:p>
      <w:pPr>
        <w:spacing w:after="0" w:line="188" w:lineRule="exact"/>
        <w:rPr>
          <w:rFonts w:ascii="Times New Roman" w:cs="Times New Roman" w:eastAsia="Times New Roman" w:hAnsi="Times New Roman"/>
          <w:sz w:val="18"/>
          <w:szCs w:val="18"/>
          <w:color w:val="auto"/>
        </w:rPr>
      </w:pPr>
    </w:p>
    <w:p>
      <w:pPr>
        <w:ind w:right="20" w:firstLine="656"/>
        <w:spacing w:after="0" w:line="286" w:lineRule="auto"/>
        <w:tabs>
          <w:tab w:leader="none" w:pos="140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the Law</w:t>
      </w:r>
      <w:r>
        <w:rPr>
          <w:rFonts w:ascii="Times New Roman" w:cs="Times New Roman" w:eastAsia="Times New Roman" w:hAnsi="Times New Roman"/>
          <w:sz w:val="18"/>
          <w:szCs w:val="18"/>
          <w:color w:val="auto"/>
        </w:rPr>
        <w:t>. All Covered Persons are expected to comply with all applicable laws, rules and regulations including,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limited to, the following:</w:t>
      </w:r>
    </w:p>
    <w:p>
      <w:pPr>
        <w:spacing w:after="0" w:line="15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Safety and Health</w:t>
      </w:r>
      <w:r>
        <w:rPr>
          <w:rFonts w:ascii="Times New Roman" w:cs="Times New Roman" w:eastAsia="Times New Roman" w:hAnsi="Times New Roman"/>
          <w:sz w:val="18"/>
          <w:szCs w:val="18"/>
          <w:color w:val="auto"/>
        </w:rPr>
        <w:t>. It is the Company’s policy to conduct operations so as to protect and preserve the environment and the health and safety of Covered Persons, and in compliance with all applicable state and federal environmental, health and safety laws and regulations. These laws and regulations govern work practices at all Company sites and the impact of our operations on the air, land and water. Covered Persons must be scrupulous in the observance of applicable laws and regulations to avoid risks to the health and safety of Covered Persons, to the environment and of non-compliance.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firstLine="1304"/>
        <w:spacing w:after="0" w:line="256" w:lineRule="auto"/>
        <w:tabs>
          <w:tab w:leader="none" w:pos="2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Employment Opportunity</w:t>
      </w:r>
      <w:r>
        <w:rPr>
          <w:rFonts w:ascii="Times New Roman" w:cs="Times New Roman" w:eastAsia="Times New Roman" w:hAnsi="Times New Roman"/>
          <w:sz w:val="18"/>
          <w:szCs w:val="18"/>
          <w:color w:val="auto"/>
        </w:rPr>
        <w:t>. It is the Company’s policy to provide equal employment opportunities to all employees, consultants, independent contractors and agents and applicants for employment without regard to race, color, religion, sex, national origin, age, disability, marital status, sexual orientation, genetic information, protected veteran status or any other status or characteristic protected by applicable law. This applies to all employment decisions regarding recruiting, hiring, promotion, transfer, layoff, termination, compensation, benefits, training (including apprenticeship), classification, certification, testing, retention, referral and all other aspects of employment, except where a bona fide occupational qualification applies.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2"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Harassment</w:t>
      </w:r>
      <w:r>
        <w:rPr>
          <w:rFonts w:ascii="Times New Roman" w:cs="Times New Roman" w:eastAsia="Times New Roman" w:hAnsi="Times New Roman"/>
          <w:sz w:val="18"/>
          <w:szCs w:val="18"/>
          <w:color w:val="auto"/>
        </w:rPr>
        <w:t>. Workplace harassment is strictly prohibited. Verbal or physical conduct by any Covered Person that harasses another, disrupts another’s work performance or creates an intimidating, offensive, abusive or hostile work environment will not be tolerated. The Company is dedicated to ensuring a harassment-free workplace environment for all Covered Persons. If employees, consultants, independent contractors and agents have any questions or concerns in this area, they should bring them to the immediate attention of their supervisor or, in the case of directors, to Innventure’s General Counsel. Alternatively, Covered Persons are encouraged to report any such acts of alleged workplace harassment through the Syntrio Lighthouse Employee Hotline and Anonymous Reporting System in accordance with Section 16 of this Policy.</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Drugs and Alcohol</w:t>
      </w:r>
      <w:r>
        <w:rPr>
          <w:rFonts w:ascii="Times New Roman" w:cs="Times New Roman" w:eastAsia="Times New Roman" w:hAnsi="Times New Roman"/>
          <w:sz w:val="18"/>
          <w:szCs w:val="18"/>
          <w:color w:val="auto"/>
        </w:rPr>
        <w:t>. The use or consumption of illegal drugs or alcohol while a Covered Person is working is prohibited as it can create significant risks to the health and safety of the employees. The possession and use of illegal drugs is prohibited on Company properties. In certain limited circumstances, possession and consumption of alcohol may be permitted during or after normal business hours when approved in advance by management or for Company-sponsored functions. If a supervisor or manager has reasonable suspicion to believe that an employee is using illegal drugs and/or alcohol in violation of this policy, the supervisor or manager may, but is not required to, request an alcohol and/or drug screening. A reasonable suspicion may be based on objective symptoms such as the employee’s appearance, behavior or speech.</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Competition</w:t>
      </w:r>
      <w:r>
        <w:rPr>
          <w:rFonts w:ascii="Times New Roman" w:cs="Times New Roman" w:eastAsia="Times New Roman" w:hAnsi="Times New Roman"/>
          <w:sz w:val="18"/>
          <w:szCs w:val="18"/>
          <w:color w:val="auto"/>
        </w:rPr>
        <w:t>. The Company supports an environment in which we comply with all competition laws. Covered Persons must avoid any activities that seek to reach any understandings or agreements with competitors or suppliers that restrict competition. Covered Persons should avoid discussion of, or collaboration on, proprietary or confidential information with competitors or suppliers, including pricing policies, contract terms, costs and marketing plans, production plans and capabilities, and allocating clients or territories. When conducting business, Covered Persons must adhere to these guidelines. Covered Persons should consult with Innventure’s General Counsel with any questions regarding these obligations.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Laws</w:t>
      </w:r>
      <w:r>
        <w:rPr>
          <w:rFonts w:ascii="Times New Roman" w:cs="Times New Roman" w:eastAsia="Times New Roman" w:hAnsi="Times New Roman"/>
          <w:sz w:val="18"/>
          <w:szCs w:val="18"/>
          <w:color w:val="auto"/>
        </w:rPr>
        <w:t>. Our products and supplies may be subject to local, regional and international import and export laws, rules and regulations. The Company also acknowledges trade sanctions and import/export restrictions applicable to our activities. Before initiating a cross-border transaction that may involve importing, exporting or re-exporting Company products or supplies, Covered Persons must ensure that such exporting activity is permitted under U.S. export regulations and any applicable non-U.S. laws and regulations.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8" w:lineRule="auto"/>
        <w:tabs>
          <w:tab w:leader="none" w:pos="137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Travel and Entertainment</w:t>
      </w:r>
      <w:r>
        <w:rPr>
          <w:rFonts w:ascii="Times New Roman" w:cs="Times New Roman" w:eastAsia="Times New Roman" w:hAnsi="Times New Roman"/>
          <w:sz w:val="18"/>
          <w:szCs w:val="18"/>
          <w:color w:val="auto"/>
        </w:rPr>
        <w:t>. Travel and entertainment should be consistent with the needs of the Company’s business. 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expected to exercise good judgment, travel on Company business in a cost-efficient manner, adhere to normal safety requirements and promptly report any expenditures incurred. The Company’s intent is that Covered Persons neither lose nor gain financially as a result of business travel and entertainment.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Employees who approve travel and entertainment expense reports are responsible for the propriety and reasonableness of expenditures, and for ensuring that expense reports of their subordinates are submitted promptly and that receipts and explanations properly support reported expenses. Covered Persons should ensure compliance with any Company guidelines and rules regarding travel and entertainment expenses.</w:t>
      </w:r>
    </w:p>
    <w:p>
      <w:pPr>
        <w:spacing w:after="0" w:line="172" w:lineRule="exact"/>
        <w:rPr>
          <w:sz w:val="20"/>
          <w:szCs w:val="20"/>
          <w:color w:val="auto"/>
        </w:rPr>
      </w:pPr>
    </w:p>
    <w:p>
      <w:pPr>
        <w:jc w:val="both"/>
        <w:ind w:firstLine="656"/>
        <w:spacing w:after="0" w:line="268" w:lineRule="auto"/>
        <w:tabs>
          <w:tab w:leader="none" w:pos="1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External Communications</w:t>
      </w:r>
      <w:r>
        <w:rPr>
          <w:rFonts w:ascii="Times New Roman" w:cs="Times New Roman" w:eastAsia="Times New Roman" w:hAnsi="Times New Roman"/>
          <w:sz w:val="18"/>
          <w:szCs w:val="18"/>
          <w:color w:val="auto"/>
        </w:rPr>
        <w:t>. Communications by Covered Persons to individuals, businesses and the media outside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online and social media posts) should not disclose confidential proprietary information or represent (or otherwise give the impression) that they are speaking on behalf of the Company unless authorized to do so by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63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Accounting Standards and Documentation</w:t>
      </w:r>
      <w:r>
        <w:rPr>
          <w:rFonts w:ascii="Times New Roman" w:cs="Times New Roman" w:eastAsia="Times New Roman" w:hAnsi="Times New Roman"/>
          <w:sz w:val="18"/>
          <w:szCs w:val="18"/>
          <w:color w:val="auto"/>
        </w:rPr>
        <w:t>. It is the Company’s policy to comply with all applicable financial reporting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regulations. Accounts and records must be documented in a manner that clearly describes and identifies the true nature of business transactions, assets, liabilities or equity, and properly and timely classifies and records entries on the books of account in conformity with generally accepted accounting principles. No record, entry or document may be false, distorted, misleading, misdirected, deliberately incomplete or suppressed.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established internal control standards and procedures to ensure that assets are protected and properly used and that financial reports are accurate and reliable. Covered Persons share the responsibility for maintaining and complying with required internal controls.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employee, director or other person has concerns or complaints regarding accounting, internal accounting controls or auditing matters of the Company, then he or she should submit those concerns or complaints to the Chair of the Audit Committee of the Board of Directors of Innventure promptly through the Syntrio Lighthouse Employee Hotline and Anonymous Reporting System in accordance with Section 16 of this Policy.</w:t>
      </w:r>
    </w:p>
    <w:p>
      <w:pPr>
        <w:spacing w:after="0" w:line="172" w:lineRule="exact"/>
        <w:rPr>
          <w:sz w:val="20"/>
          <w:szCs w:val="20"/>
          <w:color w:val="auto"/>
        </w:rPr>
      </w:pPr>
    </w:p>
    <w:p>
      <w:pPr>
        <w:ind w:left="1340" w:hanging="684"/>
        <w:spacing w:after="0"/>
        <w:tabs>
          <w:tab w:leader="none" w:pos="1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Protection and Proper Use of Company Assets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Protecting Against Waste of Assets</w:t>
      </w:r>
      <w:r>
        <w:rPr>
          <w:rFonts w:ascii="Times New Roman" w:cs="Times New Roman" w:eastAsia="Times New Roman" w:hAnsi="Times New Roman"/>
          <w:sz w:val="18"/>
          <w:szCs w:val="18"/>
          <w:color w:val="auto"/>
        </w:rPr>
        <w:t>. Covered Persons must protect the Company’s assets and ensure their efficient use. Theft, loss, misuse, carelessness and waste of assets have a direct impact on the Company’s profitability. In general, all Company assets should be used only for legitimate business purposes. The Company may, in its discretion, request reimbursement for the direct costs associated with misuse or loss. Although the Company recognizes that limited personal use of Company assets may be appropriate, the Company’s intellectual and proprietary information, software applications, product plans, documentation of business systems and other business data are only to be used for authorized business purposes.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Fraud Prevention</w:t>
      </w:r>
      <w:r>
        <w:rPr>
          <w:rFonts w:ascii="Times New Roman" w:cs="Times New Roman" w:eastAsia="Times New Roman" w:hAnsi="Times New Roman"/>
          <w:sz w:val="18"/>
          <w:szCs w:val="18"/>
          <w:color w:val="auto"/>
        </w:rPr>
        <w:t>. In addition, it is the Company’s policy to prevent fraud and maintain certain deterrents against the initiation of fraud, including theft, impairment or misrepresentation of an asset value, misrepresentation or concealment of liabilities, manipulation or misrepresentation of revenues or expenses, bribery, and violation of any state or federal law or regulation regarding theft, corruption, fraudulent claims, diversion or embezzlement. Fraud may include acts of concealment, such as omissions of entries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both"/>
        <w:spacing w:after="0" w:line="258" w:lineRule="auto"/>
        <w:rPr>
          <w:sz w:val="20"/>
          <w:szCs w:val="20"/>
          <w:color w:val="auto"/>
        </w:rPr>
      </w:pPr>
      <w:r>
        <w:rPr>
          <w:rFonts w:ascii="Times New Roman" w:cs="Times New Roman" w:eastAsia="Times New Roman" w:hAnsi="Times New Roman"/>
          <w:sz w:val="18"/>
          <w:szCs w:val="18"/>
          <w:color w:val="auto"/>
        </w:rPr>
        <w:t>manipulation of documents (including forgery) or could involve collusion among individuals inside or outside of the Company. To deter such actions, the Company maintains the right “tone at the top” with a view that improper or fraudulent activity will not be tolerated. The Company will take the appropriate actions against any individual that commits or is in any way involved in an improper activity. The Company will maintain the proper segregation of duties pertaining to its internal control environment, and risk assessment procedures will include discussions surrounding opportunities for fraud. Internal reviews may be performed in various areas that have a greater propensity for fraud.</w:t>
      </w:r>
    </w:p>
    <w:p>
      <w:pPr>
        <w:spacing w:after="0" w:line="183" w:lineRule="exact"/>
        <w:rPr>
          <w:sz w:val="20"/>
          <w:szCs w:val="20"/>
          <w:color w:val="auto"/>
        </w:rPr>
      </w:pPr>
    </w:p>
    <w:p>
      <w:pPr>
        <w:jc w:val="both"/>
        <w:ind w:firstLine="1304"/>
        <w:spacing w:after="0" w:line="255" w:lineRule="auto"/>
        <w:tabs>
          <w:tab w:leader="none" w:pos="226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Protecting Intellectual Property</w:t>
      </w:r>
      <w:r>
        <w:rPr>
          <w:rFonts w:ascii="Times New Roman" w:cs="Times New Roman" w:eastAsia="Times New Roman" w:hAnsi="Times New Roman"/>
          <w:sz w:val="18"/>
          <w:szCs w:val="18"/>
          <w:color w:val="auto"/>
        </w:rPr>
        <w:t>. Intellectual property developed by the Company’s employees, consultants, independent contractors and agents during the course of their employment with the Company is a valuable corporate asset. All intellectual property, including all patentable inventions, any copyrightable subject matter, trade secrets, works of art, technical information, discoveries, inventions, writings or other creations that might normally be developed on a proprietary basis resulting from work, research or investigation conducted by the Company’s employees, consultants, independent contractors and agents on the Company’s time or with its facilities and equipment (whether or not reimbursed by the Company) are the property of the Company and will be assigned (and deemed immediately assigned upon creation, pending delivery of documents or instruments of assignment) to the Company or its designee.</w:t>
      </w:r>
    </w:p>
    <w:p>
      <w:pPr>
        <w:spacing w:after="0" w:line="184" w:lineRule="exact"/>
        <w:rPr>
          <w:rFonts w:ascii="Times New Roman" w:cs="Times New Roman" w:eastAsia="Times New Roman" w:hAnsi="Times New Roman"/>
          <w:sz w:val="18"/>
          <w:szCs w:val="18"/>
          <w:color w:val="auto"/>
        </w:rPr>
      </w:pPr>
    </w:p>
    <w:p>
      <w:pPr>
        <w:jc w:val="both"/>
        <w:ind w:firstLine="656"/>
        <w:spacing w:after="0" w:line="259" w:lineRule="auto"/>
        <w:tabs>
          <w:tab w:leader="none" w:pos="146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Corporate Opportunities</w:t>
      </w:r>
      <w:r>
        <w:rPr>
          <w:rFonts w:ascii="Times New Roman" w:cs="Times New Roman" w:eastAsia="Times New Roman" w:hAnsi="Times New Roman"/>
          <w:sz w:val="18"/>
          <w:szCs w:val="18"/>
          <w:color w:val="auto"/>
        </w:rPr>
        <w:t>. All Covered Persons owe a duty to the Company to advance the Company’s legitimate interests when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do so arises. Covered Persons must not: (A) receive or seek to receive a benefit from opportunities that are discovered or developed through his or her involvement or employment with the Company (including, without limitation, his or her use of the Company’s property or information, or his or her position); (B) use corporate property or information, or his or her position for personal gain; or (C) compete with the Company, directly or indirectly, for business opportunities.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51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and Reporting</w:t>
      </w:r>
      <w:r>
        <w:rPr>
          <w:rFonts w:ascii="Times New Roman" w:cs="Times New Roman" w:eastAsia="Times New Roman" w:hAnsi="Times New Roman"/>
          <w:sz w:val="18"/>
          <w:szCs w:val="18"/>
          <w:color w:val="auto"/>
        </w:rPr>
        <w:t>. Covered Persons are expected to comply with this Code and its underlying policies and procedures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 the Company and its Covered Persons from criticism, litigation or embarrassment that might result from alleged, perceived or real conflicts of interest or unethical practices. Violations of this Code are grounds for disciplinary action up to and including discharge and possible legal prosecution.</w:t>
      </w:r>
    </w:p>
    <w:p>
      <w:pPr>
        <w:spacing w:after="0" w:line="17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Each report of apparent violations of this Code is treated in a confidential manner, to the extent permitted by applicable law. Confidentiality, to the extent permitted by applicable law, is important to avoid damaging the reputations of persons suspected, but subsequently found innocent, of wrongful conduct and to protect the Company from potential civil liability. Covered Persons should not attempt to personally conduct investigations or interviews/interrogations related to any suspected illegal or unethical behavior or activity.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Covered Persons have a duty to report any violations of the Code, as well as violations of any laws, rules or regulations. Covered Persons should report apparent or potential violations to their immediate supervisor (if applicable) or to Innventure’s General Counsel. If a Covered Person prefers, he or she may report violations through the Syntrio Lighthouse Employee Hotline and Anonymous Reporting System (the “Hotline”). The Hotline is operated by an independent company not affiliated with Innventure and provides for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line="282" w:lineRule="auto"/>
        <w:rPr>
          <w:sz w:val="20"/>
          <w:szCs w:val="20"/>
          <w:color w:val="auto"/>
        </w:rPr>
      </w:pPr>
      <w:r>
        <w:rPr>
          <w:rFonts w:ascii="Times New Roman" w:cs="Times New Roman" w:eastAsia="Times New Roman" w:hAnsi="Times New Roman"/>
          <w:sz w:val="18"/>
          <w:szCs w:val="18"/>
          <w:color w:val="auto"/>
        </w:rPr>
        <w:t>confidential and anonymous reporting for Company Persons who desire to remain anonymous. To enable a proper review of a reported concern, one of the following key words should be using in making a report: Innventure, Accelsius or Aeroflexx. Concerns can be reported through the Hotline as follows:</w:t>
      </w:r>
    </w:p>
    <w:p>
      <w:pPr>
        <w:spacing w:after="0" w:line="162" w:lineRule="exact"/>
        <w:rPr>
          <w:sz w:val="20"/>
          <w:szCs w:val="20"/>
          <w:color w:val="auto"/>
        </w:rPr>
      </w:pPr>
    </w:p>
    <w:p>
      <w:pPr>
        <w:ind w:left="1300" w:right="2680" w:hanging="320"/>
        <w:spacing w:after="0" w:line="500"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the following websites (using the specific website for the company to which the concern relates): o </w:t>
      </w:r>
      <w:r>
        <w:rPr>
          <w:rFonts w:ascii="Times New Roman" w:cs="Times New Roman" w:eastAsia="Times New Roman" w:hAnsi="Times New Roman"/>
          <w:sz w:val="18"/>
          <w:szCs w:val="18"/>
          <w:u w:val="single" w:color="auto"/>
          <w:color w:val="auto"/>
        </w:rPr>
        <w:t>https://report.syntrio.com/innventure</w:t>
      </w:r>
    </w:p>
    <w:p>
      <w:pPr>
        <w:spacing w:after="0" w:line="1" w:lineRule="exact"/>
        <w:rPr>
          <w:rFonts w:ascii="Times New Roman" w:cs="Times New Roman" w:eastAsia="Times New Roman" w:hAnsi="Times New Roman"/>
          <w:sz w:val="18"/>
          <w:szCs w:val="18"/>
          <w:color w:val="auto"/>
        </w:rPr>
      </w:pPr>
    </w:p>
    <w:p>
      <w:pPr>
        <w:jc w:val="both"/>
        <w:ind w:left="1300" w:right="70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https://report.syntrio.com/accelsius</w:t>
      </w:r>
      <w:r>
        <w:rPr>
          <w:rFonts w:ascii="Times New Roman" w:cs="Times New Roman" w:eastAsia="Times New Roman" w:hAnsi="Times New Roman"/>
          <w:sz w:val="18"/>
          <w:szCs w:val="18"/>
          <w:color w:val="auto"/>
        </w:rPr>
        <w:t xml:space="preserve"> o </w:t>
      </w:r>
      <w:r>
        <w:rPr>
          <w:rFonts w:ascii="Times New Roman" w:cs="Times New Roman" w:eastAsia="Times New Roman" w:hAnsi="Times New Roman"/>
          <w:sz w:val="18"/>
          <w:szCs w:val="18"/>
          <w:u w:val="single" w:color="auto"/>
          <w:color w:val="auto"/>
        </w:rPr>
        <w:t>https://report.syntrio.com/aeroflexx</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email at </w:t>
      </w:r>
      <w:r>
        <w:rPr>
          <w:rFonts w:ascii="Times New Roman" w:cs="Times New Roman" w:eastAsia="Times New Roman" w:hAnsi="Times New Roman"/>
          <w:sz w:val="18"/>
          <w:szCs w:val="18"/>
          <w:u w:val="single" w:color="auto"/>
          <w:color w:val="auto"/>
        </w:rPr>
        <w:t>reports@syntrio.com</w:t>
      </w:r>
      <w:r>
        <w:rPr>
          <w:rFonts w:ascii="Times New Roman" w:cs="Times New Roman" w:eastAsia="Times New Roman" w:hAnsi="Times New Roman"/>
          <w:sz w:val="18"/>
          <w:szCs w:val="18"/>
          <w:color w:val="auto"/>
        </w:rPr>
        <w:t xml:space="preserve"> (including the specific company name with the report)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toll-free telephone call:</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English-speaking USA and Canada: 866-729-7886</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Spanish-speaking USA and Canada: 800-216-1288</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Spanish-speaking Mexico: 800-681-5340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an Anonymous Reporting App</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Detailed app instructions can be download </w:t>
      </w:r>
      <w:r>
        <w:rPr>
          <w:rFonts w:ascii="Times New Roman" w:cs="Times New Roman" w:eastAsia="Times New Roman" w:hAnsi="Times New Roman"/>
          <w:sz w:val="18"/>
          <w:szCs w:val="18"/>
          <w:u w:val="single" w:color="auto"/>
          <w:color w:val="auto"/>
        </w:rPr>
        <w:t>here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Hotline is available 24 hours a day, 365 days of the year and, though not intended as a substitute for speaking directly to management, is an option that allows Covered Persons to report illegal or unethical behavior or activity confidentially and anonymously. Any Covered Person who makes an anonymous report should preserve his or her own record of the report in order to demonstrate compliance with the Code and any applicable corporate policy. The Company prohibits retaliation for any good-faith reports made in this regard, including threats of or actual withholding or withdrawal of pay, promotion, demotion, discipline, firing, salary reduction, negative evaluation, change in job assignment, lack of training or other employment opportunities, hostile behavior or attitudes toward a person who submits a complaint or violation in good faith. Anyone found to have engaged in retaliation will face appropriate disciplinary action.</w:t>
      </w:r>
    </w:p>
    <w:p>
      <w:pPr>
        <w:spacing w:after="0" w:line="185" w:lineRule="exact"/>
        <w:rPr>
          <w:sz w:val="20"/>
          <w:szCs w:val="20"/>
          <w:color w:val="auto"/>
        </w:rPr>
      </w:pPr>
    </w:p>
    <w:p>
      <w:pPr>
        <w:jc w:val="both"/>
        <w:ind w:firstLine="656"/>
        <w:spacing w:after="0" w:line="259" w:lineRule="auto"/>
        <w:tabs>
          <w:tab w:leader="none" w:pos="155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Waivers and Exceptions</w:t>
      </w:r>
      <w:r>
        <w:rPr>
          <w:rFonts w:ascii="Times New Roman" w:cs="Times New Roman" w:eastAsia="Times New Roman" w:hAnsi="Times New Roman"/>
          <w:sz w:val="18"/>
          <w:szCs w:val="18"/>
          <w:color w:val="auto"/>
        </w:rPr>
        <w:t>. Amendments, waivers or exceptions to this Code must conform with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and be approved by Innventure’s Chief Financial Officer or General Counsel, or in the case of Innventure’s directors and executive officers, by Innventure’s Board of Directors or an authorized committee of Innventure’s Board of Directors. Amendments, waivers or exceptions will be approved or granted only after full disclosure of all material facts and, in the case of Innventure’s directors and executive officers, will be promptly disclosed to the extent required by law, regulation or listing standards.</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Policies</w:t>
      </w:r>
      <w:r>
        <w:rPr>
          <w:rFonts w:ascii="Times New Roman" w:cs="Times New Roman" w:eastAsia="Times New Roman" w:hAnsi="Times New Roman"/>
          <w:sz w:val="18"/>
          <w:szCs w:val="18"/>
          <w:color w:val="auto"/>
        </w:rPr>
        <w:t>. Nothing in this Code is intended to alter other legal rights and obligations of the Company or its Covered Persons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“at will” employment arrangements). This Code is not intended to be a comprehensive policy addressing every situation a Covered Person of the Company might encounter. Further, Innventure maintains a number of additional corporate policies, procedures and guidelines that outline more specific requirements applicable to certain situations. If a Covered Person encounters a situation that is not addressed by this Code and is uncertain whether it would be in compliance with this Code and Innventure’s policies, that Covered Person should seek guidance from Innventure’s General Counsel.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Innventure, Inc. (formerly known as Learn SPAC HoldCo, Inc., which was previously a subsidiary of Learn CW Investment Corporation) under Item 4.01 of its Form 8-K dated October 8, 2024. We agree with the statements concerning our Firm in such Form 8-K; we are not in a position to agree or disagree with other statements of Innventure, Inc.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rPr>
              <w:t>LIST OF SUBSIDIARIES OF INNVENTURE, INC.</w:t>
            </w:r>
          </w:p>
        </w:tc>
      </w:tr>
      <w:tr>
        <w:trPr>
          <w:trHeight w:val="432"/>
        </w:trPr>
        <w:tc>
          <w:tcPr>
            <w:tcW w:w="3300" w:type="dxa"/>
            <w:vAlign w:val="bottom"/>
          </w:tcPr>
          <w:p>
            <w:pPr>
              <w:spacing w:after="0"/>
              <w:rPr>
                <w:sz w:val="24"/>
                <w:szCs w:val="24"/>
                <w:color w:val="auto"/>
              </w:rPr>
            </w:pPr>
          </w:p>
        </w:tc>
        <w:tc>
          <w:tcPr>
            <w:tcW w:w="794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rPr>
              <w:t>(As of October 2, 2024)</w:t>
            </w:r>
          </w:p>
        </w:tc>
      </w:tr>
      <w:tr>
        <w:trPr>
          <w:trHeight w:val="223"/>
        </w:trPr>
        <w:tc>
          <w:tcPr>
            <w:tcW w:w="330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194"/>
        </w:trPr>
        <w:tc>
          <w:tcPr>
            <w:tcW w:w="3300" w:type="dxa"/>
            <w:vAlign w:val="bottom"/>
            <w:tcBorders>
              <w:lef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426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of Jurisdiction of</w:t>
            </w:r>
          </w:p>
        </w:tc>
      </w:tr>
      <w:tr>
        <w:trPr>
          <w:trHeight w:val="245"/>
        </w:trPr>
        <w:tc>
          <w:tcPr>
            <w:tcW w:w="330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tcPr>
          <w:p>
            <w:pPr>
              <w:spacing w:after="0"/>
              <w:rPr>
                <w:sz w:val="21"/>
                <w:szCs w:val="21"/>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Learn CW Investment Corporation</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Innventure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Innventure Management Services,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Innventure GP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AeroFlexx,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AeroFlexx Packaging Company,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Accelsius Holdings,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3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Accelsisus LLC</w:t>
            </w:r>
          </w:p>
        </w:tc>
        <w:tc>
          <w:tcPr>
            <w:tcW w:w="42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12"/>
        </w:trPr>
        <w:tc>
          <w:tcPr>
            <w:tcW w:w="3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in this Current Report on Form 8-K (the “Form 8-K”) and, if not defined in the Form 8-K, the final proxy statement/consent solicitation statement/prospectus filed with the Securities and Exchange Commission (the “SEC”) on September 10, 2024 (the “Proxy Statement/Prospectus”). All amounts are reflected in thousands, except for per share amounts and unless otherwise specified.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Innventure, Inc., formerly Learn SPAC HoldCo, Inc., (“Holdco”) is providing the following unaudited pro forma condensed combined financial information to aid you in your analysis of the financial aspects of the Business Combination.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Learn CW Investment Corporation, (“Learn CW”) was a blank check company incorporated on February 21, 2021 as a Cayman Islands exempted company for the purpose of effecting a merger, share exchange, asset acquisition, share purchase, reorganization or similar business combination with one or more businesses. On October 13, 2021, Learn CW consummated its initial public offering (the “IPO”) of 23,000,000 units,which included the issuance of 3,000,000 units as a result of the underwriter’s full exercise of their over-allotment option (the “Units”), each Unit consisting of one Class A ordinary share of the Company, par value $0.0001 per share (the “Public Shares”) and one-half of one redeemable warrant of the Company (each, a “Public Warrant”), each whole Public Warrant entitling the holder thereof to purchase one Class A Ordinary Share for $11.50 per share, subject to adjustment. The Units were sold at a price of $10.00 per Unit, and the IPO generated gross proceeds of $230,000,000. Simultaneously with the closing of the IPO, Learn CW consummated a private placement (the “Private Placement”) with CWAM LC sponsor LLC, Learn CW’s sponsor, of an aggregate of 7,146,000 private placement warrants (the “Private Placement Warrants”) at a price of $1.00 per Private Placement Warrant, generating gross proceeds to the Company of $7,146,000. Following the closing of the IPO on October 13, 2021, a total of $230,000,000 ($10.00 per Public Unit) of the net proceeds from the IPO and the Private Placement were deposited in a trust account (the “Trust Account”) established for the benefit of the Company’s public stockholders at a U.S. based trust account.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11, 2023, Learn CW held an extraordinary general meeting of stockholders regarding the Extension Amendment Proposal, at which Learn CW shareholders approved the Extension Amendment. Approximately 59% of the Public Shares in the Trust were redeemed in connection with the Extension Amendment with a proportional reduction in the Trust Account after the satisfaction of such redemptions.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Holdco, (together with its subsidiaries, following the consummation of the Business Combination) founds, funds, and operates companies with a focus on transformative, sustainable technology solutions acquired or licensed from Multinational Corporations (“MNCs”). As owner-operators, Holdco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Holdco defines “disruptive” as innovations that have the ability to significantly change the way businesses, industries, markets and/or consumers operate. Holdco’s headquarters is located in Orlando, Florida.</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Inc., a direct, wholly-owned subsidiary of Holdco (“LCW Merger Sub”) and Innventure Merger Sub, LLC, a direct, wholly-owned subsidiary of Holdco (“Innventure Merger Sub”) and, together with LCW Merger Sub, the “Merger Subs”). On September 30, 2024, Learn CW held an extraordinary general meeting of its shareholders to, among other things, approve the Business Combination of Learn CW, Legacy Innventure, and Holdco, pursuant to the transactions contemplated by the Business Combination Agreement. On October 2, 2024, Learn CW and Innventure, LLC consummated the Business Combination. Following the closing of the Business Combination, each of Learn CW and Innventure, LLC became a subsidiary of Holdco, Holdco became a publicly traded company, and Holdco changed its name to “Innventure, Inc.” (“INV”).</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aggregate consideration (the “Merger Consideration”) paid to the holders of Innventure, LLC’s outstanding equity and profits interests and warrants, other than the Class PCTA Units and the Class I Units (such holders, the “Innventure Members”), at the Closing consists of a number of shares of Holdco Common Stock equal to (i) (A) $435 million minus (B) the outstanding indebtedness as of the Closing (not including Indebtedness from any Additional Financing (terms used as defined in the Business Combination Agreement)) plus (C) cash and cash equivalents (not including cash from any Additional Financing) held by Innventure, LLC and its direct and indirect subsidiaries (“Legacy Innventure”) as of the Closing, divided by (ii) $10.00. A portion of the aggregate Merger Consideration also included right to receive certain Company Earnout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 of 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Business Combination has been accounted for as a reverse recapitalization. Under this method of accounting, Learn CW has been treated as the “acquired” company for financial reporting purposes. This determination is based on the fact that subsequent to the Business Combination:</w:t>
      </w: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equity holders have a majority of the voting power of Innventure,</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comprises all of the ongoing operations of Innventure,</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has appointed a majority of the governing body of Innventure, and</w:t>
      </w:r>
    </w:p>
    <w:p>
      <w:pPr>
        <w:spacing w:after="0" w:line="9"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senior management comprises all of the senior management of Innventure.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the consolidated assets, liabilities and results of operations of Legacy Innventure have now become the historical financial statements of the combined entity; the assets, liabilities and results of operations of Learn CW were consolidated with Legacy Innventure beginning on the Closing Date. For accounting purposes, the financial statements of the combined entity represent a continuation of the financial statements of Legacy Innventure. The net assets of Learn CW are stated at historical costs, with no goodwill or other intangible assets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Pro Forma Presentation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gives pro forma effect to the Business Combination as if it had been consummated as of June 30, 2024. The unaudited pro forma condensed combined statements of operations for the six months ended June 30, 2024 and for the year ended December 31, 2023 give pro forma effect to the Business Combination as if it had been consummated as of January 1, 2023, the beginning of the earliest period presented. The unaudited pro forma condensed combined financial information should be read in conjunction with:</w:t>
      </w:r>
    </w:p>
    <w:p>
      <w:pPr>
        <w:spacing w:after="0" w:line="180"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Legacy Innventure and the historical audited financial statements of Learn CW as of and for the year ended December 31, 2023, included in the Proxy Statement/Prospectus;</w:t>
      </w:r>
    </w:p>
    <w:p>
      <w:pPr>
        <w:ind w:left="660" w:hanging="328"/>
        <w:spacing w:after="0" w:line="250"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Legacy Innventure and the historical unaudited condensed financial statements of Learn CW as of and for the six months ended June 30, 2024, included in the Proxy Statement/Prospectus;</w:t>
      </w:r>
    </w:p>
    <w:p>
      <w:pPr>
        <w:ind w:left="660" w:hanging="328"/>
        <w:spacing w:after="0" w:line="250"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Learn CW 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Innventure</w:t>
      </w:r>
      <w:r>
        <w:rPr>
          <w:rFonts w:ascii="Times New Roman" w:cs="Times New Roman" w:eastAsia="Times New Roman" w:hAnsi="Times New Roman"/>
          <w:sz w:val="18"/>
          <w:szCs w:val="18"/>
          <w:color w:val="auto"/>
        </w:rPr>
        <w:t>” included in the Proxy Statement/Prospectus; and</w:t>
      </w: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Proposal No. 1—The Business Combination Proposal,</w:t>
      </w:r>
      <w:r>
        <w:rPr>
          <w:rFonts w:ascii="Times New Roman" w:cs="Times New Roman" w:eastAsia="Times New Roman" w:hAnsi="Times New Roman"/>
          <w:sz w:val="18"/>
          <w:szCs w:val="18"/>
          <w:color w:val="auto"/>
        </w:rPr>
        <w:t>” and other financial information included in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estimated effects of the Business Combination. It sets forth and is derived from:</w:t>
      </w:r>
    </w:p>
    <w:p>
      <w:pPr>
        <w:spacing w:after="0" w:line="162" w:lineRule="exact"/>
        <w:rPr>
          <w:sz w:val="20"/>
          <w:szCs w:val="20"/>
          <w:color w:val="auto"/>
        </w:rPr>
      </w:pPr>
    </w:p>
    <w:p>
      <w:pPr>
        <w:jc w:val="both"/>
        <w:ind w:left="660" w:hanging="328"/>
        <w:spacing w:after="0" w:line="257"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historical unaudited condensed consolidated financial statements as of and for the six months ended June 30, 2024, and Legacy Innventure’s historical audited consolidated financial statements as of and for the year ended December 31, 2023, as included in the Proxy Statement/Prospectus, respectively;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CW’s historical unaudited condensed financial statements as of and for the six months ended June 30, 2024, and Learn CW’s historical audited financial statements as of and for the year ended December 31, 2023, as included in the Proxy Statement/Prospectus, respectively;</w:t>
      </w:r>
    </w:p>
    <w:p>
      <w:pPr>
        <w:ind w:left="660" w:hanging="328"/>
        <w:spacing w:after="0" w:line="250"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transaction accounting adjustments to give effect to the Business Combination on the unaudited condensed combined balance sheet as of June 30, 2024, as if the Business Combination closed on June 30, 2024; and</w:t>
      </w:r>
    </w:p>
    <w:p>
      <w:pPr>
        <w:ind w:left="660" w:right="20" w:hanging="328"/>
        <w:spacing w:after="0" w:line="260"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to give effect to the Business Combination on the unaudited condensed combined statement of operations for the year ended December 31, 2023 and for the six months ended June 30, 2024, as if the Business Combination closed on January 1, 2023.</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summarizes the number of Holdco Common Shares outstanding following the consummation of the Business Combination: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at Closing</w:t>
            </w:r>
          </w:p>
        </w:tc>
        <w:tc>
          <w:tcPr>
            <w:tcW w:w="100" w:type="dxa"/>
            <w:vAlign w:val="bottom"/>
          </w:tcPr>
          <w:p>
            <w:pPr>
              <w:spacing w:after="0"/>
              <w:rPr>
                <w:sz w:val="21"/>
                <w:szCs w:val="21"/>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221E20"/>
              </w:rPr>
              <w:t>Shares</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221E20"/>
              </w:rPr>
              <w:t>%</w:t>
            </w:r>
          </w:p>
        </w:tc>
      </w:tr>
      <w:tr>
        <w:trPr>
          <w:trHeight w:val="216"/>
        </w:trPr>
        <w:tc>
          <w:tcPr>
            <w:tcW w:w="852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Innventure Members</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2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Learn CW public shareholders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Learn CW Sponsor</w:t>
            </w:r>
            <w:r>
              <w:rPr>
                <w:rFonts w:ascii="Times New Roman" w:cs="Times New Roman" w:eastAsia="Times New Roman" w:hAnsi="Times New Roman"/>
                <w:sz w:val="25"/>
                <w:szCs w:val="25"/>
                <w:color w:val="auto"/>
                <w:vertAlign w:val="superscript"/>
              </w:rPr>
              <w:t>(2)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Learn CW independent directors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investors</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shares of Holdco Common Stock outstanding at closing of the Transactions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8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right="20" w:hanging="652"/>
        <w:spacing w:after="0" w:line="266"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38,494,999 shares of Holdco Common Stock issued at the Closing as the Merger Consideration. This excludes issuance of up to 5,000,000 Company Earnout Shares because at Closing none of the Milestones were achieved and therefore, considered a liability of Innventure and not an equity interest at Closing.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forfeiture of: (i) 750,000 Learn CW Class B Ordinary Shares pursuant to the Sponsor Support Agreement across all scenarios presented; and excludes 344,866 Sponsor Earnout Shares that the Sponsors received at Closing, subject to transfer restrictions and potential forfeit if the Milestones are not achieved within seven years because this interest is considered a liability to the Sponsor and not an equity interest at Closing.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purport to project the future financial position or operating results of Holdco following the Business Combination. The unaudited pro forma adjustments represent management’s estimates based on information currently available as of the date of these unaudited pro forma condensed combined financial statements and are subject to change as additional information becomes available and analyses are performed. The assumptions and estimates underlying the unaudited pro forma adjustments are described in the accompanying notes. Actual results may differ materially from the assumptions used, including in respect of the matters further described in Note 1 hereto, to present the unaudited pro forma condensed combined financial information. Legacy Innventure and Learn CW have not had any historical relationship prior to the Business Combination. Accordingly, no pro forma adjustments were required to eliminate activities between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Innventure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Learn CW</w:t>
            </w: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a, b, h, i, j, 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21,156</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23,442</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1,964</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w:t>
            </w: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101,593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(101,593)</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17,925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102,065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(80,537)</w:t>
            </w:r>
          </w:p>
        </w:tc>
        <w:tc>
          <w:tcPr>
            <w:tcW w:w="1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53,920</w:t>
            </w: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4,108</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6,582</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 current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58,099</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58,099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13,075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(1,725)</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1,072</w:t>
            </w: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57,117</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101,006</w:t>
            </w: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23,000,000 shares at redemption</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101,593</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(101,593)</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 - Class I Units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 - Class PCTA Units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11,281</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Holdco Common Stock</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 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Holdco Series B Preferred Stock</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10,579</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 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10,579</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Preferred Units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(48,540)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(3,323)</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Units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 Units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(940)</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authorized; none issued or outstanding</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authorized; None issued and outstanding (excluding</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9,338,421 shares subject to possible redemption)</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authorized; 5,750,000 shares issued and outstanding</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 d, e, f, g, 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4,933</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 e, j, 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(91,366)</w:t>
            </w:r>
          </w:p>
        </w:tc>
      </w:tr>
      <w:tr>
        <w:trPr>
          <w:trHeight w:val="223"/>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Unitholders’ Deficit</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(14,730)</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(36,061)</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(62,493)</w:t>
            </w:r>
          </w:p>
        </w:tc>
      </w:tr>
      <w:tr>
        <w:trPr>
          <w:trHeight w:val="194"/>
        </w:trPr>
        <w:tc>
          <w:tcPr>
            <w:tcW w:w="4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Mezzanine Capital, and Unitholders'</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102,065</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(80,537)</w:t>
            </w:r>
          </w:p>
        </w:tc>
        <w:tc>
          <w:tcPr>
            <w:tcW w:w="11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53,920</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115" w:gutter="0" w:footer="0" w:header="0"/>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15" w:gutter="0" w:footer="0" w:header="0"/>
          <w:type w:val="continuous"/>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Innventure</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Learn</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revenue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14,794</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38,587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3,205</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4,001</w:t>
            </w:r>
          </w:p>
        </w:tc>
      </w:tr>
      <w:tr>
        <w:trPr>
          <w:trHeight w:val="27"/>
        </w:trPr>
        <w:tc>
          <w:tcPr>
            <w:tcW w:w="5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6,204</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14,794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45,793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(44,676)</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(1,869) ff</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(3,093)</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8"/>
                <w:szCs w:val="18"/>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(8,809) bb</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on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(6,448)</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 related parties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(556) dd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(460) cc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(8,889)</w:t>
            </w:r>
          </w:p>
        </w:tc>
        <w:tc>
          <w:tcPr>
            <w:tcW w:w="100" w:type="dxa"/>
            <w:vAlign w:val="bottom"/>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(5,366) ee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(5,505)</w:t>
            </w:r>
          </w:p>
        </w:tc>
      </w:tr>
      <w:tr>
        <w:trPr>
          <w:trHeight w:val="223"/>
        </w:trPr>
        <w:tc>
          <w:tcPr>
            <w:tcW w:w="58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A ordinary shares/common stock</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23,000,000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21,602,673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44,602,673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B ordinary 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9560" w:type="dxa"/>
            <w:vAlign w:val="bottom"/>
            <w:gridSpan w:val="11"/>
          </w:tcPr>
          <w:p>
            <w:pPr>
              <w:ind w:left="21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5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Innventure</w:t>
            </w:r>
          </w:p>
        </w:tc>
        <w:tc>
          <w:tcPr>
            <w:tcW w:w="100" w:type="dxa"/>
            <w:vAlign w:val="bottom"/>
          </w:tcPr>
          <w:p>
            <w:pPr>
              <w:spacing w:after="0"/>
              <w:rPr>
                <w:sz w:val="18"/>
                <w:szCs w:val="18"/>
                <w:color w:val="auto"/>
              </w:rPr>
            </w:pPr>
          </w:p>
        </w:tc>
        <w:tc>
          <w:tcPr>
            <w:tcW w:w="9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Learn</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6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6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60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19,211</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3,433</w:t>
            </w: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(21,818)</w:t>
            </w: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(24,746)</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(935) ii</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1,495</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gg</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100" w:type="dxa"/>
            <w:vAlign w:val="bottom"/>
            <w:shd w:val="clear" w:color="auto" w:fill="CCEEFF"/>
          </w:tcPr>
          <w:p>
            <w:pPr>
              <w:spacing w:after="0"/>
              <w:rPr>
                <w:sz w:val="18"/>
                <w:szCs w:val="18"/>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4,777</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23"/>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7"/>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A ordinary shares/common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9,338,422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35,264,251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44,602,673</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Class B ordinary shares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9"/>
              </w:rPr>
              <w:t>5,750,000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9560" w:type="dxa"/>
            <w:vAlign w:val="bottom"/>
            <w:gridSpan w:val="10"/>
          </w:tcPr>
          <w:p>
            <w:pPr>
              <w:ind w:left="216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6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STATEMENTS</w:t>
      </w:r>
    </w:p>
    <w:p>
      <w:pPr>
        <w:spacing w:after="0" w:line="225" w:lineRule="exact"/>
        <w:rPr>
          <w:sz w:val="20"/>
          <w:szCs w:val="20"/>
          <w:color w:val="auto"/>
        </w:rPr>
      </w:pPr>
    </w:p>
    <w:p>
      <w:pPr>
        <w:ind w:left="600" w:hanging="592"/>
        <w:spacing w:after="0"/>
        <w:tabs>
          <w:tab w:leader="none" w:pos="6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Holdco has elected not to present management adjustments and will only be presenting transaction accounting adjustments in the accompanying unaudited pro forma condensed combined financial information. There are no autonomous entity adjustments required because Legacy Innventure existed autonomously prior to the Business Combination. The historical financial information has been adjusted to reflect the pro forma adjustments that are directly attributable to the Business Combination.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 The pro forma basic and diluted earnings per share amounts presented in the unaudited pro forma condensed combined statement of operations are based upon the weighted average number of Holdco shares outstanding for the year ended December 31, 2023 and for the six months ended June 30, 2024, assuming the business combination occurred on January 1,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Transactions allowed Learn CW Public Warrants to be reclassified to equity. As such, the Learn CW Public Warrants were remeasured at fair value at closing and transferred at that value to equity. The equity classified public warrants will not be subject to subsequent remeasurement.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adjustments included in the unaudited pro forma condensed combined balance sheet as of June 30, 2024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Accounting Adjustments:</w:t>
      </w:r>
    </w:p>
    <w:p>
      <w:pPr>
        <w:spacing w:after="0" w:line="225" w:lineRule="exact"/>
        <w:rPr>
          <w:sz w:val="20"/>
          <w:szCs w:val="20"/>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$11,342 of funds held in the Trust Account to cash that became available following the Business Combination together with the redemption by shareholders of their Class A common stock in exchange for $90,701 in cash.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transaction costs incurred by Holdco of approximately $6,717 (increasing accumulated deficit), the reclassification of accrued transaction costs and accounts payable amounting to $710 and $7,160, respectively, that were paid upon Closing and the reclassification of prepaid expenses - transaction costs amounting to $100 and the reclassification of other current liabilities (deferred credits for transaction costs) amounting to $587. The net reduction in cash of this adjustment was $15,074.</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$10,892 of shares of Learn CW’s Class A ordinary shares subject to possible redemption to permanent equity (Holdco Common Stock of $1 and Additional paid-in capital of $10,891).</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$54,754 of Innventure Units, the issuance of 43,494,999 shares of Holdco Common Stock to Innventure Unitholders as consideration for the reverse recapitalization and the conversion of Learn CW’s Class B ordinary shares to Holdco Common Stock (together $5) with a net increase of $54,749 in Additional paid-in capital.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Learn CW historical accumulated deficit of $14,731 by reducing Additional paid-in capital upon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jc w:val="both"/>
        <w:ind w:left="660" w:hanging="328"/>
        <w:spacing w:after="0" w:line="254"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(i) Company Earnout Shares contingently issuable to the Innventure Members at Closing and (ii) Sponsor Earnout Shares that are issued at Closing but subject to the same earnout contingencies; and reflected as a liability with a corresponding decrease in Additional paid-in capital. The preliminary fair value of $58,099 was determined based on the closing stock price of LCW on October 2, 2024. A Monte Carlo simulation was completed which approximated the closing stock price because the probability that the contingencies will be resolved is considered to be virtually certain. The fair values of the Company Earnout Shares and the Sponsor Earnout Shares are subject to change as additional information becomes available and additional analyses are performed. Such changes could be material once the final valuation is determined at the closing of the Business Combination. Subsequent changes in the fair value of the earnout liability will flow through the consolidated statement of operations until contingencies are resolved and shares are issued and the liability is transferred at its final fair value to equity.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of $1,725 to account for reclassification of Learn CW Public Warrants from liabilities to stockholders’ equity thereby increasing Additional paid-in capital.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cash deposited of $6,559 through September 30, 2024 and the issuance of Class A Preferred Units of Accelsius in the amount of $3,175 (reflected as an increase in Non-controlling interest) and Class B Preferred Units of Innventure in the amount of $3,384 (reflected as an increase in Additional paid-in capital), subsequent to June 30, 2024. Also reflects additional cash deposited at Closing of $11,020 for the issuance of Holdco Series B Preferred Shares.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the Learn CW Convertible Promissory Note due to the Sponsor which becomes repayable at Closing in the amount of $3,800.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the execution on August 20, 2024 and August 22, 2024 of two unsecured short-term promissory note with related parties for $10,000 plus a $1,000 loan fee and $2,000 plus interest at 11.5%, respectively. Later on October 1, 2024, terms of both these notes were restated with one note consisting of a principal amount of $10,000 plus interest at 15.99% and the other note consisting of $1,000 plus interest of 13.5% interest. Both notes are repayable on January 31, 2025.</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transfer of $450 from cash to the Learn CW Trust Account after June 30, 2024 that was required to be deposited into the Trust Account to extend the period of time Learn CW has to consummate a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equity issuance costs paid at Closing in the amount of $441.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negative Additional paid-in capital balance of $2,081 to accumulated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Holdco did not pay the one time anticipated cash award at Closing in the amount of $2,800 because given the level of redemptions and continuing need for cash the Company has deferred and potentially may cancel these payments. As such the potential cash award is is no longer recognized as a pro forma adjustment. Furthermore, at Closing Holdco had not yet undertaken compensation studies to decide upon the appropriate executive compensation package which may include some element of stock-based compensation. Therefore, no pro forma adjustment has been recorded.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statements of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7" w:lineRule="exact"/>
        <w:rPr>
          <w:sz w:val="20"/>
          <w:szCs w:val="20"/>
          <w:color w:val="auto"/>
        </w:rPr>
      </w:pPr>
    </w:p>
    <w:p>
      <w:pPr>
        <w:ind w:left="660" w:hanging="328"/>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transaction costs incurred by Holdco of approximately $14,794 as if incurred on January 1, 2023, the date the Business Combination occurred for the purposes of the unaudited pro forma condensed combined statement of operations. This is a non-recurring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investment income and unrealized loss on investments held in the Trust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fair value movements related to the reclassification of Learn CW Public Warrants from liability to equity classification.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gain on settlement of deferred underwriting fees following the resignation of the underwriters from their role in the Business Combination and their agreement to waive their deferred underwriting fees.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2023, based on the interest rate and principal amounts applicable on the final date, (after the restatement of both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are as follows:</w:t>
      </w:r>
    </w:p>
    <w:p>
      <w:pPr>
        <w:spacing w:after="0" w:line="207"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fair value movements related to the reclassification of Learn CW Public Warrants from liability to equity classification.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2024, based on the interest rate and principal amounts applicable on the final date, (after the restatement of both notes).</w:t>
      </w:r>
    </w:p>
    <w:p>
      <w:pPr>
        <w:spacing w:after="0" w:line="172" w:lineRule="exact"/>
        <w:rPr>
          <w:sz w:val="20"/>
          <w:szCs w:val="20"/>
          <w:color w:val="auto"/>
        </w:rPr>
      </w:pPr>
    </w:p>
    <w:p>
      <w:pPr>
        <w:ind w:left="600" w:hanging="592"/>
        <w:spacing w:after="0"/>
        <w:tabs>
          <w:tab w:leader="none" w:pos="6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loss per share is calculated using the historical weighted average shares outstanding, and the issuance of additional shares in connection with the Business Combination, assuming the shares were outstanding since January 1, 2023. As the Business Combination and related equity transactions are being reflected as if they had occurred at the beginning of the periods presented, the calculation of weighted average shares outstanding for basic and diluted net loss per share assumes that the shares issuable relating to the Business Combination have been outstanding for the entirety of all periods presented. This calculation is retroactively adjusted to eliminate the shares actually redeemed, for the entire period.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considering the actual redemptions into cash of Common Stock for the year ended December 31, 2023 and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7"/>
        </w:trPr>
        <w:tc>
          <w:tcPr>
            <w:tcW w:w="8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gridSpan w:val="2"/>
          </w:tcPr>
          <w:p>
            <w:pPr>
              <w:spacing w:after="0"/>
              <w:rPr>
                <w:sz w:val="16"/>
                <w:szCs w:val="16"/>
                <w:color w:val="auto"/>
              </w:rPr>
            </w:pPr>
          </w:p>
        </w:tc>
        <w:tc>
          <w:tcPr>
            <w:tcW w:w="14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6"/>
        </w:trPr>
        <w:tc>
          <w:tcPr>
            <w:tcW w:w="81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Pro forma net loss </w:t>
            </w:r>
            <w:r>
              <w:rPr>
                <w:rFonts w:ascii="Times New Roman" w:cs="Times New Roman" w:eastAsia="Times New Roman" w:hAnsi="Times New Roman"/>
                <w:sz w:val="25"/>
                <w:szCs w:val="25"/>
                <w:color w:val="auto"/>
                <w:vertAlign w:val="superscript"/>
              </w:rPr>
              <w:t>(1)</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100" w:type="dxa"/>
            <w:vAlign w:val="bottom"/>
            <w:shd w:val="clear" w:color="auto" w:fill="CCEEFF"/>
          </w:tcPr>
          <w:p>
            <w:pPr>
              <w:spacing w:after="0"/>
              <w:rPr>
                <w:sz w:val="18"/>
                <w:szCs w:val="18"/>
                <w:color w:val="auto"/>
              </w:rPr>
            </w:pPr>
          </w:p>
        </w:tc>
      </w:tr>
      <w:tr>
        <w:trPr>
          <w:trHeight w:val="22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44,602,673</w:t>
            </w:r>
          </w:p>
        </w:tc>
      </w:tr>
      <w:tr>
        <w:trPr>
          <w:trHeight w:val="257"/>
        </w:trPr>
        <w:tc>
          <w:tcPr>
            <w:tcW w:w="812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Pro forma net loss per share – basic and diluted </w:t>
            </w:r>
            <w:r>
              <w:rPr>
                <w:rFonts w:ascii="Times New Roman" w:cs="Times New Roman" w:eastAsia="Times New Roman" w:hAnsi="Times New Roman"/>
                <w:sz w:val="25"/>
                <w:szCs w:val="25"/>
                <w:b w:val="1"/>
                <w:bCs w:val="1"/>
                <w:color w:val="auto"/>
                <w:vertAlign w:val="superscript"/>
              </w:rPr>
              <w:t>(2)</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Learn CW</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6,027,674</w:t>
            </w: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Innventure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38,494,999</w:t>
            </w:r>
          </w:p>
        </w:tc>
      </w:tr>
      <w:tr>
        <w:trPr>
          <w:trHeight w:val="22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Sundry investors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57"/>
        </w:trPr>
        <w:tc>
          <w:tcPr>
            <w:tcW w:w="8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net loss by the 8% preferential cumulative dividends due to Holdco Series B Preferred Stockholders in the amount of $882 and $441 for the year ended December 31, 2023 and six months ended June 30, 24, respectively, as if these shares had been outstanding since January 1, 2023.</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Learn CW Public Warrants, Learn CW Private Warrants and Series B preferred shares, and shares issuable under the SEPA are anti-dilutive and are not included in the calculation of diluted net loss per share. There are currently 11,500,000 Learn CW Public Warrants and 7,146,000 Learn CW Private Warrants outstanding. Each such warrant entitles the holder to purchase one Class A Ordinary Share at an exercise price of $11.50 per share. Subject to the terms of the Warrant Agreement, these warrants are not exercisable until 30 days after the consummation of a business combination. There are 1,102,000 Series B Preferred Shares outstanding. Each preferred share is convertible to common shares at a price of $12.50 per share (subject to adjustment upon certain circumstances). The SEPA allows for the drawdown of capital in exchange for a maximum of 9.99% of the outstanding voting common shares. The 5,000,000 potentially dilutive Company Earnout Shares were excluded from the computation of pro forma net loss per share, basic and diluted, because issuance of such shares is contingent upon the satisfaction of certain conditions which were not satisfied by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amp;"/>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1)"/>
      <w:numFmt w:val="decimal"/>
      <w:start w:val="1"/>
    </w:lvl>
  </w:abstractNum>
  <w:abstractNum w:abstractNumId="9">
    <w:nsid w:val="6F6DD9AC"/>
    <w:multiLevelType w:val="hybridMultilevel"/>
    <w:lvl w:ilvl="0">
      <w:lvlJc w:val="left"/>
      <w:lvlText w:val="(%1)"/>
      <w:numFmt w:val="lowerRoman"/>
      <w:start w:val="2"/>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1."/>
      <w:numFmt w:val="upperLetter"/>
      <w:start w:val="1"/>
    </w:lvl>
  </w:abstractNum>
  <w:abstractNum w:abstractNumId="15">
    <w:nsid w:val="14E17E33"/>
    <w:multiLevelType w:val="hybridMultilevel"/>
    <w:lvl w:ilvl="0">
      <w:lvlJc w:val="left"/>
      <w:lvlText w:val="(%1)"/>
      <w:numFmt w:val="lowerLetter"/>
      <w:start w:val="1"/>
    </w:lvl>
  </w:abstractNum>
  <w:abstractNum w:abstractNumId="16">
    <w:nsid w:val="3222E7CD"/>
    <w:multiLevelType w:val="hybridMultilevel"/>
    <w:lvl w:ilvl="0">
      <w:lvlJc w:val="left"/>
      <w:lvlText w:val="(%1)"/>
      <w:numFmt w:val="lowerLetter"/>
      <w:start w:val="2"/>
    </w:lvl>
  </w:abstractNum>
  <w:abstractNum w:abstractNumId="17">
    <w:nsid w:val="74DE0EE3"/>
    <w:multiLevelType w:val="hybridMultilevel"/>
    <w:lvl w:ilvl="0">
      <w:lvlJc w:val="left"/>
      <w:lvlText w:val="(%1)"/>
      <w:numFmt w:val="lowerLetter"/>
      <w:start w:val="1"/>
    </w:lvl>
  </w:abstractNum>
  <w:abstractNum w:abstractNumId="18">
    <w:nsid w:val="68EBC550"/>
    <w:multiLevelType w:val="hybridMultilevel"/>
    <w:lvl w:ilvl="0">
      <w:lvlJc w:val="left"/>
      <w:lvlText w:val="(%1)"/>
      <w:numFmt w:val="lowerLetter"/>
      <w:start w:val="4"/>
    </w:lvl>
  </w:abstractNum>
  <w:abstractNum w:abstractNumId="19">
    <w:nsid w:val="2DF6D648"/>
    <w:multiLevelType w:val="hybridMultilevel"/>
    <w:lvl w:ilvl="0">
      <w:lvlJc w:val="left"/>
      <w:lvlText w:val="(%1)"/>
      <w:numFmt w:val="lowerLetter"/>
      <w:start w:val="1"/>
    </w:lvl>
    <w:lvl w:ilvl="1">
      <w:lvlJc w:val="left"/>
      <w:lvlText w:val="(%2)"/>
      <w:numFmt w:val="lowerRoman"/>
      <w:start w:val="1"/>
    </w:lvl>
  </w:abstractNum>
  <w:abstractNum w:abstractNumId="20">
    <w:nsid w:val="46B7D447"/>
    <w:multiLevelType w:val="hybridMultilevel"/>
    <w:lvl w:ilvl="0">
      <w:lvlJc w:val="left"/>
      <w:lvlText w:val="(%1)"/>
      <w:numFmt w:val="lowerLetter"/>
      <w:start w:val="5"/>
    </w:lvl>
  </w:abstractNum>
  <w:abstractNum w:abstractNumId="21">
    <w:nsid w:val="4A2AC315"/>
    <w:multiLevelType w:val="hybridMultilevel"/>
    <w:lvl w:ilvl="0">
      <w:lvlJc w:val="left"/>
      <w:lvlText w:val="(%1)"/>
      <w:numFmt w:val="lowerRoman"/>
      <w:start w:val="1"/>
    </w:lvl>
  </w:abstractNum>
  <w:abstractNum w:abstractNumId="22">
    <w:nsid w:val="39EE015C"/>
    <w:multiLevelType w:val="hybridMultilevel"/>
    <w:lvl w:ilvl="0">
      <w:lvlJc w:val="left"/>
      <w:lvlText w:val="(%1)"/>
      <w:numFmt w:val="lowerLetter"/>
      <w:start w:val="1"/>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upperLetter"/>
      <w:start w:val="1"/>
    </w:lvl>
    <w:lvl w:ilvl="1">
      <w:lvlJc w:val="left"/>
      <w:lvlText w:val="(%2)"/>
      <w:numFmt w:val="lowerLetter"/>
      <w:start w:val="1"/>
    </w:lvl>
  </w:abstractNum>
  <w:abstractNum w:abstractNumId="25">
    <w:nsid w:val="43F18422"/>
    <w:multiLevelType w:val="hybridMultilevel"/>
    <w:lvl w:ilvl="0">
      <w:lvlJc w:val="left"/>
      <w:lvlText w:val="(%1)"/>
      <w:numFmt w:val="upperLetter"/>
      <w:start w:val="2"/>
    </w:lvl>
    <w:lvl w:ilvl="1">
      <w:lvlJc w:val="left"/>
      <w:lvlText w:val="%2"/>
      <w:numFmt w:val="lowerLetter"/>
      <w:start w:val="1"/>
    </w:lvl>
  </w:abstractNum>
  <w:abstractNum w:abstractNumId="26">
    <w:nsid w:val="60EF011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
    <w:nsid w:val="26F324BA"/>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28">
    <w:nsid w:val="7F01579B"/>
    <w:multiLevelType w:val="hybridMultilevel"/>
    <w:lvl w:ilvl="0">
      <w:lvlJc w:val="left"/>
      <w:lvlText w:val="%1"/>
      <w:numFmt w:val="lowerLetter"/>
      <w:start w:val="1"/>
    </w:lvl>
    <w:lvl w:ilvl="1">
      <w:lvlJc w:val="left"/>
      <w:lvlText w:val="(%2)"/>
      <w:numFmt w:val="lowerLetter"/>
      <w:start w:val="61"/>
    </w:lvl>
  </w:abstractNum>
  <w:abstractNum w:abstractNumId="29">
    <w:nsid w:val="49DA307D"/>
    <w:multiLevelType w:val="hybridMultilevel"/>
    <w:lvl w:ilvl="0">
      <w:lvlJc w:val="left"/>
      <w:lvlText w:val="(%1)"/>
      <w:numFmt w:val="lowerLetter"/>
      <w:start w:val="4"/>
    </w:lvl>
    <w:lvl w:ilvl="1">
      <w:lvlJc w:val="left"/>
      <w:lvlText w:val="%2"/>
      <w:numFmt w:val="lowerLetter"/>
      <w:start w:val="1"/>
    </w:lvl>
  </w:abstractNum>
  <w:abstractNum w:abstractNumId="30">
    <w:nsid w:val="7055A5F5"/>
    <w:multiLevelType w:val="hybridMultilevel"/>
    <w:lvl w:ilvl="0">
      <w:lvlJc w:val="left"/>
      <w:lvlText w:val="(%1)"/>
      <w:numFmt w:val="lowerLetter"/>
      <w:start w:val="6"/>
    </w:lvl>
  </w:abstractNum>
  <w:abstractNum w:abstractNumId="31">
    <w:nsid w:val="5FB8370B"/>
    <w:multiLevelType w:val="hybridMultilevel"/>
    <w:lvl w:ilvl="0">
      <w:lvlJc w:val="left"/>
      <w:lvlText w:val="%1"/>
      <w:numFmt w:val="decimal"/>
      <w:start w:val="1"/>
    </w:lvl>
    <w:lvl w:ilvl="1">
      <w:lvlJc w:val="left"/>
      <w:lvlText w:val="(%2)"/>
      <w:numFmt w:val="lowerLetter"/>
      <w:start w:val="1"/>
    </w:lvl>
  </w:abstractNum>
  <w:abstractNum w:abstractNumId="32">
    <w:nsid w:val="50801EE1"/>
    <w:multiLevelType w:val="hybridMultilevel"/>
    <w:lvl w:ilvl="0">
      <w:lvlJc w:val="left"/>
      <w:lvlText w:val="(%1)"/>
      <w:numFmt w:val="decimal"/>
      <w:start w:val="3"/>
    </w:lvl>
    <w:lvl w:ilvl="1">
      <w:lvlJc w:val="left"/>
      <w:lvlText w:val="%2"/>
      <w:numFmt w:val="lowerLetter"/>
      <w:start w:val="1"/>
    </w:lvl>
  </w:abstractNum>
  <w:abstractNum w:abstractNumId="33">
    <w:nsid w:val="488AC1A"/>
    <w:multiLevelType w:val="hybridMultilevel"/>
    <w:lvl w:ilvl="0">
      <w:lvlJc w:val="left"/>
      <w:lvlText w:val="(%1)"/>
      <w:numFmt w:val="lowerRoman"/>
      <w:start w:val="1"/>
    </w:lvl>
  </w:abstractNum>
  <w:abstractNum w:abstractNumId="34">
    <w:nsid w:val="5FB8011C"/>
    <w:multiLevelType w:val="hybridMultilevel"/>
    <w:lvl w:ilvl="0">
      <w:lvlJc w:val="left"/>
      <w:lvlText w:val="%1"/>
      <w:numFmt w:val="lowerLetter"/>
      <w:start w:val="1"/>
    </w:lvl>
    <w:lvl w:ilvl="1">
      <w:lvlJc w:val="left"/>
      <w:lvlText w:val="(%2)"/>
      <w:numFmt w:val="lowerRoman"/>
      <w:start w:val="2"/>
    </w:lvl>
  </w:abstractNum>
  <w:abstractNum w:abstractNumId="35">
    <w:nsid w:val="6AA78F7F"/>
    <w:multiLevelType w:val="hybridMultilevel"/>
    <w:lvl w:ilvl="0">
      <w:lvlJc w:val="left"/>
      <w:lvlText w:val="(%1)"/>
      <w:numFmt w:val="lowerLetter"/>
      <w:start w:val="3"/>
    </w:lvl>
    <w:lvl w:ilvl="1">
      <w:lvlJc w:val="left"/>
      <w:lvlText w:val="(%2)"/>
      <w:numFmt w:val="lowerRoman"/>
      <w:start w:val="1"/>
    </w:lvl>
  </w:abstractNum>
  <w:abstractNum w:abstractNumId="36">
    <w:nsid w:val="7672BD23"/>
    <w:multiLevelType w:val="hybridMultilevel"/>
    <w:lvl w:ilvl="0">
      <w:lvlJc w:val="left"/>
      <w:lvlText w:val="%1"/>
      <w:numFmt w:val="lowerLetter"/>
      <w:start w:val="1"/>
    </w:lvl>
    <w:lvl w:ilvl="1">
      <w:lvlJc w:val="left"/>
      <w:lvlText w:val="(%2)"/>
      <w:numFmt w:val="lowerLetter"/>
      <w:start w:val="61"/>
    </w:lvl>
  </w:abstractNum>
  <w:abstractNum w:abstractNumId="37">
    <w:nsid w:val="6FC75AF8"/>
    <w:multiLevelType w:val="hybridMultilevel"/>
    <w:lvl w:ilvl="0">
      <w:lvlJc w:val="left"/>
      <w:lvlText w:val="(%1)"/>
      <w:numFmt w:val="lowerLetter"/>
      <w:start w:val="4"/>
    </w:lvl>
    <w:lvl w:ilvl="1">
      <w:lvlJc w:val="left"/>
      <w:lvlText w:val="%2"/>
      <w:numFmt w:val="lowerLetter"/>
      <w:start w:val="1"/>
    </w:lvl>
  </w:abstractNum>
  <w:abstractNum w:abstractNumId="38">
    <w:nsid w:val="6A5F7029"/>
    <w:multiLevelType w:val="hybridMultilevel"/>
    <w:lvl w:ilvl="0">
      <w:lvlJc w:val="left"/>
      <w:lvlText w:val="%1"/>
      <w:numFmt w:val="decimal"/>
      <w:start w:val="1"/>
    </w:lvl>
    <w:lvl w:ilvl="1">
      <w:lvlJc w:val="left"/>
      <w:lvlText w:val="(%2)"/>
      <w:numFmt w:val="lowerLetter"/>
      <w:start w:val="7"/>
    </w:lvl>
  </w:abstractNum>
  <w:abstractNum w:abstractNumId="39">
    <w:nsid w:val="7D5E18F8"/>
    <w:multiLevelType w:val="hybridMultilevel"/>
    <w:lvl w:ilvl="0">
      <w:lvlJc w:val="left"/>
      <w:lvlText w:val="(%1)"/>
      <w:numFmt w:val="decimal"/>
      <w:start w:val="2"/>
    </w:lvl>
    <w:lvl w:ilvl="1">
      <w:lvlJc w:val="left"/>
      <w:lvlText w:val="%2"/>
      <w:numFmt w:val="lowerLetter"/>
      <w:start w:val="1"/>
    </w:lvl>
  </w:abstractNum>
  <w:abstractNum w:abstractNumId="40">
    <w:nsid w:val="5F3534A4"/>
    <w:multiLevelType w:val="hybridMultilevel"/>
    <w:lvl w:ilvl="0">
      <w:lvlJc w:val="left"/>
      <w:lvlText w:val="(%1)"/>
      <w:numFmt w:val="lowerLetter"/>
      <w:start w:val="1"/>
    </w:lvl>
  </w:abstractNum>
  <w:abstractNum w:abstractNumId="41">
    <w:nsid w:val="73A1821B"/>
    <w:multiLevelType w:val="hybridMultilevel"/>
    <w:lvl w:ilvl="0">
      <w:lvlJc w:val="left"/>
      <w:lvlText w:val="(%1)"/>
      <w:numFmt w:val="lowerLetter"/>
      <w:start w:val="1"/>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1"/>
    </w:lvl>
  </w:abstractNum>
  <w:abstractNum w:abstractNumId="44">
    <w:nsid w:val="3FA62ACA"/>
    <w:multiLevelType w:val="hybridMultilevel"/>
    <w:lvl w:ilvl="0">
      <w:lvlJc w:val="left"/>
      <w:lvlText w:val="(%1)"/>
      <w:numFmt w:val="lowerLetter"/>
      <w:start w:val="2"/>
    </w:lvl>
  </w:abstractNum>
  <w:abstractNum w:abstractNumId="45">
    <w:nsid w:val="14FCE74E"/>
    <w:multiLevelType w:val="hybridMultilevel"/>
    <w:lvl w:ilvl="0">
      <w:lvlJc w:val="left"/>
      <w:lvlText w:val="%1."/>
      <w:numFmt w:val="decimal"/>
      <w:start w:val="1"/>
    </w:lvl>
    <w:lvl w:ilvl="1">
      <w:lvlJc w:val="left"/>
      <w:lvlText w:val="(%2)"/>
      <w:numFmt w:val="lowerLetter"/>
      <w:start w:val="1"/>
    </w:lvl>
  </w:abstractNum>
  <w:abstractNum w:abstractNumId="46">
    <w:nsid w:val="6A3DD3E8"/>
    <w:multiLevelType w:val="hybridMultilevel"/>
    <w:lvl w:ilvl="0">
      <w:lvlJc w:val="left"/>
      <w:lvlText w:val="1"/>
      <w:numFmt w:val="bullet"/>
      <w:start w:val="1"/>
    </w:lvl>
  </w:abstractNum>
  <w:abstractNum w:abstractNumId="47">
    <w:nsid w:val="71C91298"/>
    <w:multiLevelType w:val="hybridMultilevel"/>
    <w:lvl w:ilvl="0">
      <w:lvlJc w:val="left"/>
      <w:lvlText w:val="2"/>
      <w:numFmt w:val="bullet"/>
      <w:start w:val="1"/>
    </w:lvl>
  </w:abstractNum>
  <w:abstractNum w:abstractNumId="48">
    <w:nsid w:val="9DAF63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
    <w:nsid w:val="5329993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0">
    <w:nsid w:val="1FBFE8E0"/>
    <w:multiLevelType w:val="hybridMultilevel"/>
    <w:lvl w:ilvl="0">
      <w:lvlJc w:val="left"/>
      <w:lvlText w:val="%1"/>
      <w:numFmt w:val="lowerLetter"/>
      <w:start w:val="1"/>
    </w:lvl>
    <w:lvl w:ilvl="1">
      <w:lvlJc w:val="left"/>
      <w:lvlText w:val="(%2)"/>
      <w:numFmt w:val="lowerLetter"/>
      <w:start w:val="35"/>
    </w:lvl>
  </w:abstractNum>
  <w:abstractNum w:abstractNumId="51">
    <w:nsid w:val="5092CA79"/>
    <w:multiLevelType w:val="hybridMultilevel"/>
    <w:lvl w:ilvl="0">
      <w:lvlJc w:val="left"/>
      <w:lvlText w:val="(%1)"/>
      <w:numFmt w:val="lowerLetter"/>
      <w:start w:val="2"/>
    </w:lvl>
    <w:lvl w:ilvl="1">
      <w:lvlJc w:val="left"/>
      <w:lvlText w:val="(%2)"/>
      <w:numFmt w:val="lowerLetter"/>
      <w:start w:val="9"/>
    </w:lvl>
  </w:abstractNum>
  <w:abstractNum w:abstractNumId="52">
    <w:nsid w:val="1D545C4D"/>
    <w:multiLevelType w:val="hybridMultilevel"/>
    <w:lvl w:ilvl="0">
      <w:lvlJc w:val="left"/>
      <w:lvlText w:val="(%1)"/>
      <w:numFmt w:val="lowerRoman"/>
      <w:start w:val="2"/>
    </w:lvl>
  </w:abstractNum>
  <w:abstractNum w:abstractNumId="53">
    <w:nsid w:val="59ADEA3D"/>
    <w:multiLevelType w:val="hybridMultilevel"/>
    <w:lvl w:ilvl="0">
      <w:lvlJc w:val="left"/>
      <w:lvlText w:val="(%1)"/>
      <w:numFmt w:val="lowerLetter"/>
      <w:start w:val="26"/>
    </w:lvl>
  </w:abstractNum>
  <w:abstractNum w:abstractNumId="54">
    <w:nsid w:val="288F1A34"/>
    <w:multiLevelType w:val="hybridMultilevel"/>
    <w:lvl w:ilvl="0">
      <w:lvlJc w:val="left"/>
      <w:lvlText w:val="%1"/>
      <w:numFmt w:val="decimal"/>
      <w:start w:val="1"/>
    </w:lvl>
    <w:lvl w:ilvl="1">
      <w:lvlJc w:val="left"/>
      <w:lvlText w:val="(%2)"/>
      <w:numFmt w:val="lowerLetter"/>
      <w:start w:val="3"/>
    </w:lvl>
  </w:abstractNum>
  <w:abstractNum w:abstractNumId="55">
    <w:nsid w:val="2A155DBC"/>
    <w:multiLevelType w:val="hybridMultilevel"/>
    <w:lvl w:ilvl="0">
      <w:lvlJc w:val="left"/>
      <w:lvlText w:val="%1."/>
      <w:numFmt w:val="decimal"/>
      <w:start w:val="7"/>
    </w:lvl>
    <w:lvl w:ilvl="1">
      <w:lvlJc w:val="left"/>
      <w:lvlText w:val="(%2)"/>
      <w:numFmt w:val="lowerLetter"/>
      <w:start w:val="1"/>
    </w:lvl>
  </w:abstractNum>
  <w:abstractNum w:abstractNumId="56">
    <w:nsid w:val="1D9F6E5F"/>
    <w:multiLevelType w:val="hybridMultilevel"/>
    <w:lvl w:ilvl="0">
      <w:lvlJc w:val="left"/>
      <w:lvlText w:val="%1"/>
      <w:numFmt w:val="decimal"/>
      <w:start w:val="1"/>
    </w:lvl>
    <w:lvl w:ilvl="1">
      <w:lvlJc w:val="left"/>
      <w:lvlText w:val="(%2)"/>
      <w:numFmt w:val="lowerLetter"/>
      <w:start w:val="2"/>
    </w:lvl>
  </w:abstractNum>
  <w:abstractNum w:abstractNumId="57">
    <w:nsid w:val="97E1B4E"/>
    <w:multiLevelType w:val="hybridMultilevel"/>
    <w:lvl w:ilvl="0">
      <w:lvlJc w:val="left"/>
      <w:lvlText w:val="%1."/>
      <w:numFmt w:val="decimal"/>
      <w:start w:val="8"/>
    </w:lvl>
    <w:lvl w:ilvl="1">
      <w:lvlJc w:val="left"/>
      <w:lvlText w:val="(%2)"/>
      <w:numFmt w:val="lowerLetter"/>
      <w:start w:val="1"/>
    </w:lvl>
  </w:abstractNum>
  <w:abstractNum w:abstractNumId="58">
    <w:nsid w:val="51088277"/>
    <w:multiLevelType w:val="hybridMultilevel"/>
    <w:lvl w:ilvl="0">
      <w:lvlJc w:val="left"/>
      <w:lvlText w:val="%1."/>
      <w:numFmt w:val="decimal"/>
      <w:start w:val="10"/>
    </w:lvl>
    <w:lvl w:ilvl="1">
      <w:lvlJc w:val="left"/>
      <w:lvlText w:val="(%2)"/>
      <w:numFmt w:val="lowerLetter"/>
      <w:start w:val="1"/>
    </w:lvl>
  </w:abstractNum>
  <w:abstractNum w:abstractNumId="59">
    <w:nsid w:val="1CA0C5FA"/>
    <w:multiLevelType w:val="hybridMultilevel"/>
    <w:lvl w:ilvl="0">
      <w:lvlJc w:val="left"/>
      <w:lvlText w:val="(%1)"/>
      <w:numFmt w:val="lowerLetter"/>
      <w:start w:val="5"/>
    </w:lvl>
  </w:abstractNum>
  <w:abstractNum w:abstractNumId="60">
    <w:nsid w:val="53584BCB"/>
    <w:multiLevelType w:val="hybridMultilevel"/>
    <w:lvl w:ilvl="0">
      <w:lvlJc w:val="left"/>
      <w:lvlText w:val="%1."/>
      <w:numFmt w:val="decimal"/>
      <w:start w:val="1"/>
    </w:lvl>
    <w:lvl w:ilvl="1">
      <w:lvlJc w:val="left"/>
      <w:lvlText w:val="(%2)"/>
      <w:numFmt w:val="lowerLetter"/>
      <w:start w:val="1"/>
    </w:lvl>
  </w:abstractNum>
  <w:abstractNum w:abstractNumId="61">
    <w:nsid w:val="415E286C"/>
    <w:multiLevelType w:val="hybridMultilevel"/>
    <w:lvl w:ilvl="0">
      <w:lvlJc w:val="left"/>
      <w:lvlText w:val="(%1)"/>
      <w:numFmt w:val="lowerLetter"/>
      <w:start w:val="5"/>
    </w:lvl>
  </w:abstractNum>
  <w:abstractNum w:abstractNumId="62">
    <w:nsid w:val="7C58FD05"/>
    <w:multiLevelType w:val="hybridMultilevel"/>
    <w:lvl w:ilvl="0">
      <w:lvlJc w:val="left"/>
      <w:lvlText w:val="(%1)"/>
      <w:numFmt w:val="lowerLetter"/>
      <w:start w:val="7"/>
    </w:lvl>
  </w:abstractNum>
  <w:abstractNum w:abstractNumId="63">
    <w:nsid w:val="23D86AAC"/>
    <w:multiLevelType w:val="hybridMultilevel"/>
    <w:lvl w:ilvl="0">
      <w:lvlJc w:val="left"/>
      <w:lvlText w:val="%1."/>
      <w:numFmt w:val="decimal"/>
      <w:start w:val="3"/>
    </w:lvl>
    <w:lvl w:ilvl="1">
      <w:lvlJc w:val="left"/>
      <w:lvlText w:val="(%2)"/>
      <w:numFmt w:val="lowerLetter"/>
      <w:start w:val="1"/>
    </w:lvl>
  </w:abstractNum>
  <w:abstractNum w:abstractNumId="64">
    <w:nsid w:val="45E6D486"/>
    <w:multiLevelType w:val="hybridMultilevel"/>
    <w:lvl w:ilvl="0">
      <w:lvlJc w:val="left"/>
      <w:lvlText w:val="(%1)"/>
      <w:numFmt w:val="lowerLetter"/>
      <w:start w:val="6"/>
    </w:lvl>
  </w:abstractNum>
  <w:abstractNum w:abstractNumId="65">
    <w:nsid w:val="5C10FE21"/>
    <w:multiLevelType w:val="hybridMultilevel"/>
    <w:lvl w:ilvl="0">
      <w:lvlJc w:val="left"/>
      <w:lvlText w:val="(%1)"/>
      <w:numFmt w:val="upperLetter"/>
      <w:start w:val="1"/>
    </w:lvl>
  </w:abstractNum>
  <w:abstractNum w:abstractNumId="66">
    <w:nsid w:val="E7FFA2B"/>
    <w:multiLevelType w:val="hybridMultilevel"/>
    <w:lvl w:ilvl="0">
      <w:lvlJc w:val="left"/>
      <w:lvlText w:val="(%1)"/>
      <w:numFmt w:val="lowerRoman"/>
      <w:start w:val="3"/>
    </w:lvl>
  </w:abstractNum>
  <w:abstractNum w:abstractNumId="67">
    <w:nsid w:val="3C5991AA"/>
    <w:multiLevelType w:val="hybridMultilevel"/>
    <w:lvl w:ilvl="0">
      <w:lvlJc w:val="left"/>
      <w:lvlText w:val="(%1)"/>
      <w:numFmt w:val="lowerLetter"/>
      <w:start w:val="1"/>
    </w:lvl>
  </w:abstractNum>
  <w:abstractNum w:abstractNumId="68">
    <w:nsid w:val="4BD8591A"/>
    <w:multiLevelType w:val="hybridMultilevel"/>
    <w:lvl w:ilvl="0">
      <w:lvlJc w:val="left"/>
      <w:lvlText w:val="(%1)"/>
      <w:numFmt w:val="lowerLetter"/>
      <w:start w:val="2"/>
    </w:lvl>
  </w:abstractNum>
  <w:abstractNum w:abstractNumId="69">
    <w:nsid w:val="78DF6A55"/>
    <w:multiLevelType w:val="hybridMultilevel"/>
    <w:lvl w:ilvl="0">
      <w:lvlJc w:val="left"/>
      <w:lvlText w:val="(%1)"/>
      <w:numFmt w:val="decimal"/>
      <w:start w:val="12"/>
    </w:lvl>
  </w:abstractNum>
  <w:abstractNum w:abstractNumId="70">
    <w:nsid w:val="39B7AAA2"/>
    <w:multiLevelType w:val="hybridMultilevel"/>
    <w:lvl w:ilvl="0">
      <w:lvlJc w:val="left"/>
      <w:lvlText w:val="(%1)"/>
      <w:numFmt w:val="decimal"/>
      <w:start w:val="90"/>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73">
    <w:nsid w:val="379E21B5"/>
    <w:multiLevelType w:val="hybridMultilevel"/>
    <w:lvl w:ilvl="0">
      <w:lvlJc w:val="left"/>
      <w:lvlText w:val="(%1)"/>
      <w:numFmt w:val="lowerRoman"/>
      <w:start w:val="1"/>
    </w:lvl>
  </w:abstractNum>
  <w:abstractNum w:abstractNumId="74">
    <w:nsid w:val="69E373"/>
    <w:multiLevelType w:val="hybridMultilevel"/>
    <w:lvl w:ilvl="0">
      <w:lvlJc w:val="left"/>
      <w:lvlText w:val="%1"/>
      <w:numFmt w:val="decimal"/>
      <w:start w:val="1"/>
    </w:lvl>
    <w:lvl w:ilvl="1">
      <w:lvlJc w:val="left"/>
      <w:lvlText w:val="(%2)"/>
      <w:numFmt w:val="lowerLetter"/>
      <w:start w:val="4"/>
    </w:lvl>
  </w:abstractNum>
  <w:abstractNum w:abstractNumId="75">
    <w:nsid w:val="2C27173B"/>
    <w:multiLevelType w:val="hybridMultilevel"/>
    <w:lvl w:ilvl="0">
      <w:lvlJc w:val="left"/>
      <w:lvlText w:val="%1."/>
      <w:numFmt w:val="decimal"/>
      <w:start w:val="3"/>
    </w:lvl>
    <w:lvl w:ilvl="1">
      <w:lvlJc w:val="left"/>
      <w:lvlText w:val="%2"/>
      <w:numFmt w:val="lowerLetter"/>
      <w:start w:val="1"/>
    </w:lvl>
  </w:abstractNum>
  <w:abstractNum w:abstractNumId="76">
    <w:nsid w:val="4C9B0904"/>
    <w:multiLevelType w:val="hybridMultilevel"/>
    <w:lvl w:ilvl="0">
      <w:lvlJc w:val="left"/>
      <w:lvlText w:val="%1."/>
      <w:numFmt w:val="upperLetter"/>
      <w:start w:val="1"/>
    </w:lvl>
  </w:abstractNum>
  <w:abstractNum w:abstractNumId="77">
    <w:nsid w:val="6AA7B75C"/>
    <w:multiLevelType w:val="hybridMultilevel"/>
    <w:lvl w:ilvl="0">
      <w:lvlJc w:val="left"/>
      <w:lvlText w:val="%1."/>
      <w:numFmt w:val="decimal"/>
      <w:start w:val="1"/>
    </w:lvl>
    <w:lvl w:ilvl="1">
      <w:lvlJc w:val="left"/>
      <w:lvlText w:val="(%2)"/>
      <w:numFmt w:val="lowerLetter"/>
      <w:start w:val="1"/>
    </w:lvl>
  </w:abstractNum>
  <w:abstractNum w:abstractNumId="78">
    <w:nsid w:val="1DF029D3"/>
    <w:multiLevelType w:val="hybridMultilevel"/>
    <w:lvl w:ilvl="0">
      <w:lvlJc w:val="left"/>
      <w:lvlText w:val="(%1)"/>
      <w:numFmt w:val="lowerLetter"/>
      <w:start w:val="2"/>
    </w:lvl>
  </w:abstractNum>
  <w:abstractNum w:abstractNumId="79">
    <w:nsid w:val="5675FF36"/>
    <w:multiLevelType w:val="hybridMultilevel"/>
    <w:lvl w:ilvl="0">
      <w:lvlJc w:val="left"/>
      <w:lvlText w:val="(%1)"/>
      <w:numFmt w:val="lowerLetter"/>
      <w:start w:val="6"/>
    </w:lvl>
  </w:abstractNum>
  <w:abstractNum w:abstractNumId="80">
    <w:nsid w:val="3DD1509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81">
    <w:nsid w:val="3DB012B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lvl w:ilvl="3">
      <w:lvlJc w:val="left"/>
      <w:lvlText w:val="(%4)"/>
      <w:numFmt w:val="lowerRoman"/>
      <w:start w:val="3"/>
    </w:lvl>
  </w:abstractNum>
  <w:abstractNum w:abstractNumId="82">
    <w:nsid w:val="2708C9AF"/>
    <w:multiLevelType w:val="hybridMultilevel"/>
    <w:lvl w:ilvl="0">
      <w:lvlJc w:val="left"/>
      <w:lvlText w:val="(%1)"/>
      <w:numFmt w:val="lowerLetter"/>
      <w:start w:val="4"/>
    </w:lvl>
  </w:abstractNum>
  <w:abstractNum w:abstractNumId="83">
    <w:nsid w:val="5B25ACE2"/>
    <w:multiLevelType w:val="hybridMultilevel"/>
    <w:lvl w:ilvl="0">
      <w:lvlJc w:val="left"/>
      <w:lvlText w:val="(%1)"/>
      <w:numFmt w:val="lowerLetter"/>
      <w:start w:val="6"/>
    </w:lvl>
  </w:abstractNum>
  <w:abstractNum w:abstractNumId="84">
    <w:nsid w:val="175DFCF0"/>
    <w:multiLevelType w:val="hybridMultilevel"/>
    <w:lvl w:ilvl="0">
      <w:lvlJc w:val="left"/>
      <w:lvlText w:val="%1."/>
      <w:numFmt w:val="decimal"/>
      <w:start w:val="3"/>
    </w:lvl>
    <w:lvl w:ilvl="1">
      <w:lvlJc w:val="left"/>
      <w:lvlText w:val="(%2)"/>
      <w:numFmt w:val="lowerLetter"/>
      <w:start w:val="1"/>
    </w:lvl>
  </w:abstractNum>
  <w:abstractNum w:abstractNumId="85">
    <w:nsid w:val="4F97E3E4"/>
    <w:multiLevelType w:val="hybridMultilevel"/>
    <w:lvl w:ilvl="0">
      <w:lvlJc w:val="left"/>
      <w:lvlText w:val="(%1)"/>
      <w:numFmt w:val="decimal"/>
      <w:start w:val="45"/>
    </w:lvl>
    <w:lvl w:ilvl="1">
      <w:lvlJc w:val="left"/>
      <w:lvlText w:val="(%2)"/>
      <w:numFmt w:val="lowerLetter"/>
      <w:start w:val="2"/>
    </w:lvl>
  </w:abstractNum>
  <w:abstractNum w:abstractNumId="86">
    <w:nsid w:val="53B0A9E"/>
    <w:multiLevelType w:val="hybridMultilevel"/>
    <w:lvl w:ilvl="0">
      <w:lvlJc w:val="left"/>
      <w:lvlText w:val="%1"/>
      <w:numFmt w:val="decimal"/>
      <w:start w:val="1"/>
    </w:lvl>
    <w:lvl w:ilvl="1">
      <w:lvlJc w:val="left"/>
      <w:lvlText w:val="(%2)"/>
      <w:numFmt w:val="lowerLetter"/>
      <w:start w:val="4"/>
    </w:lvl>
  </w:abstractNum>
  <w:abstractNum w:abstractNumId="87">
    <w:nsid w:val="34FD6B4F"/>
    <w:multiLevelType w:val="hybridMultilevel"/>
    <w:lvl w:ilvl="0">
      <w:lvlJc w:val="left"/>
      <w:lvlText w:val="%1."/>
      <w:numFmt w:val="decimal"/>
      <w:start w:val="5"/>
    </w:lvl>
    <w:lvl w:ilvl="1">
      <w:lvlJc w:val="left"/>
      <w:lvlText w:val="(%2)"/>
      <w:numFmt w:val="lowerLetter"/>
      <w:start w:val="1"/>
    </w:lvl>
  </w:abstractNum>
  <w:abstractNum w:abstractNumId="88">
    <w:nsid w:val="5915FF32"/>
    <w:multiLevelType w:val="hybridMultilevel"/>
    <w:lvl w:ilvl="0">
      <w:lvlJc w:val="left"/>
      <w:lvlText w:val="%1"/>
      <w:numFmt w:val="decimal"/>
      <w:start w:val="1"/>
    </w:lvl>
    <w:lvl w:ilvl="1">
      <w:lvlJc w:val="left"/>
      <w:lvlText w:val="(%2)"/>
      <w:numFmt w:val="lowerLetter"/>
      <w:start w:val="2"/>
    </w:lvl>
  </w:abstractNum>
  <w:abstractNum w:abstractNumId="89">
    <w:nsid w:val="56438D15"/>
    <w:multiLevelType w:val="hybridMultilevel"/>
    <w:lvl w:ilvl="0">
      <w:lvlJc w:val="left"/>
      <w:lvlText w:val="%1."/>
      <w:numFmt w:val="decimal"/>
      <w:start w:val="6"/>
    </w:lvl>
    <w:lvl w:ilvl="1">
      <w:lvlJc w:val="left"/>
      <w:lvlText w:val="%2"/>
      <w:numFmt w:val="lowerLetter"/>
      <w:start w:val="1"/>
    </w:lvl>
  </w:abstractNum>
  <w:abstractNum w:abstractNumId="90">
    <w:nsid w:val="519E3149"/>
    <w:multiLevelType w:val="hybridMultilevel"/>
    <w:lvl w:ilvl="0">
      <w:lvlJc w:val="left"/>
      <w:lvlText w:val="%1."/>
      <w:numFmt w:val="decimal"/>
      <w:start w:val="10"/>
    </w:lvl>
    <w:lvl w:ilvl="1">
      <w:lvlJc w:val="left"/>
      <w:lvlText w:val="(%2)"/>
      <w:numFmt w:val="lowerLetter"/>
      <w:start w:val="1"/>
    </w:lvl>
  </w:abstractNum>
  <w:abstractNum w:abstractNumId="91">
    <w:nsid w:val="2C6E4AFD"/>
    <w:multiLevelType w:val="hybridMultilevel"/>
    <w:lvl w:ilvl="0">
      <w:lvlJc w:val="left"/>
      <w:lvlText w:val="%1."/>
      <w:numFmt w:val="decimal"/>
      <w:start w:val="11"/>
    </w:lvl>
  </w:abstractNum>
  <w:abstractNum w:abstractNumId="92">
    <w:nsid w:val="17A1B582"/>
    <w:multiLevelType w:val="hybridMultilevel"/>
    <w:lvl w:ilvl="0">
      <w:lvlJc w:val="left"/>
      <w:lvlText w:val="%1"/>
      <w:numFmt w:val="lowerRoman"/>
      <w:start w:val="1"/>
    </w:lvl>
    <w:lvl w:ilvl="1">
      <w:lvlJc w:val="left"/>
      <w:lvlText w:val="%2."/>
      <w:numFmt w:val="decimal"/>
      <w:start w:val="14"/>
    </w:lvl>
  </w:abstractNum>
  <w:abstractNum w:abstractNumId="93">
    <w:nsid w:val="4DF72E4E"/>
    <w:multiLevelType w:val="hybridMultilevel"/>
    <w:lvl w:ilvl="0">
      <w:lvlJc w:val="left"/>
      <w:lvlText w:val="(%1)"/>
      <w:numFmt w:val="lowerRoman"/>
      <w:start w:val="2"/>
    </w:lvl>
    <w:lvl w:ilvl="1">
      <w:lvlJc w:val="left"/>
      <w:lvlText w:val="%2."/>
      <w:numFmt w:val="decimal"/>
      <w:start w:val="19"/>
    </w:lvl>
  </w:abstractNum>
  <w:abstractNum w:abstractNumId="94">
    <w:nsid w:val="5046B5A9"/>
    <w:multiLevelType w:val="hybridMultilevel"/>
    <w:lvl w:ilvl="0">
      <w:lvlJc w:val="left"/>
      <w:lvlText w:val="%1."/>
      <w:numFmt w:val="decimal"/>
      <w:start w:val="20"/>
    </w:lvl>
  </w:abstractNum>
  <w:abstractNum w:abstractNumId="95">
    <w:nsid w:val="5D888A08"/>
    <w:multiLevelType w:val="hybridMultilevel"/>
    <w:lvl w:ilvl="0">
      <w:lvlJc w:val="left"/>
      <w:lvlText w:val="(%1)"/>
      <w:numFmt w:val="lowerLetter"/>
      <w:start w:val="1"/>
    </w:lvl>
    <w:lvl w:ilvl="1">
      <w:lvlJc w:val="left"/>
      <w:lvlText w:val="(%2)"/>
      <w:numFmt w:val="lowerRoman"/>
      <w:start w:val="1"/>
    </w:lvl>
  </w:abstractNum>
  <w:abstractNum w:abstractNumId="96">
    <w:nsid w:val="2A082C70"/>
    <w:multiLevelType w:val="hybridMultilevel"/>
    <w:lvl w:ilvl="0">
      <w:lvlJc w:val="left"/>
      <w:lvlText w:val="(%1)"/>
      <w:numFmt w:val="lowerLetter"/>
      <w:start w:val="1"/>
    </w:lvl>
    <w:lvl w:ilvl="1">
      <w:lvlJc w:val="left"/>
      <w:lvlText w:val="(%2)"/>
      <w:numFmt w:val="lowerRoman"/>
      <w:start w:val="1"/>
    </w:lvl>
  </w:abstractNum>
  <w:abstractNum w:abstractNumId="97">
    <w:nsid w:val="5EC6AFD4"/>
    <w:multiLevelType w:val="hybridMultilevel"/>
    <w:lvl w:ilvl="0">
      <w:lvlJc w:val="left"/>
      <w:lvlText w:val="%1"/>
      <w:numFmt w:val="lowerLetter"/>
      <w:start w:val="1"/>
    </w:lvl>
    <w:lvl w:ilvl="1">
      <w:lvlJc w:val="left"/>
      <w:lvlText w:val="(%2)"/>
      <w:numFmt w:val="lowerRoman"/>
      <w:start w:val="1"/>
    </w:lvl>
  </w:abstractNum>
  <w:abstractNum w:abstractNumId="98">
    <w:nsid w:val="19E21BB2"/>
    <w:multiLevelType w:val="hybridMultilevel"/>
    <w:lvl w:ilvl="0">
      <w:lvlJc w:val="left"/>
      <w:lvlText w:val="(%1)"/>
      <w:numFmt w:val="lowerLetter"/>
      <w:start w:val="3"/>
    </w:lvl>
    <w:lvl w:ilvl="1">
      <w:lvlJc w:val="left"/>
      <w:lvlText w:val="(%2)"/>
      <w:numFmt w:val="lowerRoman"/>
      <w:start w:val="1"/>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2"/>
    </w:lvl>
  </w:abstractNum>
  <w:abstractNum w:abstractNumId="101">
    <w:nsid w:val="5399C654"/>
    <w:multiLevelType w:val="hybridMultilevel"/>
    <w:lvl w:ilvl="0">
      <w:lvlJc w:val="left"/>
      <w:lvlText w:val="(%1)"/>
      <w:numFmt w:val="lowerLetter"/>
      <w:start w:val="5"/>
    </w:lvl>
    <w:lvl w:ilvl="1">
      <w:lvlJc w:val="left"/>
      <w:lvlText w:val="(%2)"/>
      <w:numFmt w:val="lowerRoman"/>
      <w:start w:val="1"/>
    </w:lvl>
  </w:abstractNum>
  <w:abstractNum w:abstractNumId="102">
    <w:nsid w:val="20EE1348"/>
    <w:multiLevelType w:val="hybridMultilevel"/>
    <w:lvl w:ilvl="0">
      <w:lvlJc w:val="left"/>
      <w:lvlText w:val="%1"/>
      <w:numFmt w:val="lowerLetter"/>
      <w:start w:val="1"/>
    </w:lvl>
    <w:lvl w:ilvl="1">
      <w:lvlJc w:val="left"/>
      <w:lvlText w:val="(%2)"/>
      <w:numFmt w:val="lowerLetter"/>
      <w:start w:val="61"/>
    </w:lvl>
  </w:abstractNum>
  <w:abstractNum w:abstractNumId="103">
    <w:nsid w:val="4427069A"/>
    <w:multiLevelType w:val="hybridMultilevel"/>
    <w:lvl w:ilvl="0">
      <w:lvlJc w:val="left"/>
      <w:lvlText w:val="(%1)"/>
      <w:numFmt w:val="lowerLetter"/>
      <w:start w:val="8"/>
    </w:lvl>
    <w:lvl w:ilvl="1">
      <w:lvlJc w:val="left"/>
      <w:lvlText w:val="%2"/>
      <w:numFmt w:val="lowerLetter"/>
      <w:start w:val="1"/>
    </w:lvl>
  </w:abstractNum>
  <w:abstractNum w:abstractNumId="104">
    <w:nsid w:val="B37E80A"/>
    <w:multiLevelType w:val="hybridMultilevel"/>
    <w:lvl w:ilvl="0">
      <w:lvlJc w:val="left"/>
      <w:lvlText w:val="(%1)"/>
      <w:numFmt w:val="lowerLetter"/>
      <w:start w:val="13"/>
    </w:lvl>
  </w:abstractNum>
  <w:abstractNum w:abstractNumId="105">
    <w:nsid w:val="2157F6BC"/>
    <w:multiLevelType w:val="hybridMultilevel"/>
    <w:lvl w:ilvl="0">
      <w:lvlJc w:val="left"/>
      <w:lvlText w:val="(%1)"/>
      <w:numFmt w:val="lowerLetter"/>
      <w:start w:val="1"/>
    </w:lvl>
  </w:abstractNum>
  <w:abstractNum w:abstractNumId="106">
    <w:nsid w:val="704E1DD5"/>
    <w:multiLevelType w:val="hybridMultilevel"/>
    <w:lvl w:ilvl="0">
      <w:lvlJc w:val="left"/>
      <w:lvlText w:val="(%1)"/>
      <w:numFmt w:val="lowerLetter"/>
      <w:start w:val="3"/>
    </w:lvl>
  </w:abstractNum>
  <w:abstractNum w:abstractNumId="107">
    <w:nsid w:val="57D2F10E"/>
    <w:multiLevelType w:val="hybridMultilevel"/>
    <w:lvl w:ilvl="0">
      <w:lvlJc w:val="left"/>
      <w:lvlText w:val="(%1)"/>
      <w:numFmt w:val="lowerLetter"/>
      <w:start w:val="7"/>
    </w:lvl>
  </w:abstractNum>
  <w:abstractNum w:abstractNumId="108">
    <w:nsid w:val="BFFAE18"/>
    <w:multiLevelType w:val="hybridMultilevel"/>
    <w:lvl w:ilvl="0">
      <w:lvlJc w:val="left"/>
      <w:lvlText w:val="(%1)"/>
      <w:numFmt w:val="lowerLetter"/>
      <w:start w:val="8"/>
    </w:lvl>
  </w:abstractNum>
  <w:abstractNum w:abstractNumId="109">
    <w:nsid w:val="E3E47A8"/>
    <w:multiLevelType w:val="hybridMultilevel"/>
    <w:lvl w:ilvl="0">
      <w:lvlJc w:val="left"/>
      <w:lvlText w:val="(%1)"/>
      <w:numFmt w:val="lowerLetter"/>
      <w:start w:val="1"/>
    </w:lvl>
  </w:abstractNum>
  <w:abstractNum w:abstractNumId="110">
    <w:nsid w:val="2E48F044"/>
    <w:multiLevelType w:val="hybridMultilevel"/>
    <w:lvl w:ilvl="0">
      <w:lvlJc w:val="left"/>
      <w:lvlText w:val="(%1)"/>
      <w:numFmt w:val="lowerLetter"/>
      <w:start w:val="2"/>
    </w:lvl>
  </w:abstractNum>
  <w:abstractNum w:abstractNumId="111">
    <w:nsid w:val="49D0FEAC"/>
    <w:multiLevelType w:val="hybridMultilevel"/>
    <w:lvl w:ilvl="0">
      <w:lvlJc w:val="left"/>
      <w:lvlText w:val="(%1)"/>
      <w:numFmt w:val="lowerLetter"/>
      <w:start w:val="1"/>
    </w:lvl>
  </w:abstractNum>
  <w:abstractNum w:abstractNumId="112">
    <w:nsid w:val="4BEE5A5B"/>
    <w:multiLevelType w:val="hybridMultilevel"/>
    <w:lvl w:ilvl="0">
      <w:lvlJc w:val="left"/>
      <w:lvlText w:val="(%1)"/>
      <w:numFmt w:val="lowerLetter"/>
      <w:start w:val="3"/>
    </w:lvl>
  </w:abstractNum>
  <w:abstractNum w:abstractNumId="113">
    <w:nsid w:val="5551B9F3"/>
    <w:multiLevelType w:val="hybridMultilevel"/>
    <w:lvl w:ilvl="0">
      <w:lvlJc w:val="left"/>
      <w:lvlText w:val="(%1)"/>
      <w:numFmt w:val="lowerLetter"/>
      <w:start w:val="1"/>
    </w:lvl>
  </w:abstractNum>
  <w:abstractNum w:abstractNumId="114">
    <w:nsid w:val="24F6AB8E"/>
    <w:multiLevelType w:val="hybridMultilevel"/>
    <w:lvl w:ilvl="0">
      <w:lvlJc w:val="left"/>
      <w:lvlText w:val="(%1)"/>
      <w:numFmt w:val="lowerLetter"/>
      <w:start w:val="2"/>
    </w:lvl>
  </w:abstractNum>
  <w:abstractNum w:abstractNumId="115">
    <w:nsid w:val="634C574C"/>
    <w:multiLevelType w:val="hybridMultilevel"/>
    <w:lvl w:ilvl="0">
      <w:lvlJc w:val="left"/>
      <w:lvlText w:val="(%1)"/>
      <w:numFmt w:val="lowerLetter"/>
      <w:start w:val="1"/>
    </w:lvl>
  </w:abstractNum>
  <w:abstractNum w:abstractNumId="116">
    <w:nsid w:val="24E99DD7"/>
    <w:multiLevelType w:val="hybridMultilevel"/>
    <w:lvl w:ilvl="0">
      <w:lvlJc w:val="left"/>
      <w:lvlText w:val="(%1)"/>
      <w:numFmt w:val="lowerLetter"/>
      <w:start w:val="2"/>
    </w:lvl>
  </w:abstractNum>
  <w:abstractNum w:abstractNumId="117">
    <w:nsid w:val="2A31B62D"/>
    <w:multiLevelType w:val="hybridMultilevel"/>
    <w:lvl w:ilvl="0">
      <w:lvlJc w:val="left"/>
      <w:lvlText w:val="(%1)"/>
      <w:numFmt w:val="lowerLetter"/>
      <w:start w:val="1"/>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1"/>
    </w:lvl>
    <w:lvl w:ilvl="1">
      <w:lvlJc w:val="left"/>
      <w:lvlText w:val="(%2)"/>
      <w:numFmt w:val="lowerRoman"/>
      <w:start w:val="1"/>
    </w:lvl>
  </w:abstractNum>
  <w:abstractNum w:abstractNumId="120">
    <w:nsid w:val="754342"/>
    <w:multiLevelType w:val="hybridMultilevel"/>
    <w:lvl w:ilvl="0">
      <w:lvlJc w:val="left"/>
      <w:lvlText w:val="(%1)"/>
      <w:numFmt w:val="lowerLetter"/>
      <w:start w:val="4"/>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1."/>
      <w:numFmt w:val="decimal"/>
      <w:start w:val="2"/>
    </w:lvl>
  </w:abstractNum>
  <w:abstractNum w:abstractNumId="124">
    <w:nsid w:val="37DF2233"/>
    <w:multiLevelType w:val="hybridMultilevel"/>
    <w:lvl w:ilvl="0">
      <w:lvlJc w:val="left"/>
      <w:lvlText w:val="%1."/>
      <w:numFmt w:val="decimal"/>
      <w:start w:val="10"/>
    </w:lvl>
  </w:abstractNum>
  <w:abstractNum w:abstractNumId="125">
    <w:nsid w:val="7AB49DAF"/>
    <w:multiLevelType w:val="hybridMultilevel"/>
    <w:lvl w:ilvl="0">
      <w:lvlJc w:val="left"/>
      <w:lvlText w:val="%1."/>
      <w:numFmt w:val="decimal"/>
      <w:start w:val="1"/>
    </w:lvl>
  </w:abstractNum>
  <w:abstractNum w:abstractNumId="126">
    <w:nsid w:val="759F82CD"/>
    <w:multiLevelType w:val="hybridMultilevel"/>
    <w:lvl w:ilvl="0">
      <w:lvlJc w:val="left"/>
      <w:lvlText w:val="%1."/>
      <w:numFmt w:val="decimal"/>
      <w:start w:val="2"/>
    </w:lvl>
  </w:abstractNum>
  <w:abstractNum w:abstractNumId="127">
    <w:nsid w:val="61E74EA3"/>
    <w:multiLevelType w:val="hybridMultilevel"/>
    <w:lvl w:ilvl="0">
      <w:lvlJc w:val="left"/>
      <w:lvlText w:val="%1."/>
      <w:numFmt w:val="decimal"/>
      <w:start w:val="10"/>
    </w:lvl>
  </w:abstractNum>
  <w:abstractNum w:abstractNumId="128">
    <w:nsid w:val="597B4D84"/>
    <w:multiLevelType w:val="hybridMultilevel"/>
    <w:lvl w:ilvl="0">
      <w:lvlJc w:val="left"/>
      <w:lvlText w:val="%1."/>
      <w:numFmt w:val="decimal"/>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1."/>
      <w:numFmt w:val="decimal"/>
      <w:start w:val="2"/>
    </w:lvl>
  </w:abstractNum>
  <w:abstractNum w:abstractNumId="131">
    <w:nsid w:val="312167AD"/>
    <w:multiLevelType w:val="hybridMultilevel"/>
    <w:lvl w:ilvl="0">
      <w:lvlJc w:val="left"/>
      <w:lvlText w:val="%1."/>
      <w:numFmt w:val="decimal"/>
      <w:start w:val="4"/>
    </w:lvl>
    <w:lvl w:ilvl="1">
      <w:lvlJc w:val="left"/>
      <w:lvlText w:val="%2."/>
      <w:numFmt w:val="upperLetter"/>
      <w:start w:val="1"/>
    </w:lvl>
  </w:abstractNum>
  <w:abstractNum w:abstractNumId="132">
    <w:nsid w:val="631B64D4"/>
    <w:multiLevelType w:val="hybridMultilevel"/>
    <w:lvl w:ilvl="0">
      <w:lvlJc w:val="left"/>
      <w:lvlText w:val="•"/>
      <w:numFmt w:val="bullet"/>
      <w:start w:val="1"/>
    </w:lvl>
  </w:abstractNum>
  <w:abstractNum w:abstractNumId="133">
    <w:nsid w:val="78B5E776"/>
    <w:multiLevelType w:val="hybridMultilevel"/>
    <w:lvl w:ilvl="0">
      <w:lvlJc w:val="left"/>
      <w:lvlText w:val="%1."/>
      <w:numFmt w:val="upperLetter"/>
      <w:start w:val="3"/>
    </w:lvl>
  </w:abstractNum>
  <w:abstractNum w:abstractNumId="134">
    <w:nsid w:val="75486E47"/>
    <w:multiLevelType w:val="hybridMultilevel"/>
    <w:lvl w:ilvl="0">
      <w:lvlJc w:val="left"/>
      <w:lvlText w:val="%1."/>
      <w:numFmt w:val="upperLetter"/>
      <w:start w:val="4"/>
    </w:lvl>
  </w:abstractNum>
  <w:abstractNum w:abstractNumId="135">
    <w:nsid w:val="6E534CDE"/>
    <w:multiLevelType w:val="hybridMultilevel"/>
    <w:lvl w:ilvl="0">
      <w:lvlJc w:val="left"/>
      <w:lvlText w:val="%1."/>
      <w:numFmt w:val="decimal"/>
      <w:start w:val="5"/>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1."/>
      <w:numFmt w:val="decimal"/>
      <w:start w:val="6"/>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1."/>
      <w:numFmt w:val="decimal"/>
      <w:start w:val="8"/>
    </w:lvl>
    <w:lvl w:ilvl="1">
      <w:lvlJc w:val="left"/>
      <w:lvlText w:val="%2."/>
      <w:numFmt w:val="upperLetter"/>
      <w:start w:val="1"/>
    </w:lvl>
  </w:abstractNum>
  <w:abstractNum w:abstractNumId="141">
    <w:nsid w:val="746F2E30"/>
    <w:multiLevelType w:val="hybridMultilevel"/>
    <w:lvl w:ilvl="0">
      <w:lvlJc w:val="left"/>
      <w:lvlText w:val="%1"/>
      <w:numFmt w:val="decimal"/>
      <w:start w:val="1"/>
    </w:lvl>
    <w:lvl w:ilvl="1">
      <w:lvlJc w:val="left"/>
      <w:lvlText w:val="%2."/>
      <w:numFmt w:val="upperLetter"/>
      <w:start w:val="2"/>
    </w:lvl>
  </w:abstractNum>
  <w:abstractNum w:abstractNumId="142">
    <w:nsid w:val="6FDE8AF6"/>
    <w:multiLevelType w:val="hybridMultilevel"/>
    <w:lvl w:ilvl="0">
      <w:lvlJc w:val="left"/>
      <w:lvlText w:val="%1."/>
      <w:numFmt w:val="decimal"/>
      <w:start w:val="11"/>
    </w:lvl>
    <w:lvl w:ilvl="1">
      <w:lvlJc w:val="left"/>
      <w:lvlText w:val="%2"/>
      <w:numFmt w:val="upperLetter"/>
      <w:start w:val="1"/>
    </w:lvl>
  </w:abstractNum>
  <w:abstractNum w:abstractNumId="143">
    <w:nsid w:val="3FC32E20"/>
    <w:multiLevelType w:val="hybridMultilevel"/>
    <w:lvl w:ilvl="0">
      <w:lvlJc w:val="left"/>
      <w:lvlText w:val="%1."/>
      <w:numFmt w:val="decimal"/>
      <w:start w:val="12"/>
    </w:lvl>
  </w:abstractNum>
  <w:abstractNum w:abstractNumId="144">
    <w:nsid w:val="49C0E823"/>
    <w:multiLevelType w:val="hybridMultilevel"/>
    <w:lvl w:ilvl="0">
      <w:lvlJc w:val="left"/>
      <w:lvlText w:val="%1."/>
      <w:numFmt w:val="decimal"/>
      <w:start w:val="14"/>
    </w:lvl>
    <w:lvl w:ilvl="1">
      <w:lvlJc w:val="left"/>
      <w:lvlText w:val="%2."/>
      <w:numFmt w:val="upperLetter"/>
      <w:start w:val="1"/>
    </w:lvl>
  </w:abstractNum>
  <w:abstractNum w:abstractNumId="145">
    <w:nsid w:val="14D53685"/>
    <w:multiLevelType w:val="hybridMultilevel"/>
    <w:lvl w:ilvl="0">
      <w:lvlJc w:val="left"/>
      <w:lvlText w:val="%1"/>
      <w:numFmt w:val="decimal"/>
      <w:start w:val="1"/>
    </w:lvl>
    <w:lvl w:ilvl="1">
      <w:lvlJc w:val="left"/>
      <w:lvlText w:val="%2."/>
      <w:numFmt w:val="upperLetter"/>
      <w:start w:val="3"/>
    </w:lvl>
  </w:abstractNum>
  <w:abstractNum w:abstractNumId="146">
    <w:nsid w:val="230F856C"/>
    <w:multiLevelType w:val="hybridMultilevel"/>
    <w:lvl w:ilvl="0">
      <w:lvlJc w:val="left"/>
      <w:lvlText w:val="%1."/>
      <w:numFmt w:val="decimal"/>
      <w:start w:val="15"/>
    </w:lvl>
    <w:lvl w:ilvl="1">
      <w:lvlJc w:val="left"/>
      <w:lvlText w:val="%2"/>
      <w:numFmt w:val="upperLetter"/>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1."/>
      <w:numFmt w:val="decimal"/>
      <w:start w:val="17"/>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1)"/>
      <w:numFmt w:val="decimal"/>
      <w:start w:val="1"/>
    </w:lvl>
  </w:abstractNum>
  <w:abstractNum w:abstractNumId="153">
    <w:nsid w:val="17180B0B"/>
    <w:multiLevelType w:val="hybridMultilevel"/>
    <w:lvl w:ilvl="0">
      <w:lvlJc w:val="left"/>
      <w:lvlText w:val="%1."/>
      <w:numFmt w:val="decimal"/>
      <w:start w:val="1"/>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lowerLetter"/>
      <w:start w:val="6"/>
    </w:lvl>
  </w:abstractNum>
  <w:abstractNum w:abstractNumId="156">
    <w:nsid w:val="11CCA8BA"/>
    <w:multiLevelType w:val="hybridMultilevel"/>
    <w:lvl w:ilvl="0">
      <w:lvlJc w:val="left"/>
      <w:lvlText w:val="(%1)"/>
      <w:numFmt w:val="lowerLetter"/>
      <w:start w:val="27"/>
    </w:lvl>
  </w:abstractNum>
  <w:abstractNum w:abstractNumId="157">
    <w:nsid w:val="4D32AB86"/>
    <w:multiLevelType w:val="hybridMultilevel"/>
    <w:lvl w:ilvl="0">
      <w:lvlJc w:val="left"/>
      <w:lvlText w:val="(%1)"/>
      <w:numFmt w:val="lowerLetter"/>
      <w:start w:val="28"/>
    </w:lvl>
  </w:abstractNum>
  <w:abstractNum w:abstractNumId="158">
    <w:nsid w:val="3F07ACC3"/>
    <w:multiLevelType w:val="hybridMultilevel"/>
    <w:lvl w:ilvl="0">
      <w:lvlJc w:val="left"/>
      <w:lvlText w:val="(%1)"/>
      <w:numFmt w:val="lowerLetter"/>
      <w:start w:val="33"/>
    </w:lvl>
  </w:abstractNum>
  <w:abstractNum w:abstractNumId="159">
    <w:nsid w:val="6B47F63E"/>
    <w:multiLevelType w:val="hybridMultilevel"/>
    <w:lvl w:ilvl="0">
      <w:lvlJc w:val="left"/>
      <w:lvlText w:val="%1."/>
      <w:numFmt w:val="decimal"/>
      <w:start w:val="2"/>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jpe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35" Type="http://schemas.openxmlformats.org/officeDocument/2006/relationships/hyperlink" Target="https://www.sec.gov/Archives/edgar/data/2001557/000114036124040480/ny20012992x29_s4a.htm#tANNEXA" TargetMode="External"/><Relationship Id="rId36" Type="http://schemas.openxmlformats.org/officeDocument/2006/relationships/hyperlink" Target="https://www.sec.gov/Archives/edgar/data/1847577/000114036121034554/nt10022269x10_ex4-1.htm" TargetMode="External"/><Relationship Id="rId37" Type="http://schemas.openxmlformats.org/officeDocument/2006/relationships/hyperlink" Target="https://www.sec.gov/Archives/edgar/data/2001557/000114036124040480/ny20012992x29_s4a.htm#tANNEXC" TargetMode="External"/><Relationship Id="rId38" Type="http://schemas.openxmlformats.org/officeDocument/2006/relationships/hyperlink" Target="https://www.sec.gov/Archives/edgar/data/2001557/000114036124040480/ny20012992x29_s4a.htm#tANNEXD" TargetMode="External"/><Relationship Id="rId39" Type="http://schemas.openxmlformats.org/officeDocument/2006/relationships/hyperlink" Target="https://www.sec.gov/Archives/edgar/data/2001557/000114036124040480/ny20012992x29_s4a.htm#tANNEXK"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2024-11-01T05:42:58Z</dcterms:created>
  <dcterms:modified xsi:type="dcterms:W3CDTF">2024-11-01T05:42:58Z</dcterms:modified>
</cp:coreProperties>
</file>