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333-292427</w:t>
      </w:r>
    </w:p>
    <w:p>
      <w:pPr>
        <w:spacing w:after="0" w:line="10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January 9, 2026)</w:t>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11,428,572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1865630</wp:posOffset>
            </wp:positionH>
            <wp:positionV relativeFrom="paragraph">
              <wp:posOffset>298450</wp:posOffset>
            </wp:positionV>
            <wp:extent cx="198882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170180</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both"/>
        <w:ind w:left="400" w:right="719" w:firstLine="360"/>
        <w:spacing w:after="0" w:line="266" w:lineRule="auto"/>
        <w:rPr>
          <w:sz w:val="20"/>
          <w:szCs w:val="20"/>
          <w:color w:val="auto"/>
        </w:rPr>
      </w:pPr>
      <w:r>
        <w:rPr>
          <w:rFonts w:ascii="Times New Roman" w:cs="Times New Roman" w:eastAsia="Times New Roman" w:hAnsi="Times New Roman"/>
          <w:sz w:val="18"/>
          <w:szCs w:val="18"/>
          <w:color w:val="auto"/>
        </w:rPr>
        <w:t>We are offering 11,428,572 shares (the “shares”) of our common stock, par value $0.0001 per share (the “Common Stock”). The offering price for each share is $3.50. The shares are being sold on a “reasonable best efforts” basis.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68" w:lineRule="exact"/>
        <w:rPr>
          <w:sz w:val="24"/>
          <w:szCs w:val="24"/>
          <w:color w:val="auto"/>
        </w:rPr>
      </w:pPr>
    </w:p>
    <w:p>
      <w:pPr>
        <w:ind w:left="400" w:right="85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“INV.” On January 9, 2026, the last reported sales price of our Common Stock was $4.18 per share.</w:t>
      </w:r>
    </w:p>
    <w:p>
      <w:pPr>
        <w:spacing w:after="0" w:line="183"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220" w:type="dxa"/>
            <w:vAlign w:val="bottom"/>
          </w:tcPr>
          <w:p>
            <w:pPr>
              <w:spacing w:after="0"/>
              <w:rPr>
                <w:sz w:val="13"/>
                <w:szCs w:val="13"/>
                <w:color w:val="auto"/>
              </w:rPr>
            </w:pP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$40,000,002.00</w:t>
            </w:r>
          </w:p>
        </w:tc>
        <w:tc>
          <w:tcPr>
            <w:tcW w:w="0" w:type="dxa"/>
            <w:vAlign w:val="bottom"/>
          </w:tcPr>
          <w:p>
            <w:pPr>
              <w:spacing w:after="0"/>
              <w:rPr>
                <w:sz w:val="1"/>
                <w:szCs w:val="1"/>
                <w:color w:val="auto"/>
              </w:rPr>
            </w:pPr>
          </w:p>
        </w:tc>
      </w:tr>
      <w:tr>
        <w:trPr>
          <w:trHeight w:val="243"/>
        </w:trPr>
        <w:tc>
          <w:tcPr>
            <w:tcW w:w="62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Placement agent fees</w:t>
            </w:r>
            <w:r>
              <w:rPr>
                <w:rFonts w:ascii="Times New Roman" w:cs="Times New Roman" w:eastAsia="Times New Roman" w:hAnsi="Times New Roman"/>
                <w:sz w:val="28"/>
                <w:szCs w:val="28"/>
                <w:color w:val="auto"/>
                <w:vertAlign w:val="superscript"/>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$0.245</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​2,800,000.14</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$3.255</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$37,200,001.86</w:t>
            </w:r>
          </w:p>
        </w:tc>
        <w:tc>
          <w:tcPr>
            <w:tcW w:w="0" w:type="dxa"/>
            <w:vAlign w:val="bottom"/>
          </w:tcPr>
          <w:p>
            <w:pPr>
              <w:spacing w:after="0"/>
              <w:rPr>
                <w:sz w:val="1"/>
                <w:szCs w:val="1"/>
                <w:color w:val="auto"/>
              </w:rPr>
            </w:pPr>
          </w:p>
        </w:tc>
      </w:tr>
      <w:tr>
        <w:trPr>
          <w:trHeight w:val="54"/>
        </w:trPr>
        <w:tc>
          <w:tcPr>
            <w:tcW w:w="62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74" w:lineRule="exact"/>
        <w:rPr>
          <w:sz w:val="24"/>
          <w:szCs w:val="24"/>
          <w:color w:val="auto"/>
        </w:rPr>
      </w:pPr>
    </w:p>
    <w:p>
      <w:pPr>
        <w:ind w:left="760" w:right="479" w:hanging="360"/>
        <w:spacing w:after="0" w:line="206" w:lineRule="auto"/>
        <w:tabs>
          <w:tab w:leader="none" w:pos="76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We have agreed to pay the Placement Agent (as defined below) a cash placement commission equal to 7.0% of the aggregate proceeds from the sale of the shares sold in this offering to the investors. The Company has also agreed to reimburse the Placement Agent for certain expenses incurred in connection with this offering.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additional disclosure regarding the Placement Agent’s compensation.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-428625</wp:posOffset>
            </wp:positionV>
            <wp:extent cx="822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55" w:lineRule="exact"/>
        <w:rPr>
          <w:sz w:val="24"/>
          <w:szCs w:val="24"/>
          <w:color w:val="auto"/>
        </w:rPr>
      </w:pPr>
    </w:p>
    <w:p>
      <w:pPr>
        <w:ind w:left="40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engaged Titan Partners Group LLC, a division of American Capital Partners, LLC (the “Placement Agent”) to act as our exclusive Placement Agent in connection with this offering. The Placement Agent does not have any obligation to sell any specific number or dollar amount of the securities being offered hereby, nor are we requiring any minimum purchase or sale of any specific number of securities in order for us to consummate this offering and there are no arrangements to place the funds in an escrow, trust, or similar account. The Placement Agent is not purchasing or selling any of the securities we are offering. We have agreed to pay the Placement Agent the commissions set forth in the table above.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S-</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of this prospectus supplement for more information regarding these arrangements.</w:t>
      </w:r>
    </w:p>
    <w:p>
      <w:pPr>
        <w:spacing w:after="0" w:line="80" w:lineRule="exact"/>
        <w:rPr>
          <w:sz w:val="24"/>
          <w:szCs w:val="24"/>
          <w:color w:val="auto"/>
        </w:rPr>
      </w:pPr>
    </w:p>
    <w:p>
      <w:pPr>
        <w:ind w:left="40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U.S. federal securities laws, and, as such, have elected to comply with certain reduced public company reporting requirements.</w:t>
      </w:r>
    </w:p>
    <w:p>
      <w:pPr>
        <w:spacing w:after="0" w:line="4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Investing in our Common Stock is highly speculative and involves a high degree of risk. See</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S-</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 and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the accompanying prospectus.</w:t>
      </w:r>
    </w:p>
    <w:p>
      <w:pPr>
        <w:spacing w:after="0" w:line="95" w:lineRule="exact"/>
        <w:rPr>
          <w:sz w:val="24"/>
          <w:szCs w:val="24"/>
          <w:color w:val="auto"/>
        </w:rPr>
      </w:pPr>
    </w:p>
    <w:p>
      <w:pPr>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7" w:lineRule="exact"/>
        <w:rPr>
          <w:sz w:val="24"/>
          <w:szCs w:val="24"/>
          <w:color w:val="auto"/>
        </w:rPr>
      </w:pPr>
    </w:p>
    <w:p>
      <w:pPr>
        <w:ind w:left="400" w:right="639" w:firstLine="360"/>
        <w:spacing w:after="0" w:line="282" w:lineRule="auto"/>
        <w:rPr>
          <w:sz w:val="20"/>
          <w:szCs w:val="20"/>
          <w:color w:val="auto"/>
        </w:rPr>
      </w:pPr>
      <w:r>
        <w:rPr>
          <w:rFonts w:ascii="Times New Roman" w:cs="Times New Roman" w:eastAsia="Times New Roman" w:hAnsi="Times New Roman"/>
          <w:sz w:val="18"/>
          <w:szCs w:val="18"/>
          <w:color w:val="auto"/>
        </w:rPr>
        <w:t>The shares are expected to be delivered on or about January 14, 2026, subject to satisfaction of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165735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Sole Placement Agent</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Titan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173355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06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7"/>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S-ii</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 w:type="dxa"/>
            <w:vAlign w:val="bottom"/>
          </w:tcPr>
          <w:p>
            <w:pPr>
              <w:spacing w:after="0"/>
              <w:rPr>
                <w:sz w:val="16"/>
                <w:szCs w:val="16"/>
                <w:color w:val="auto"/>
              </w:rPr>
            </w:pPr>
          </w:p>
        </w:tc>
        <w:tc>
          <w:tcPr>
            <w:tcW w:w="320" w:type="dxa"/>
            <w:vAlign w:val="bottom"/>
            <w:gridSpan w:val="8"/>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S-iv</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2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INFORMATION WE INCORPORATE BY REFERENCE</w:t>
            </w:r>
          </w:p>
        </w:tc>
        <w:tc>
          <w:tcPr>
            <w:tcW w:w="3840" w:type="dxa"/>
            <w:vAlign w:val="bottom"/>
            <w:tcBorders>
              <w:bottom w:val="single" w:sz="8" w:color="CCEEFF"/>
            </w:tcBorders>
            <w:gridSpan w:val="5"/>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S-v</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DISCLOSURE REGARDING FORWARD-LOOKING STATEMENTS</w:t>
            </w:r>
          </w:p>
        </w:tc>
        <w:tc>
          <w:tcPr>
            <w:tcW w:w="40" w:type="dxa"/>
            <w:vAlign w:val="bottom"/>
          </w:tcPr>
          <w:p>
            <w:pPr>
              <w:spacing w:after="0"/>
              <w:rPr>
                <w:sz w:val="16"/>
                <w:szCs w:val="16"/>
                <w:color w:val="auto"/>
              </w:rPr>
            </w:pPr>
          </w:p>
        </w:tc>
        <w:tc>
          <w:tcPr>
            <w:tcW w:w="320" w:type="dxa"/>
            <w:vAlign w:val="bottom"/>
            <w:gridSpan w:val="8"/>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S-vi</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S-1</w:t>
            </w:r>
          </w:p>
        </w:tc>
      </w:tr>
      <w:tr>
        <w:trPr>
          <w:trHeight w:val="189"/>
        </w:trPr>
        <w:tc>
          <w:tcPr>
            <w:tcW w:w="3280" w:type="dxa"/>
            <w:vAlign w:val="bottom"/>
            <w:tcBorders>
              <w:top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4780" w:type="dxa"/>
            <w:vAlign w:val="bottom"/>
            <w:tcBorders>
              <w:top w:val="single" w:sz="8" w:color="CCEEFF"/>
            </w:tcBorders>
            <w:gridSpan w:val="11"/>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58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80" w:type="dxa"/>
            <w:vAlign w:val="bottom"/>
            <w:tcBorders>
              <w:bottom w:val="single" w:sz="8" w:color="CCEEFF"/>
            </w:tcBorders>
            <w:gridSpan w:val="18"/>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S-9</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U.S. FEDERAL INCOME TAX CONSIDERATIONS FOR NON-U.S. HOLDERS</w:t>
            </w:r>
          </w:p>
        </w:tc>
        <w:tc>
          <w:tcPr>
            <w:tcW w:w="36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67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1280" w:type="dxa"/>
            <w:vAlign w:val="bottom"/>
          </w:tcPr>
          <w:p>
            <w:pPr>
              <w:spacing w:after="0"/>
              <w:rPr>
                <w:sz w:val="16"/>
                <w:szCs w:val="16"/>
                <w:color w:val="auto"/>
              </w:rPr>
            </w:pPr>
          </w:p>
        </w:tc>
        <w:tc>
          <w:tcPr>
            <w:tcW w:w="3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w w:val="99"/>
              </w:rPr>
              <w:t>S-14</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6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S-20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20" w:type="dxa"/>
            <w:vAlign w:val="bottom"/>
            <w:gridSpan w:val="19"/>
          </w:tcPr>
          <w:p>
            <w:pPr>
              <w:spacing w:after="0"/>
              <w:rPr>
                <w:sz w:val="16"/>
                <w:szCs w:val="16"/>
                <w:color w:val="auto"/>
              </w:rPr>
            </w:pPr>
          </w:p>
        </w:tc>
        <w:tc>
          <w:tcPr>
            <w:tcW w:w="3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w w:val="99"/>
              </w:rPr>
              <w:t>S-21</w:t>
            </w:r>
          </w:p>
        </w:tc>
      </w:tr>
      <w:tr>
        <w:trPr>
          <w:trHeight w:val="399"/>
        </w:trPr>
        <w:tc>
          <w:tcPr>
            <w:tcW w:w="7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PROSPECTUS</w:t>
            </w: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22"/>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06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300" w:type="dxa"/>
            <w:vAlign w:val="bottom"/>
            <w:gridSpan w:val="7"/>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DISCLOSURE REGARDING FORWARD-LOOKING STATEMENTS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OUR BUSINESS</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6800" w:type="dxa"/>
            <w:vAlign w:val="bottom"/>
            <w:gridSpan w:val="20"/>
          </w:tcPr>
          <w:p>
            <w:pPr>
              <w:spacing w:after="0"/>
              <w:rPr>
                <w:sz w:val="16"/>
                <w:szCs w:val="16"/>
                <w:color w:val="auto"/>
              </w:rPr>
            </w:pP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5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80" w:type="dxa"/>
            <w:vAlign w:val="bottom"/>
            <w:gridSpan w:val="18"/>
            <w:shd w:val="clear" w:color="auto" w:fill="CCEEFF"/>
          </w:tcPr>
          <w:p>
            <w:pPr>
              <w:spacing w:after="0"/>
              <w:rPr>
                <w:sz w:val="16"/>
                <w:szCs w:val="16"/>
                <w:color w:val="auto"/>
              </w:rPr>
            </w:pP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3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740" w:type="dxa"/>
            <w:vAlign w:val="bottom"/>
            <w:gridSpan w:val="10"/>
            <w:shd w:val="clear" w:color="auto" w:fill="CCEEFF"/>
          </w:tcPr>
          <w:p>
            <w:pPr>
              <w:spacing w:after="0"/>
              <w:rPr>
                <w:sz w:val="16"/>
                <w:szCs w:val="16"/>
                <w:color w:val="auto"/>
              </w:rPr>
            </w:pP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13</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3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4740" w:type="dxa"/>
            <w:vAlign w:val="bottom"/>
            <w:gridSpan w:val="10"/>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15</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4600" w:type="dxa"/>
            <w:vAlign w:val="bottom"/>
            <w:gridSpan w:val="8"/>
            <w:shd w:val="clear" w:color="auto" w:fill="CCEEFF"/>
          </w:tcPr>
          <w:p>
            <w:pPr>
              <w:spacing w:after="0"/>
              <w:rPr>
                <w:sz w:val="16"/>
                <w:szCs w:val="16"/>
                <w:color w:val="auto"/>
              </w:rPr>
            </w:pP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17</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600" w:type="dxa"/>
            <w:vAlign w:val="bottom"/>
            <w:gridSpan w:val="8"/>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18</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5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PURCHASE CONTRACTS</w:t>
            </w:r>
          </w:p>
        </w:tc>
        <w:tc>
          <w:tcPr>
            <w:tcW w:w="4520" w:type="dxa"/>
            <w:vAlign w:val="bottom"/>
            <w:gridSpan w:val="7"/>
            <w:shd w:val="clear" w:color="auto" w:fill="CCEEFF"/>
          </w:tcPr>
          <w:p>
            <w:pPr>
              <w:spacing w:after="0"/>
              <w:rPr>
                <w:sz w:val="16"/>
                <w:szCs w:val="16"/>
                <w:color w:val="auto"/>
              </w:rPr>
            </w:pP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5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4520" w:type="dxa"/>
            <w:vAlign w:val="bottom"/>
            <w:gridSpan w:val="7"/>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020" w:type="dxa"/>
            <w:vAlign w:val="bottom"/>
            <w:gridSpan w:val="16"/>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shd w:val="clear" w:color="auto" w:fill="CCEEFF"/>
          </w:tcPr>
          <w:p>
            <w:pPr>
              <w:spacing w:after="0"/>
              <w:rPr>
                <w:sz w:val="16"/>
                <w:szCs w:val="16"/>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On December 23, 2025, we filed with the SEC a registration statement on Form S-3. The registration statement was declared effective on January 9, 2026.</w:t>
      </w:r>
    </w:p>
    <w:p>
      <w:pPr>
        <w:spacing w:after="0" w:line="5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The second part is the accompanying prospectus, dated January 9, 2026, including the documents incorporated by reference therein, which provides more general information, some of which may not apply to this offering. Generally, when we refer to this prospectus supplement, we are referring to both parts of this document combined. If the description of this offering varies between this prospectus supplement and the accompanying prospectus or any document incorporated by reference into it or into this prospectus supplement that was filed with the SEC before the date of this prospectus supplement, you should rely on the information in this prospectus supplement, which supersedes the information in the accompanying prospectus. This prospectus supplement contains information about the shares offered in this offering and may add, update or change information in the accompanying prospectus. Before you invest in any of the shares offered under this prospectus supplement, you should carefully read both this prospectus supplement and the accompanying prospectus together with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We Incorporate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in the accompanying prospectus or any free writing prospectus that we may provide. We have not, and the Placement Agent has not, authorized anyone to provide you with different information. No dealer, salesperson or any other person is authorized to give any information or to represent anything not contained in this prospectus supplement and the accompanying prospectus or any free writing prospectus that we may provide. If anyone provides you with different or additional information, you should not rely on it. You should not assume that the information contained in this prospectus supplement, the accompanying prospectus, any free writing prospectus that we may provide or any document incorporated by reference is accurate as of any date other than the date mentioned on the cover page of these documents. We are not, and the Placement Agent is not, making offers to sell the shares in any jurisdiction in which an offer or solicitation is not authorized or in which the person making such offer or solicitation is not qualified to do so or to anyone to whom it is unlawful to make an offer or solicitation.</w:t>
      </w:r>
    </w:p>
    <w:p>
      <w:pPr>
        <w:spacing w:after="0" w:line="84"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are offering to sell shares of our Common Stock only in jurisdictions where offers and sales are permitted. The distribution of this prospectus supplement and the accompanying prospectus and the offering of the shares in certain jurisdictions may be restricted by law. Persons outside the United States who come into possession of this prospectus supplement or the accompanying prospectus must inform themselves about, and observe any restrictions relating to, the offering of the shares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Documents incorporated by reference herein include information and statistics regarding our industry and other information. We obtained this statistical, market and other industry data and forecasts from publicly available information. While we believe that the statistical data, market data and other industry data and forecasts are reliable, we have not independently verified the data. Any such data and other information is subject to change based on various factors, including those described in this prospectus supplement and the accompanying prospectus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on Form 10-K filed with the SEC, which is incorporated herein by reference.</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Following the Closing, each of Learn CW and Innventure LLC are subsidiaries of Holdco, and Holdco became a publicly traded company. At the Closing, Holdco changed its name to “Innventure, Inc.” Innventure, Inc.’s Common Stock is listed on the Nasdaq Global Market under the symbol “INV”.</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supplement to the “Company,” “Innventure,” “we,” “us,” “our” and similar terms refer to Innventure, Inc. (f/k/a Learn SPAC HoldCo, Inc.) and its consolidated subsidiaries.</w:t>
      </w:r>
    </w:p>
    <w:p>
      <w:pPr>
        <w:spacing w:after="0" w:line="68" w:lineRule="exact"/>
        <w:rPr>
          <w:sz w:val="20"/>
          <w:szCs w:val="20"/>
          <w:color w:val="auto"/>
        </w:rPr>
      </w:pPr>
    </w:p>
    <w:p>
      <w:pPr>
        <w:ind w:left="300" w:right="519" w:firstLine="360"/>
        <w:spacing w:after="0" w:line="312" w:lineRule="auto"/>
        <w:rPr>
          <w:sz w:val="20"/>
          <w:szCs w:val="20"/>
          <w:color w:val="auto"/>
        </w:rPr>
      </w:pPr>
      <w:r>
        <w:rPr>
          <w:rFonts w:ascii="Times New Roman" w:cs="Times New Roman" w:eastAsia="Times New Roman" w:hAnsi="Times New Roman"/>
          <w:sz w:val="17"/>
          <w:szCs w:val="17"/>
          <w:color w:val="auto"/>
        </w:rPr>
        <w:t>This prospectus includes trademarks, service marks and trade names owned by us or other companies. All trademarks, service marks and trade names included in this prospectus are the property of their respective owners.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under the Securities Act of 1933 (the “Securities Act”), and does not contain all the information set forth or incorporated by reference in the registration statement. Whenever a reference is made in this prospectus supplement and the accompanying prospectus to any of our contracts, agreements or other documents, the reference may not be complete and you should refer to the exhibits that are a part of the registration statement of which this prospectus supplement and the accompanying prospectus are a part or the exhibits to the reports or other documents incorporated by reference into this prospectus supplement and the accompanying prospectus for a copy of such contract, agreement or other document. You may obtain copies of the registration statement and its exhibits via the SEC’s EDGAR database.</w:t>
      </w:r>
    </w:p>
    <w:p>
      <w:pPr>
        <w:spacing w:after="0" w:line="80" w:lineRule="exact"/>
        <w:rPr>
          <w:sz w:val="20"/>
          <w:szCs w:val="20"/>
          <w:color w:val="auto"/>
        </w:rPr>
      </w:pPr>
    </w:p>
    <w:p>
      <w:pPr>
        <w:jc w:val="both"/>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Exchange Act. The SEC maintains an Internet website that contains reports, proxy and information statements and other information regarding issuers, including us, that file electronically with the SEC. The address for the SEC’s website is www.sec.gov.</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website at www.innventure.com, our annual reports on Form 10-K, quarterly reports on Form 10-Q, current reports on Form 8-K and proxy statements and amendments to those reports and statements as soon as reasonably practicable after they are filed with the SEC. The contents of our website are not part of this prospectus, and the reference to our website does not constitute incorporation by reference into this prospectus of the information contained at that site, other than documents we file with the SEC that are incorporated by reference into this prospectus supplement and the accompanying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WE INCORPORATE BY REFERENCE</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the information in documents we file with it, which means that we can disclose important information to you by referring you to those documents. The information incorporated by reference is considered to be a part of this prospectus supplement and the accompanying prospectus, except for information that we file later with the SEC superseded by information contained in this prospectus supplement and the accompanying prospectus itself or in any subsequently filed incorporated document. Any statement contained in any document incorporated or deemed to be incorporated by reference in this prospectus supplement and the accompanying prospectus shall be deemed to be modified or superseded to the extent that a statement contained in or omitted from this prospectus supplement or the accompanying prospectus, or in any other subsequently filed document that also is or is deemed to be incorporated by reference, modifies or supersedes such statement. Any such statement so modified or superseded shall not be deemed, except as so modified or superseded, to constitute a part of this prospectus supplement or the accompanying prospectus.</w:t>
      </w:r>
    </w:p>
    <w:p>
      <w:pPr>
        <w:spacing w:after="0" w:line="8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documents that we subsequently file with the SEC (excluding any portions of such documents that are furnished and not filed with the SEC) under Section 13(a), 13(c), 14 or 15(d) of the Exchange Act after the date of this prospectus supplement until the offering of the securities is terminated:</w:t>
      </w:r>
    </w:p>
    <w:p>
      <w:pPr>
        <w:spacing w:after="0" w:line="72"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18">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quarterly periods ended </w:t>
      </w:r>
      <w:hyperlink r:id="rId19">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and </w:t>
      </w:r>
      <w:hyperlink r:id="rId21">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000" w:right="639" w:hanging="348"/>
        <w:spacing w:after="0" w:line="266" w:lineRule="auto"/>
        <w:tabs>
          <w:tab w:leader="none" w:pos="1000" w:val="left"/>
        </w:tabs>
        <w:numPr>
          <w:ilvl w:val="0"/>
          <w:numId w:val="2"/>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26,</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October 6, 2025</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November 12, 2025</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 xml:space="preserve">November 18, 2025 </w:t>
        </w:r>
      </w:hyperlink>
      <w:hyperlink r:id="rId22">
        <w:r>
          <w:rPr>
            <w:rFonts w:ascii="Times New Roman" w:cs="Times New Roman" w:eastAsia="Times New Roman" w:hAnsi="Times New Roman"/>
            <w:sz w:val="18"/>
            <w:szCs w:val="18"/>
            <w:color w:val="000000"/>
          </w:rPr>
          <w:t>(Item 8.01 and related exhibits only),</w:t>
        </w:r>
      </w:hyperlink>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December 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 xml:space="preserve">January 12, 2026 </w:t>
        </w:r>
      </w:hyperlink>
      <w:r>
        <w:rPr>
          <w:rFonts w:ascii="Times New Roman" w:cs="Times New Roman" w:eastAsia="Times New Roman" w:hAnsi="Times New Roman"/>
          <w:sz w:val="18"/>
          <w:szCs w:val="18"/>
          <w:color w:val="000000"/>
        </w:rPr>
        <w:t>(</w:t>
      </w:r>
      <w:hyperlink r:id="rId28">
        <w:r>
          <w:rPr>
            <w:rFonts w:ascii="Times New Roman" w:cs="Times New Roman" w:eastAsia="Times New Roman" w:hAnsi="Times New Roman"/>
            <w:sz w:val="18"/>
            <w:szCs w:val="18"/>
            <w:u w:val="single" w:color="auto"/>
            <w:color w:val="0000EE"/>
          </w:rPr>
          <w:t>two reports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00" w:right="57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Exhibit 4.1 to our Annual Report on Form 10-K for the year ended </w:t>
      </w:r>
      <w:hyperlink r:id="rId29">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 as amended by any subsequent amendments and reports filed for the purpose of updating that description.</w:t>
      </w:r>
    </w:p>
    <w:p>
      <w:pPr>
        <w:spacing w:after="0" w:line="68" w:lineRule="exact"/>
        <w:rPr>
          <w:rFonts w:ascii="Times New Roman" w:cs="Times New Roman" w:eastAsia="Times New Roman" w:hAnsi="Times New Roman"/>
          <w:sz w:val="18"/>
          <w:szCs w:val="18"/>
          <w:color w:val="0000EE"/>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supplement is delivered a copy of any or all of the documents that have been incorporated by reference in this prospectus supplement or the accompanying prospectus but not delivered with this prospectus or the accompanying prospectus, (other than an exhibit to these filings, unless the exhibit is specifically incorporated by reference into the filing requested) at no cost, if you submit a request to us by writing or telephoning us at the following address and telephone number:</w:t>
      </w:r>
    </w:p>
    <w:p>
      <w:pPr>
        <w:spacing w:after="0" w:line="133"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rFonts w:ascii="Times New Roman" w:cs="Times New Roman" w:eastAsia="Times New Roman" w:hAnsi="Times New Roman"/>
          <w:sz w:val="18"/>
          <w:szCs w:val="18"/>
          <w:color w:val="0000EE"/>
        </w:rPr>
      </w:pPr>
    </w:p>
    <w:p>
      <w:pPr>
        <w:ind w:left="4380" w:right="3959" w:hanging="438"/>
        <w:spacing w:after="0" w:line="511" w:lineRule="auto"/>
        <w:tabs>
          <w:tab w:leader="none" w:pos="43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209-6787 S-v</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Some of the statements contained in this prospectus supplement and the accompanying prospectus, and the documents incorporated by reference into this prospectus supplement and the accompanying prospectus, are forward-looking statements within the meaning of Section 27A of the Securities Act, and Section 21E of the Exchange Act. Forward-looking statements are all statements other than those of historical fact, including statements about the Company’s business model, the financial condition, results of operations, earnings outlook and its Operating Companies’ (as defined below) prospects. Forward-looking statements may include, but are not limited to, statements regarding the Offering, including the type of securities that may be issued in the Offering, the size, pricing or other terms of the Offering and the plan of distribution for the Offering; the intended use of the net proceeds of the Offering; the estimated expenses of this Offering; the plan of distribution for this Offering; and the anticipated effect of this Offering on the performance of the Company.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85"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w:t>
      </w:r>
    </w:p>
    <w:p>
      <w:pPr>
        <w:spacing w:after="0" w:line="63"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Offering;</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net proceeds of the Offering in a manner that will increase the value of stockholders’ investment;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75"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cause the need for Innventure to evaluate and potentially record additional impairment charges for all, or a portion of, its goodwill and other intangible assets;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 including: (i) Innventure’s ability to obtain funding for its operations and future growth; and (ii) Innventure’s ability to continue as a going concern;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maintain control over the Innventure Companies;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WTI Fund X, Inc. and WTI Fund XI, Inc. (together, the “WTI Lenders”), under a term loan facility in the aggregate principal amount of up to $50,000,000 (of which, the Company has received, $20,000,000);</w:t>
      </w:r>
    </w:p>
    <w:p>
      <w:pPr>
        <w:spacing w:after="0" w:line="67" w:lineRule="exact"/>
        <w:rPr>
          <w:rFonts w:ascii="Times New Roman" w:cs="Times New Roman" w:eastAsia="Times New Roman" w:hAnsi="Times New Roman"/>
          <w:sz w:val="18"/>
          <w:szCs w:val="18"/>
          <w:color w:val="auto"/>
        </w:rPr>
      </w:pPr>
    </w:p>
    <w:p>
      <w:pPr>
        <w:ind w:left="1000" w:right="359" w:hanging="348"/>
        <w:spacing w:after="0" w:line="277" w:lineRule="auto"/>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Innventure’s access to funds under the Standby Equity Purchase Agreement (the “SEPA”) entered into with YA II PN, Ltd. (“Yorkville”), dated October 24, 2023, including ownership limitations, issuances and subscriptions based on trading volumes, and Innventure’s ability to continue to access the funds available under the SEPA due to certain conditions, restrictions and limitations set forth therein and in the securities purchase agreement, dated September 15, 2025 (the “September SPA”), entered into with Yorkville;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11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obtain funding for their operations, future growth and to continue as going concerns;</w:t>
      </w:r>
    </w:p>
    <w:p>
      <w:pPr>
        <w:spacing w:after="0" w:line="53"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technology solutions that Innventure and the Innventure Companies license or acquire from third parties or develop internally may not function as anticipated or provide the benefits anticipated;</w:t>
      </w:r>
    </w:p>
    <w:p>
      <w:pPr>
        <w:spacing w:after="0" w:line="31" w:lineRule="exact"/>
        <w:rPr>
          <w:rFonts w:ascii="Times New Roman" w:cs="Times New Roman" w:eastAsia="Times New Roman" w:hAnsi="Times New Roman"/>
          <w:sz w:val="17"/>
          <w:szCs w:val="17"/>
          <w:color w:val="auto"/>
        </w:rPr>
      </w:pPr>
    </w:p>
    <w:p>
      <w:pPr>
        <w:ind w:left="1000" w:right="6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53"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respective products and the numerous regulatory requirements generally applicable to their businesses;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or other third parties (collectively, “Technology Solutions Providers”) and to satisfy the requirements imposed by or to avoid disagreements with its current and future Technology Solutions Providers;</w:t>
      </w:r>
    </w:p>
    <w:p>
      <w:pPr>
        <w:spacing w:after="0" w:line="71"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which would impose burdensome compliance requirements and restrictions on its activities;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67" w:lineRule="exact"/>
        <w:rPr>
          <w:rFonts w:ascii="Times New Roman" w:cs="Times New Roman" w:eastAsia="Times New Roman" w:hAnsi="Times New Roman"/>
          <w:sz w:val="18"/>
          <w:szCs w:val="18"/>
          <w:color w:val="auto"/>
        </w:rPr>
      </w:pPr>
    </w:p>
    <w:p>
      <w:pPr>
        <w:ind w:left="1000" w:right="12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17"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supplement and the accompanying prospectus, or incorporated by reference into this prospectus supplement or the accompanying prospectus,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9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2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or incorporated by reference in this prospectus supplement and the accompanying prospectus. This summary may not contain all of the information that you should consider before investing in our securities. We urge you to read this entire prospectus supplement, the accompanying prospectus and the documents incorporated by reference herein and therein carefully, including the section entitled “Risk Factors” and the financial statements and other information included or incorporated by reference in this prospectus supplement and the accompanying prospectus.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We were incorporated as a Delaware corporation in 2023. Innventure founds, funds, and operates companies with a focus on transformative, sustainable technology solutions that we acquire or license from technology innovators. These technology innovators are typically multinational corporations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w:t>
      </w:r>
    </w:p>
    <w:p>
      <w:pPr>
        <w:spacing w:after="0" w:line="79"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supplement,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As of January 12, 2026, Innventure LLC owns 37.1% of AeroFlexx, directors, officers, employees and consultants of Innventure and AeroFlexx collectively own 12.1% of AeroFlexx and Innventus ESG Fund I, L.P. (the “ESG Fund”) owns 34.0% of AeroFlexx. Further, as of January 12, 2026, Innventure LLC owns 43.1% of Accelsius, directors, officers, employees and consultants of Innventure and Accelsius collectively own 26.7% of Accelsius, and the ESG Fund owns 3.3% of Accelsius. As of January 12, 2026, Innventure LLC owns 68.4% of Refinity Holdings, LLC (“Refinity Holdings”) and 26.3% of Refinity Holdings is collectively owned by Innventure and Refinity Holdings directors, officers, employees and consultants. Refinity Holdings owns 100% of Refinity. Innventure, through Innventure LLC as its subsidiary, economically owns 37.1%, 43.1% and 68.4% of AeroFlexx, Accelsius and Refinity Holdings, respectively, and exercises voting control over 42.3%, 58.8%, and 92.9% of AeroFlexx, Accelsius and Refinity Holdings, respectively. All the foregoing percentages are calculated using outstanding equity for each of AeroFlexx, Accelsius and Refinity Holdings as of January 12, 2026.</w:t>
      </w:r>
    </w:p>
    <w:p>
      <w:pPr>
        <w:spacing w:after="0" w:line="84" w:lineRule="exact"/>
        <w:rPr>
          <w:sz w:val="20"/>
          <w:szCs w:val="20"/>
          <w:color w:val="auto"/>
        </w:rPr>
      </w:pPr>
    </w:p>
    <w:p>
      <w:pPr>
        <w:ind w:left="320" w:right="519" w:firstLine="360"/>
        <w:spacing w:after="0" w:line="261" w:lineRule="auto"/>
        <w:rPr>
          <w:sz w:val="20"/>
          <w:szCs w:val="20"/>
          <w:color w:val="auto"/>
        </w:rPr>
      </w:pPr>
      <w:r>
        <w:rPr>
          <w:rFonts w:ascii="Times New Roman" w:cs="Times New Roman" w:eastAsia="Times New Roman" w:hAnsi="Times New Roman"/>
          <w:sz w:val="18"/>
          <w:szCs w:val="18"/>
          <w:color w:val="auto"/>
        </w:rPr>
        <w:t>Following the Business Combination, the Innventure LLC Class PCTA units (the “PCTA Units”) and Class I units remain outstanding and their holders retain the limited voting rights attendant thereto with respect to matters concerning Class PCTA and Class I business. Innventure otherwise owns all of the membership interests in Innventure LLC.</w:t>
      </w:r>
    </w:p>
    <w:p>
      <w:pPr>
        <w:spacing w:after="0" w:line="72"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 accrue management fees for providing investment management services to the ESG Fund. Following the Business Combination, the ESG Fund owns 32.5% of AeroFlexx and 4.3% of Accelsius.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33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5653405" cy="82334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21"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the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79" w:lineRule="exact"/>
        <w:rPr>
          <w:sz w:val="20"/>
          <w:szCs w:val="20"/>
          <w:color w:val="auto"/>
        </w:rPr>
      </w:pPr>
    </w:p>
    <w:p>
      <w:pPr>
        <w:ind w:left="320" w:right="359" w:firstLine="360"/>
        <w:spacing w:after="0" w:line="277" w:lineRule="auto"/>
        <w:rPr>
          <w:sz w:val="20"/>
          <w:szCs w:val="20"/>
          <w:color w:val="auto"/>
        </w:rPr>
      </w:pPr>
      <w:r>
        <w:rPr>
          <w:rFonts w:ascii="Times New Roman" w:cs="Times New Roman" w:eastAsia="Times New Roman" w:hAnsi="Times New Roman"/>
          <w:sz w:val="17"/>
          <w:szCs w:val="17"/>
          <w:color w:val="auto"/>
        </w:rPr>
        <w:t>Pursuant to the Business Combination Agreement, among other things, (i) LCW Merger Sub merged with and into Learn CW, with Learn CW as the surviving company of the LCW Merger and (ii) Innventure Merger Sub merged with and into Innventure,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Accelsius Overview</w:t>
      </w:r>
    </w:p>
    <w:p>
      <w:pPr>
        <w:spacing w:after="0" w:line="121" w:lineRule="exact"/>
        <w:rPr>
          <w:sz w:val="20"/>
          <w:szCs w:val="20"/>
          <w:color w:val="auto"/>
        </w:rPr>
      </w:pPr>
    </w:p>
    <w:p>
      <w:pPr>
        <w:jc w:val="both"/>
        <w:ind w:left="320" w:right="519" w:firstLine="360"/>
        <w:spacing w:after="0" w:line="266" w:lineRule="auto"/>
        <w:rPr>
          <w:sz w:val="20"/>
          <w:szCs w:val="20"/>
          <w:color w:val="auto"/>
        </w:rPr>
      </w:pPr>
      <w:r>
        <w:rPr>
          <w:rFonts w:ascii="Times New Roman" w:cs="Times New Roman" w:eastAsia="Times New Roman" w:hAnsi="Times New Roman"/>
          <w:sz w:val="18"/>
          <w:szCs w:val="18"/>
          <w:color w:val="auto"/>
        </w:rPr>
        <w:t>Accelsius provides a direct-to-chip liquid cooling solution for servers (and other computing devices) in data centers and edge computing locations. Accelsius aims to exploit three powerful industry trends that it believes are converging:</w:t>
      </w:r>
    </w:p>
    <w:p>
      <w:pPr>
        <w:spacing w:after="0" w:line="68" w:lineRule="exact"/>
        <w:rPr>
          <w:sz w:val="20"/>
          <w:szCs w:val="20"/>
          <w:color w:val="auto"/>
        </w:rPr>
      </w:pPr>
    </w:p>
    <w:p>
      <w:pPr>
        <w:ind w:left="1020" w:right="33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exponential predicted increase in the thermal footprint, or thermal design power (“TDP”), of server and GPU chipsets which are now beginning to exceed the capability of the incumbent refrigerated-air cooling systems;</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 unpredictable global energy costs; and</w:t>
      </w:r>
    </w:p>
    <w:p>
      <w:pPr>
        <w:spacing w:after="0" w:line="117" w:lineRule="exact"/>
        <w:rPr>
          <w:rFonts w:ascii="Times New Roman" w:cs="Times New Roman" w:eastAsia="Times New Roman" w:hAnsi="Times New Roman"/>
          <w:sz w:val="18"/>
          <w:szCs w:val="18"/>
          <w:color w:val="auto"/>
        </w:rPr>
      </w:pPr>
    </w:p>
    <w:p>
      <w:pPr>
        <w:ind w:left="1020" w:right="47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level of commitment to environmental sustainability, including from C-suites and corporate management teams.</w:t>
      </w:r>
    </w:p>
    <w:p>
      <w:pPr>
        <w:spacing w:after="0" w:line="54" w:lineRule="exact"/>
        <w:rPr>
          <w:sz w:val="20"/>
          <w:szCs w:val="20"/>
          <w:color w:val="auto"/>
        </w:rPr>
      </w:pPr>
    </w:p>
    <w:p>
      <w:pPr>
        <w:ind w:left="320" w:right="839" w:firstLine="360"/>
        <w:spacing w:after="0" w:line="282" w:lineRule="auto"/>
        <w:rPr>
          <w:sz w:val="20"/>
          <w:szCs w:val="20"/>
          <w:color w:val="auto"/>
        </w:rPr>
      </w:pPr>
      <w:r>
        <w:rPr>
          <w:rFonts w:ascii="Times New Roman" w:cs="Times New Roman" w:eastAsia="Times New Roman" w:hAnsi="Times New Roman"/>
          <w:sz w:val="18"/>
          <w:szCs w:val="18"/>
          <w:color w:val="auto"/>
        </w:rPr>
        <w:t>Reducing data center power usage is a significant opportunity to meet public ESG commitments, but the predicted increase in TDP of future servers will make this extremely challenging.</w:t>
      </w:r>
    </w:p>
    <w:p>
      <w:pPr>
        <w:spacing w:after="0" w:line="54"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AeroFlexx and Refinity Overview</w:t>
      </w:r>
    </w:p>
    <w:p>
      <w:pPr>
        <w:spacing w:after="0" w:line="121" w:lineRule="exact"/>
        <w:rPr>
          <w:sz w:val="20"/>
          <w:szCs w:val="20"/>
          <w:color w:val="auto"/>
        </w:rPr>
      </w:pPr>
    </w:p>
    <w:p>
      <w:pPr>
        <w:ind w:left="320" w:right="439" w:firstLine="360"/>
        <w:spacing w:after="0" w:line="258" w:lineRule="auto"/>
        <w:rPr>
          <w:sz w:val="20"/>
          <w:szCs w:val="20"/>
          <w:color w:val="auto"/>
        </w:rPr>
      </w:pPr>
      <w:r>
        <w:rPr>
          <w:rFonts w:ascii="Times New Roman" w:cs="Times New Roman" w:eastAsia="Times New Roman" w:hAnsi="Times New Roman"/>
          <w:sz w:val="18"/>
          <w:szCs w:val="18"/>
          <w:color w:val="auto"/>
        </w:rPr>
        <w:t>AeroFlexx manufactures what we believe is one of the first flexible packages designed to function like a rigid bottle (the “pak”). The pak incorporates a proprietary integrated valve that eliminates the need for discrete closures or pumps and is intended to enhance the consumer use experience. In addition, AeroFlexx’s proprietary air-frame technology is designed to provide structural rigidity throughout the entire package lifecycle, including end of life collection and sortation.</w:t>
      </w:r>
    </w:p>
    <w:p>
      <w:pPr>
        <w:spacing w:after="0" w:line="75" w:lineRule="exact"/>
        <w:rPr>
          <w:sz w:val="20"/>
          <w:szCs w:val="20"/>
          <w:color w:val="auto"/>
        </w:rPr>
      </w:pPr>
    </w:p>
    <w:p>
      <w:pPr>
        <w:ind w:left="320" w:right="339" w:firstLine="360"/>
        <w:spacing w:after="0" w:line="221" w:lineRule="auto"/>
        <w:rPr>
          <w:sz w:val="20"/>
          <w:szCs w:val="20"/>
          <w:color w:val="auto"/>
        </w:rPr>
      </w:pPr>
      <w:r>
        <w:rPr>
          <w:rFonts w:ascii="Times New Roman" w:cs="Times New Roman" w:eastAsia="Times New Roman" w:hAnsi="Times New Roman"/>
          <w:sz w:val="18"/>
          <w:szCs w:val="18"/>
          <w:color w:val="auto"/>
        </w:rPr>
        <w:t>The pak is designed to eliminate 50–70% of plastic used when compared to traditional rigid bottles and can be curbside recyclable where all plastic bottles are accepted.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When incorporating recycled content, the pak may potentially reduce overall virgin plastic usage by up to 85%. Additionally, prior to filling, the pak is shipped in a flat format which is designed to improve freight efficiency and reduce supply chain costs and complexity.</w:t>
      </w:r>
    </w:p>
    <w:p>
      <w:pPr>
        <w:spacing w:after="0" w:line="37" w:lineRule="exact"/>
        <w:rPr>
          <w:sz w:val="20"/>
          <w:szCs w:val="20"/>
          <w:color w:val="auto"/>
        </w:rPr>
      </w:pPr>
    </w:p>
    <w:p>
      <w:pPr>
        <w:ind w:left="480" w:hanging="170"/>
        <w:spacing w:after="0"/>
        <w:tabs>
          <w:tab w:leader="none" w:pos="4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Not recyclable in all communities. Check locally.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76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5653405" cy="82765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The AeroFlexx pak is also designed to address the challenges associated with shipping liquid products through e-commerce channels while maintaining performance in traditional brick-and-mortar retail environments. The pak has received ISTA-6 Amazon certification for both “prep-free packaging” and “ship-in-own-container” requirements. In our experience, ISTA-certified packaging may offer potential benefits including reduced product damage, lower packaging and labor costs through the elimination of additional preparation materials, and improved customer satisfaction.</w:t>
      </w:r>
    </w:p>
    <w:p>
      <w:pPr>
        <w:spacing w:after="0" w:line="79" w:lineRule="exact"/>
        <w:rPr>
          <w:sz w:val="20"/>
          <w:szCs w:val="20"/>
          <w:color w:val="auto"/>
        </w:rPr>
      </w:pPr>
    </w:p>
    <w:p>
      <w:pPr>
        <w:ind w:left="320" w:right="499" w:firstLine="360"/>
        <w:spacing w:after="0" w:line="266" w:lineRule="auto"/>
        <w:rPr>
          <w:sz w:val="20"/>
          <w:szCs w:val="20"/>
          <w:color w:val="auto"/>
        </w:rPr>
      </w:pPr>
      <w:r>
        <w:rPr>
          <w:rFonts w:ascii="Times New Roman" w:cs="Times New Roman" w:eastAsia="Times New Roman" w:hAnsi="Times New Roman"/>
          <w:sz w:val="18"/>
          <w:szCs w:val="18"/>
          <w:color w:val="auto"/>
        </w:rPr>
        <w:t>AeroFlexx is headquartered in West Chester, Ohio. The company operates a 27,082-square-foot facility that currently has the initial commercial converter lines with a nameplate design capacity of over 100 million units per year, along with filling capabilities to deliver paks to customers.</w:t>
      </w:r>
    </w:p>
    <w:p>
      <w:pPr>
        <w:spacing w:after="0" w:line="68"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and other high value products) at yields that Refinity believes are higher than other conversion technologies. Refinity plans to target the 240 million tonnes/year of mixed plastic waste that incumbent recycling technologies cannot typically use in a cost effective and scalable way. Additionally, Innventure’s collaboration with Dow is expected to provide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w:t>
      </w:r>
    </w:p>
    <w:p>
      <w:pPr>
        <w:spacing w:after="0" w:line="84"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 Refinity is currently working with engineering firms and equipment providers to design the first demonstration scale and commercial scale plants and identify prospective sites for initial development.</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320" w:right="359" w:firstLine="36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Jumpstart Our Business Startups Act of 2012.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pacing w:after="0" w:line="81" w:lineRule="exact"/>
        <w:rPr>
          <w:sz w:val="20"/>
          <w:szCs w:val="20"/>
          <w:color w:val="auto"/>
        </w:rPr>
      </w:pPr>
    </w:p>
    <w:p>
      <w:pPr>
        <w:ind w:left="320" w:right="379" w:firstLine="360"/>
        <w:spacing w:after="0" w:line="270"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December 21,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 billion in non-convertible debt during the prior three-year period.</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Accelsius Investment</w:t>
      </w:r>
    </w:p>
    <w:p>
      <w:pPr>
        <w:spacing w:after="0" w:line="121" w:lineRule="exact"/>
        <w:rPr>
          <w:sz w:val="20"/>
          <w:szCs w:val="20"/>
          <w:color w:val="auto"/>
        </w:rPr>
      </w:pPr>
    </w:p>
    <w:p>
      <w:pPr>
        <w:ind w:left="320" w:right="399" w:firstLine="360"/>
        <w:spacing w:after="0" w:line="258" w:lineRule="auto"/>
        <w:rPr>
          <w:sz w:val="20"/>
          <w:szCs w:val="20"/>
          <w:color w:val="auto"/>
        </w:rPr>
      </w:pPr>
      <w:r>
        <w:rPr>
          <w:rFonts w:ascii="Times New Roman" w:cs="Times New Roman" w:eastAsia="Times New Roman" w:hAnsi="Times New Roman"/>
          <w:sz w:val="18"/>
          <w:szCs w:val="18"/>
          <w:color w:val="auto"/>
        </w:rPr>
        <w:t>On October 2, 2025, Accelsius issued and sold units of its Series B-1 Units (“Series B Units”) to Johnson Controls, Inc, a Wisconsin corporation (“JCI”), for aggregate gross proceeds of approximately $25 million. On December 29, 2025, Accelsius issued and sold Series B-1 Units to JCI and Legrand DPC, LLC, a Delaware limited liability company, for aggregate gross proceeds of approximately $40 million. Accelsius will use the proceeds from the sale of the Series B-1 Units, after deducting certain offering expenses, for general corporate purposes.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258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5653405" cy="22586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Convertible Debentures</w:t>
      </w:r>
    </w:p>
    <w:p>
      <w:pPr>
        <w:spacing w:after="0" w:line="121" w:lineRule="exact"/>
        <w:rPr>
          <w:sz w:val="20"/>
          <w:szCs w:val="20"/>
          <w:color w:val="auto"/>
        </w:rPr>
      </w:pPr>
    </w:p>
    <w:p>
      <w:pPr>
        <w:ind w:left="320" w:right="579" w:firstLine="360"/>
        <w:spacing w:after="0" w:line="261" w:lineRule="auto"/>
        <w:rPr>
          <w:sz w:val="20"/>
          <w:szCs w:val="20"/>
          <w:color w:val="auto"/>
        </w:rPr>
      </w:pPr>
      <w:r>
        <w:rPr>
          <w:rFonts w:ascii="Times New Roman" w:cs="Times New Roman" w:eastAsia="Times New Roman" w:hAnsi="Times New Roman"/>
          <w:sz w:val="18"/>
          <w:szCs w:val="18"/>
          <w:color w:val="auto"/>
        </w:rPr>
        <w:t>As of January 12, 2026, approximately $6 million (in the aggregate) is outstanding under the convertible debentures issued to Yorkville pursuant to the September SPA (the “Convertible Debentures”). As of January 12, 2026, $0 is outstanding under the convertible debentures issued to Yorkville pursuant to the securities purchase agreement, dated March 25, 2025.</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35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 is located at 900 Tavistock Lakes Blvd, Suite 400, Orlando, Florida 32827, and our telephone number is (321) 209-6787. Our website address is www.innventure.com. The information contained on or accessible through our website is not part of this prospectus supplement, other than the documents that we file with the SEC that are specifically incorporated by reference into this prospectus supplement and the accompanying prospectus.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22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Shares of Common Stock offered by us</w:t>
      </w:r>
    </w:p>
    <w:p>
      <w:pPr>
        <w:spacing w:after="0" w:line="117" w:lineRule="exact"/>
        <w:rPr>
          <w:sz w:val="20"/>
          <w:szCs w:val="20"/>
          <w:color w:val="auto"/>
        </w:rPr>
      </w:pPr>
    </w:p>
    <w:p>
      <w:pPr>
        <w:ind w:left="480" w:hanging="179"/>
        <w:spacing w:after="0" w:line="274" w:lineRule="auto"/>
        <w:rPr>
          <w:sz w:val="20"/>
          <w:szCs w:val="20"/>
          <w:color w:val="auto"/>
        </w:rPr>
      </w:pPr>
      <w:r>
        <w:rPr>
          <w:rFonts w:ascii="Times New Roman" w:cs="Times New Roman" w:eastAsia="Times New Roman" w:hAnsi="Times New Roman"/>
          <w:sz w:val="17"/>
          <w:szCs w:val="17"/>
          <w:b w:val="1"/>
          <w:bCs w:val="1"/>
          <w:color w:val="auto"/>
        </w:rPr>
        <w:t>Shares of Common Stock to be outstanding immediately after this offering</w:t>
      </w:r>
      <w:r>
        <w:rPr>
          <w:rFonts w:ascii="Times New Roman" w:cs="Times New Roman" w:eastAsia="Times New Roman" w:hAnsi="Times New Roman"/>
          <w:sz w:val="28"/>
          <w:szCs w:val="28"/>
          <w:b w:val="1"/>
          <w:bCs w:val="1"/>
          <w:color w:val="auto"/>
          <w:vertAlign w:val="superscript"/>
        </w:rPr>
        <w:t>(1)</w:t>
      </w:r>
    </w:p>
    <w:p>
      <w:pPr>
        <w:ind w:left="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right="920"/>
        <w:spacing w:after="0" w:line="458" w:lineRule="auto"/>
        <w:rPr>
          <w:sz w:val="20"/>
          <w:szCs w:val="20"/>
          <w:color w:val="auto"/>
        </w:rPr>
      </w:pPr>
      <w:r>
        <w:rPr>
          <w:rFonts w:ascii="Times New Roman" w:cs="Times New Roman" w:eastAsia="Times New Roman" w:hAnsi="Times New Roman"/>
          <w:sz w:val="18"/>
          <w:szCs w:val="18"/>
          <w:b w:val="1"/>
          <w:bCs w:val="1"/>
          <w:color w:val="auto"/>
        </w:rPr>
        <w:t>Nasdaq Global Market Symbol Lock-Up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Innventure, Inc.</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11,428,572 shares.</w:t>
      </w: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79,174,919 shares.</w:t>
      </w:r>
    </w:p>
    <w:p>
      <w:pPr>
        <w:spacing w:after="0" w:line="144" w:lineRule="exact"/>
        <w:rPr>
          <w:sz w:val="20"/>
          <w:szCs w:val="20"/>
          <w:color w:val="auto"/>
        </w:rPr>
      </w:pPr>
    </w:p>
    <w:p>
      <w:pPr>
        <w:ind w:left="620" w:right="339"/>
        <w:spacing w:after="0" w:line="253"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$36.7 million after deducting the Placement Agent’s commissions and estimated offering expenses. We expect to use the net proceeds from this offering to redeem the outstanding Convertible Debentures and for working capital and general corporate purposes, which may include the ability of the Company to exercise its right to receive equity in Accelsius in lieu of cash for Accelsius’ repayment of approximately $8 million principal aggregate amount of intercompany convertible debt and interest thereon.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“INV”</w:t>
      </w:r>
    </w:p>
    <w:p>
      <w:pPr>
        <w:spacing w:after="0" w:line="158" w:lineRule="exact"/>
        <w:rPr>
          <w:sz w:val="20"/>
          <w:szCs w:val="20"/>
          <w:color w:val="auto"/>
        </w:rPr>
      </w:pPr>
    </w:p>
    <w:p>
      <w:pPr>
        <w:ind w:left="620" w:right="519"/>
        <w:spacing w:after="0" w:line="276" w:lineRule="auto"/>
        <w:rPr>
          <w:sz w:val="20"/>
          <w:szCs w:val="20"/>
          <w:color w:val="auto"/>
        </w:rPr>
      </w:pPr>
      <w:r>
        <w:rPr>
          <w:rFonts w:ascii="Times New Roman" w:cs="Times New Roman" w:eastAsia="Times New Roman" w:hAnsi="Times New Roman"/>
          <w:sz w:val="17"/>
          <w:szCs w:val="17"/>
          <w:color w:val="auto"/>
        </w:rPr>
        <w:t>We have agreed not to for a period of 30 days without the prior written consent of the Placement Agent,</w:t>
      </w:r>
    </w:p>
    <w:p>
      <w:pPr>
        <w:spacing w:after="0" w:line="1" w:lineRule="exact"/>
        <w:rPr>
          <w:sz w:val="20"/>
          <w:szCs w:val="20"/>
          <w:color w:val="auto"/>
        </w:rPr>
      </w:pPr>
    </w:p>
    <w:p>
      <w:pPr>
        <w:ind w:left="620" w:right="299" w:hanging="10"/>
        <w:spacing w:after="0" w:line="253" w:lineRule="auto"/>
        <w:tabs>
          <w:tab w:leader="none" w:pos="8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enter into any agreement to issue or announce the issuance or proposed issuance of any shares of Common Stock or Common Stock equivalents or (ii) file any registration statement or amendment or supplement thereto, subject to certain exceptions.</w:t>
      </w:r>
    </w:p>
    <w:p>
      <w:pPr>
        <w:spacing w:after="0" w:line="79" w:lineRule="exact"/>
        <w:rPr>
          <w:sz w:val="20"/>
          <w:szCs w:val="20"/>
          <w:color w:val="auto"/>
        </w:rPr>
      </w:pPr>
    </w:p>
    <w:p>
      <w:pPr>
        <w:ind w:left="620" w:right="319"/>
        <w:spacing w:after="0" w:line="255" w:lineRule="auto"/>
        <w:rPr>
          <w:sz w:val="20"/>
          <w:szCs w:val="20"/>
          <w:color w:val="auto"/>
        </w:rPr>
      </w:pPr>
      <w:r>
        <w:rPr>
          <w:rFonts w:ascii="Times New Roman" w:cs="Times New Roman" w:eastAsia="Times New Roman" w:hAnsi="Times New Roman"/>
          <w:sz w:val="18"/>
          <w:szCs w:val="18"/>
          <w:color w:val="auto"/>
        </w:rPr>
        <w:t>Our officers and directors have agreed, subject to certain exceptions, for a period of 30 days from the closing of this offering, not to offer, sell, contract to sell, hypothecate, pledge or otherwise dispose of directly or indirectly, any shares of our Common Stock or any securities convertible into or exercisable or exchangeable for shares of Common Stock.</w:t>
      </w:r>
    </w:p>
    <w:p>
      <w:pPr>
        <w:spacing w:after="0" w:line="108" w:lineRule="exact"/>
        <w:rPr>
          <w:sz w:val="20"/>
          <w:szCs w:val="20"/>
          <w:color w:val="auto"/>
        </w:rPr>
      </w:pPr>
    </w:p>
    <w:p>
      <w:pPr>
        <w:ind w:left="620" w:right="319"/>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read and consider the information set forth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of this prospectus supplement, on page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of the accompanying prospectus and in the documents incorporated by reference herein and therein before you decide to invest in our Common Stock.</w:t>
      </w:r>
    </w:p>
    <w:p>
      <w:pPr>
        <w:spacing w:after="0" w:line="144" w:lineRule="exact"/>
        <w:rPr>
          <w:sz w:val="20"/>
          <w:szCs w:val="20"/>
          <w:color w:val="auto"/>
        </w:rPr>
      </w:pPr>
    </w:p>
    <w:p>
      <w:pPr>
        <w:sectPr>
          <w:pgSz w:w="11900" w:h="16838" w:orient="portrait"/>
          <w:cols w:equalWidth="0" w:num="2">
            <w:col w:w="3620" w:space="400"/>
            <w:col w:w="4999"/>
          </w:cols>
          <w:pgMar w:left="1440" w:top="263" w:right="1440" w:bottom="1440" w:gutter="0" w:footer="0" w:header="0"/>
          <w:type w:val="continuous"/>
        </w:sectPr>
      </w:pPr>
    </w:p>
    <w:p>
      <w:pPr>
        <w:ind w:left="660" w:right="339" w:hanging="350"/>
        <w:spacing w:after="0" w:line="224"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to be outstanding after this offering is based on 67,746,347 shares of Common Stock outstanding as of January 8, 2026 and excludes (i) 7,730,973 shares of Common Stock issuable upon the settlement of any securities outstanding issued pursuant to all grant, awards and payouts of the Company’s equity and other incentive-based plans as of January 8, 2026, (ii) 6,662,150 shares of Common Stock authorized and reserved for future issuance under our equity and other incentive-based plans as of January 8, 2026, (iii) 300,000 shares of Common Stock issuable upon conversion of Series C preferred stock, $0.0001 par value per share (the “Series C Preferred”), assuming a below $5 price for the shares of Common Stock on the conversion date, (iv) 66,288 shares of Common Stock issuable upon conversion of Series B preferred stock, $0.0001 par value per share (the “Series B Preferred”), assuming a below $5 price for the shares of Common Stock on the conversion date, (v) 11,240,688 shares of Common Stock issuable upon exercise of the Company’s public warrants (the “Public Warrants”), (vi) 7,146,000 shares of Common Stock issuable upon exercise of Company’s private placement warrants (the “Private Placement Warrants”), (vii) 1,000,000 shares of Common Stock issuable upon exercise of warrants issued on October 22, 2024 to the WTI Lenders (the “WTI 2024 Warrants”), assuming the WTI 2024 Warrants were exercised as of the date hereof, subject to future adjustments to the number and type of shares pursuant to the terms of the WTI 2024 Warrants, (viii) 1,586,087 shares of Common Stock issuable upon conversion of Convertible Debentures, assuming a conversion price of $3.9425 on the conversion date, (ix) 495,074 shares of Common Stock issuable upon exercise of warrants issued on April 14, 2025 to the WTI Lenders (the “WTI 2025 Warrants”), assuming the WTI 2025 Warrants were exercised as of the date hereof, subject to future adjustments to the number and type of shares pursuant to the terms of the WTI 2025 Warrants, and (x) 1,625,235 shares of Common Stock issuable upon exercise of the Series A warrants issued on October 3, 2025 (the “Series A Warrants”).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 Prior to making a decision about investing in our Common Stock, you should carefully consider the specific factors discussed under the heading “Risk Factors” in our Annual Report on Form 10-K for the year ended December 31, 2024, our Quarterly Reports on Form 10-Q for the quarters ended March 31, 2025, June 30, 2025, and September 30, 2025 and our other filings with the SEC from time to time, which are incorporated by reference in this prospectus supplement and the accompanying prospectus and may be amended, supplemented or superseded from time to time by other reports we file with the SEC in the future. If any of these risks actually occurs, our business, results of operations and financial condition could be materially and adversely affected. In that case, the trading price of our Common Stock could decline, and you could lose all or a part of your investment.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7" w:lineRule="exact"/>
        <w:rPr>
          <w:sz w:val="20"/>
          <w:szCs w:val="20"/>
          <w:color w:val="auto"/>
        </w:rPr>
      </w:pPr>
    </w:p>
    <w:p>
      <w:pPr>
        <w:ind w:left="300" w:right="4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 of additional shares of the Common Stock may result in dilution and a decline in the price of our Common Stock.</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the future, we may issue additional authorized but previously unissued equity securities, resulting in the dilution of the ownership interests of our stockholders. We are currently authorized to issue an aggregate of 250,000,000 shares of Common Stock. As of January 8, 2026, there were 67,746,347 shares of Common Stock outstanding. In addition, as of January 8, 2026, there were 7,730,973 shares of Common Stock issuable upon the settlement of outstanding service-based restricted stock units, performance-based restricted stock units, and stock-settled performance-based awards. We may also issue additional shares of Common Stock or other securities that are convertible into or exercisable for Common Stock in connection with hiring or retaining employees, future acquisitions, future sales of securities for capital raising purposes (including convertible debt), or for other business purposes. Such future issuances may be at prices (or exercise prices) below the offering price of the shares of Common Stock in this offering. The future issuance of any additional shares of Common Stock may result in a significant decline in the trading price of the Common Stock.</w:t>
      </w:r>
    </w:p>
    <w:p>
      <w:pPr>
        <w:spacing w:after="0" w:line="188" w:lineRule="exact"/>
        <w:rPr>
          <w:sz w:val="20"/>
          <w:szCs w:val="20"/>
          <w:color w:val="auto"/>
        </w:rPr>
      </w:pPr>
    </w:p>
    <w:p>
      <w:pPr>
        <w:ind w:left="300" w:right="57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the shares offered by this prospectus supplement, or the perception that such sales may occur, could result in a significant decline in the price of our Common Stock.</w:t>
      </w:r>
    </w:p>
    <w:p>
      <w:pPr>
        <w:spacing w:after="0" w:line="51" w:lineRule="exact"/>
        <w:rPr>
          <w:sz w:val="20"/>
          <w:szCs w:val="20"/>
          <w:color w:val="auto"/>
        </w:rPr>
      </w:pPr>
    </w:p>
    <w:p>
      <w:pPr>
        <w:ind w:left="300" w:right="419" w:firstLine="360"/>
        <w:spacing w:after="0" w:line="252" w:lineRule="auto"/>
        <w:rPr>
          <w:sz w:val="20"/>
          <w:szCs w:val="20"/>
          <w:color w:val="auto"/>
        </w:rPr>
      </w:pPr>
      <w:r>
        <w:rPr>
          <w:rFonts w:ascii="Times New Roman" w:cs="Times New Roman" w:eastAsia="Times New Roman" w:hAnsi="Times New Roman"/>
          <w:sz w:val="18"/>
          <w:szCs w:val="18"/>
          <w:color w:val="auto"/>
        </w:rPr>
        <w:t>If all of the shares offered by this prospectus supplement were issued and outstanding, they would represent a substantial percentage of our public float and of our outstanding shares of Common Stock. As of January 8, 2026, and after giving effect to this offering, the shares offered by this prospectus supplement would represent approximately 14% of the total number of outstanding shares of Common Stock (excluding (i) 7,730,973 shares of Common Stock issuable upon the settlement of any securities outstanding issued pursuant to all grant, awards and payouts of the Company’s equity and other incentive-based plans as of January 8, 2026, (ii) 6,662,150 shares of Common Stock authorized and reserved for future issuance under our equity and other incentive-based plans as of January 8, 2026, (iii) 300,000 shares of Common Stock issuable upon conversion of Series C Preferred, assuming a below $5 price for the shares of Common Stock on the conversion date, (iv) 66,288 shares of Common Stock issuable upon conversion of Series B Preferred, assuming a below $5 price for the shares of Common Stock on the conversion date, (v) 11,240,688 shares of Common Stock issuable upon exercise of the Public Warrants,</w:t>
      </w:r>
    </w:p>
    <w:p>
      <w:pPr>
        <w:spacing w:after="0" w:line="4" w:lineRule="exact"/>
        <w:rPr>
          <w:sz w:val="20"/>
          <w:szCs w:val="20"/>
          <w:color w:val="auto"/>
        </w:rPr>
      </w:pPr>
    </w:p>
    <w:p>
      <w:pPr>
        <w:ind w:left="300" w:right="299" w:hanging="8"/>
        <w:spacing w:after="0" w:line="251" w:lineRule="auto"/>
        <w:tabs>
          <w:tab w:leader="none" w:pos="6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7,146,000 shares of Common Stock issuable upon exercise of Private Placement Warrants, (vii) 1,000,000 shares of Common Stock issuable upon exercise of WTI 2024 Warrants, assuming the WTI 2024 Warrants were exercised as of the date hereof, subject to future adjustments to the number and type of shares pursuant to the terms of the WTI 2024 Warrants, (viii) 1,586,087 shares of Common Stock issuable upon conversion of Convertible Debentures, assuming a conversion price of $3.9425 on the conversion date, (ix) 495,074 shares of Common Stock issuable upon exercise of WTI 2025 Warrants, assuming the WTI 2025 Warrants were exercised as of the date hereof, subject to future adjustments to the number and type of shares pursuant to the terms of the WTI 2025 Warrants, and (x) 1,625,235 shares of Common Stock issuable upon exercise of the Series A Warrants). Accordingly, the sale of the shares offered by this prospectus supplement, or the perception that such sales may occur, could result in a significant decline in the public trading price of our Common Stock.</w:t>
      </w:r>
    </w:p>
    <w:p>
      <w:pPr>
        <w:spacing w:after="0" w:line="189" w:lineRule="exact"/>
        <w:rPr>
          <w:sz w:val="20"/>
          <w:szCs w:val="20"/>
          <w:color w:val="auto"/>
        </w:rPr>
      </w:pPr>
    </w:p>
    <w:p>
      <w:pPr>
        <w:ind w:left="300" w:right="7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acquire shares of our Common Stock in this offering, you may incur immediate and substantial dilution in net tangible book value of your shares.</w:t>
      </w:r>
    </w:p>
    <w:p>
      <w:pPr>
        <w:spacing w:after="0" w:line="51"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Because the price per share of our Common Stock being offered by this prospectus supplement may be higher than the book value per share of our Common Stock, investors in this offering may suffer immediate and substantial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312" w:lineRule="auto"/>
        <w:rPr>
          <w:sz w:val="20"/>
          <w:szCs w:val="20"/>
          <w:color w:val="auto"/>
        </w:rPr>
      </w:pPr>
      <w:r>
        <w:rPr>
          <w:rFonts w:ascii="Times New Roman" w:cs="Times New Roman" w:eastAsia="Times New Roman" w:hAnsi="Times New Roman"/>
          <w:sz w:val="17"/>
          <w:szCs w:val="17"/>
          <w:color w:val="auto"/>
        </w:rPr>
        <w:t>dilution in the net tangible book value of the shares of Common Stock purchased in this offering. See the section entitled “</w:t>
      </w:r>
      <w:r>
        <w:rPr>
          <w:rFonts w:ascii="Times New Roman" w:cs="Times New Roman" w:eastAsia="Times New Roman" w:hAnsi="Times New Roman"/>
          <w:sz w:val="17"/>
          <w:szCs w:val="17"/>
          <w:i w:val="1"/>
          <w:iCs w:val="1"/>
          <w:color w:val="auto"/>
        </w:rPr>
        <w:t>Dilution</w:t>
      </w:r>
      <w:r>
        <w:rPr>
          <w:rFonts w:ascii="Times New Roman" w:cs="Times New Roman" w:eastAsia="Times New Roman" w:hAnsi="Times New Roman"/>
          <w:sz w:val="17"/>
          <w:szCs w:val="17"/>
          <w:color w:val="auto"/>
        </w:rPr>
        <w:t>” below for a more detailed discussion of the dilution investors may incur in this offering.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intend to use the net proceeds from this offering to redeem the outstanding Convertible Debentures and for working capital and general corporate purposes, which may include the ability of the Company to exercise its right to receive equity in Accelsius in lieu of cash for Accelsius’ repayment of approximately $8 million principal aggregate amount of intercompany convertible debt and interest thereon. The failure by our management to apply these funds effectively could harm our business. We may invest our cash and cash equivalents in a manner that does not produce income or that loses value. If we do not invest or apply the net proceeds from this offering in ways that enhance shareholder value, we may fail to achieve expected financial results, which could cause our share price to decline.</w:t>
      </w:r>
    </w:p>
    <w:p>
      <w:pPr>
        <w:spacing w:after="0" w:line="183" w:lineRule="exact"/>
        <w:rPr>
          <w:sz w:val="20"/>
          <w:szCs w:val="20"/>
          <w:color w:val="auto"/>
        </w:rPr>
      </w:pPr>
    </w:p>
    <w:p>
      <w:pPr>
        <w:ind w:left="300" w:right="5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launch a new operating company or engage in future acquisitions, this may increase our capital requirements, dilute our stockholders, cause us to incur debt or assume contingent liabilities and subject us to other risks.</w:t>
      </w:r>
    </w:p>
    <w:p>
      <w:pPr>
        <w:spacing w:after="0" w:line="67"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From time to time, we may launch new operating companies or evaluate various acquisitions. Launching a new operating company or consummating an acquisition may entail numerous risks, including increased operating expenses and cash requirements and the assumption of additional indebtedness or contingent liabilities. Additionally, if we undertake acquisitions, we may issue dilutive securities, assume or incur debt obligations, incur large one-time expenses and acquire intangible assets that could result in significant future amortization expenses.</w:t>
      </w:r>
    </w:p>
    <w:p>
      <w:pPr>
        <w:spacing w:after="0" w:line="179" w:lineRule="exact"/>
        <w:rPr>
          <w:sz w:val="20"/>
          <w:szCs w:val="20"/>
          <w:color w:val="auto"/>
        </w:rPr>
      </w:pPr>
    </w:p>
    <w:p>
      <w:pPr>
        <w:ind w:left="300" w:right="4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impair our ability to raise capital.</w:t>
      </w:r>
    </w:p>
    <w:p>
      <w:pPr>
        <w:spacing w:after="0" w:line="5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markets could impair our ability to raise capital through the sale of additional equity securities or securities convertible into equity shares.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may fluctuate substantially. For example, from January 1, 2025 through December 31, 2025, the closing price of our Common Stock fluctuated between $2.36 and $13.90. The price of our Common Stock that will prevail in the market after this offering may be higher or lower than the price that you have paid, depending on many factors, some of which are beyond our control and may not be related to our operating performance. Stock market volatility may also adversely affect the trading price of our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pay dividends on our shares of Common Stock.</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not paid dividends on our shares of Common Stock to date, and we may not be in a position to pay dividends for the foreseeable future. Our ability to pay dividends with respect to the shares will depend on our ability to successfully generate earnings from operations. Further, our initial earnings, if any, will likely be retained to finance our operations. Any future dividends on the shares will depend upon our earnings, our then-existing financial requirements, and other factors, and will be at the discretion of our Board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We estimate the net proceeds from the sale of shares of our Common Stock in this offering to be approximately $36.7 million after deducting the Placement Agent’s commissions and estimated offering expenses payable by us.</w:t>
      </w:r>
    </w:p>
    <w:p>
      <w:pPr>
        <w:spacing w:after="0" w:line="3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We expect to use the net proceeds from this offering to redeem the outstanding Convertible Debentures and for working capital and general corporate purposes, which may include the ability of the Company to exercise its right to receive equity in Accelsius in lieu of cash for Accelsuis’ repayment of approximately $8 million principal amount of intercompany convertible debt and interest thereon.</w:t>
      </w:r>
    </w:p>
    <w:p>
      <w:pPr>
        <w:spacing w:after="0" w:line="7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supplement, there was approximately $6 million (in the aggregate) outstanding under the Convertible Debentures. The Convertible Debentures bear interest at an annual rate of 5.0%, unless an event of default occurs and remains uncured, upon which the Convertible Debentures will bear interest at an annual rate of 18.0%. The Convertible Debentures will mature on September 15, 2026. Pursuant to Section 4(m)(iv) of the September SPA, the Company shall not, without the prior written consent of Yorkville, enter into a transaction to raise capital wherein it issues equity capital stock and receives net proceeds in excess of $20 million wherein less than 25% of the net proceeds from such offering are reserved for payment of the obligations under the Convertible Debentures, which payment shall be made promptly upon receipt of the net proceeds of such offering (unless payment is waived by Yorkville). Because this offering will result in net proceeds in excess of $20 million, we will reserve approximately $6 million for repayment of the obligations under the Convertible Debentures, which is the lesser of (i) 25% of the proceeds from this offering and (ii) the remaining outstanding aggregate principal amount of the Convertible Debentures (approximately $6 million) plus any additional amounts needed to cover all accrued and unpaid interest thereunder as of the date of such payment. We used the net proceeds from the Convertible Debentures for general corporate purposes.</w:t>
      </w:r>
    </w:p>
    <w:p>
      <w:pPr>
        <w:spacing w:after="0" w:line="8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Pending the application of the net proceeds as described above, we may use the net proceeds from this offering for general corporate purposes, including to invest in liquid assets that may include, but would not be limited to, short-term obligations, money market funds and guaranteed obligations of the U.S. government.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you acquire shares of our Common Stock in this offering, your ownership interest will be diluted to the extent of the difference between the public offering price per share of our Common Stock and the pro forma net tangible book value per share of our Common Stock after this offering. Our historical net tangible book value of Common Stock as of September 30, 2025 was $(82.8) million, or $(1.47) per share of Common Stock. Historical net tangible book value per share represents the amount of our total tangible assets less total liabilities, divided by the total number of shares of Common Stock outstanding.</w:t>
      </w:r>
    </w:p>
    <w:p>
      <w:pPr>
        <w:spacing w:after="0" w:line="79"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After giving effect to conversion of approximately $26.1 million aggregate principal amount of the Convertible Debentures by Yorkville from September 30, 2025 to the date hereof, our pro forma net tangible book value as of September 30, 2025 would have been approximately $(56.7) million, or $(1.01) per share of Common Stock.</w:t>
      </w:r>
    </w:p>
    <w:p>
      <w:pPr>
        <w:spacing w:after="0" w:line="5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Dilution per share represents the difference between the public offering price per share of our Common Stock and the pro forma as adjusted net tangible book value per share of our Common Stock included in this offering after giving further effect to this offering. After giving further effect to the sale of all of the shares of our Common Stock offered in this offering at a price of $3.50 per share, and after deducting the Placement Agent’s commissions and our offering expenses in connection with this offering, our pro forma as adjusted net tangible book value as of September 30, 2025 would have been approximately $(20.1) million, or approximately $(0.30) per share of Common Stock. This change represents an immediate increase in the net tangible book value of $0.71 per share of Common Stock to our existing stockholders and an immediate and substantial dilution in net tangible book value of $3.80 per share of Common Stock to new investors. The following table illustrates this per share dilution:</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6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​3.50</w:t>
            </w:r>
          </w:p>
        </w:tc>
      </w:tr>
      <w:tr>
        <w:trPr>
          <w:trHeight w:val="23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2025</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$(1.47)</w:t>
            </w:r>
          </w:p>
        </w:tc>
      </w:tr>
      <w:tr>
        <w:trPr>
          <w:trHeight w:val="215"/>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tangible book value per share after giving effect to the pro forma adjustment</w:t>
            </w:r>
          </w:p>
        </w:tc>
        <w:tc>
          <w:tcPr>
            <w:tcW w:w="1640" w:type="dxa"/>
            <w:vAlign w:val="bottom"/>
            <w:shd w:val="clear" w:color="auto" w:fill="CCEEFF"/>
          </w:tcPr>
          <w:p>
            <w:pPr>
              <w:spacing w:after="0"/>
              <w:rPr>
                <w:sz w:val="18"/>
                <w:szCs w:val="18"/>
                <w:color w:val="auto"/>
              </w:rPr>
            </w:pPr>
          </w:p>
        </w:tc>
      </w:tr>
      <w:tr>
        <w:trPr>
          <w:trHeight w:val="248"/>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described above</w:t>
            </w: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$​(1.01)</w:t>
            </w:r>
          </w:p>
        </w:tc>
      </w:tr>
      <w:tr>
        <w:trPr>
          <w:trHeight w:val="23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after this offering</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​0.71</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2025 after giving</w:t>
            </w:r>
          </w:p>
        </w:tc>
        <w:tc>
          <w:tcPr>
            <w:tcW w:w="1640" w:type="dxa"/>
            <w:vAlign w:val="bottom"/>
            <w:shd w:val="clear" w:color="auto" w:fill="CCEEFF"/>
          </w:tcPr>
          <w:p>
            <w:pPr>
              <w:spacing w:after="0"/>
              <w:rPr>
                <w:sz w:val="18"/>
                <w:szCs w:val="18"/>
                <w:color w:val="auto"/>
              </w:rPr>
            </w:pPr>
          </w:p>
        </w:tc>
      </w:tr>
      <w:tr>
        <w:trPr>
          <w:trHeight w:val="248"/>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to this offering</w:t>
            </w:r>
          </w:p>
        </w:tc>
        <w:tc>
          <w:tcPr>
            <w:tcW w:w="16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8"/>
              </w:rPr>
              <w:t>$(0.30)</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​3.80</w:t>
            </w:r>
          </w:p>
        </w:tc>
      </w:tr>
    </w:tbl>
    <w:p>
      <w:pPr>
        <w:spacing w:after="0" w:line="13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above information is based on 56,220,158 shares of Common Stock outstanding as of September 30, 2025 and excludes (i) 7,261,785 shares of Common Stock issuable upon the settlement of any securities outstanding issued pursuant to all grant, awards and payouts of the Company’s equity and other incentive-based plans as of September 30, 2025, (ii) 4,579,834 shares of Common Stock authorized and reserved for future issuance under our equity and other incentive-based plans as of September 30, 2025, (iii) 300,000 shares of Common Stock issuable upon conversion of Series C Preferred, assuming a below $5 price for the shares of Common Stock on the conversion date, (iv) 66,288 shares of Common Stock issuable upon conversion of Series B Preferred, assuming a below $5 price for the shares of Common Stock on the conversion date, (v) 11,240,688 shares of Common Stock issuable upon exercise of the Public Warrants, (vi) 7,146,000 shares of Common Stock issuable upon exercise of Private Placement Warrants, (vii) 1,000,000 shares of Common Stock issuable upon exercise of WTI 2024 Warrants, assuming the WTI 2024 Warrants were exercised as of the date hereof, subject to future adjustments to the number and type of shares pursuant to the terms of the WTI 2024 Warrants, (viii) 1,586,087 shares of Common Stock issuable upon conversion of Convertible Debentures, (ix) 495,074 shares of Common Stock issuable upon exercise of WTI 2025 Warrants, assuming the WTI 2025 Warrants were exercised as of the date hereof, subject to future adjustments to the number and type of shares pursuant to the terms of the WTI 2025 Warrants, and (x) 1,625,235 shares of Common Stock issuable upon exercise of the Series A Warrants.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FOR NON-U.S. HOLDERS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The following is a summary of certain U.S. federal income tax considerations related to the ownership and disposition of our Common Stock by a non-U.S. holder, as defined below, that acquires our Common Stock pursuant to this offering. This discussion assumes that a non-U.S. holder will hold our Common Stock issued pursuant to this offering as a capital asset within the meaning of Section 1221 of the Internal Revenue Code of 1986, as amended (the “Code”) (generally, for investment purposes). This summary does not address all aspects of U.S. federal income taxation that may be relevant to a particular investor in light of the investor’s individual circumstances and does not purport to be a complete analysis of all the potential tax considerations relating thereto. In addition, this discussion does not address (i) other U.S. federal tax laws, such as estate and gift tax laws, (ii) state, local or non-U.S. tax consequences, (iii) the special tax rules that may apply to certain investors, including, without limitation, banks, insurance companies, financial institutions, controlled foreign corporations, passive foreign investment companies, corporations that accumulate earnings to avoid U.S. federal income tax, broker-dealers, traders in securities, grantor trusts, personal holding companies, taxpayers who have elected mark-to-market accounting, tax-exempt entities, regulated investment companies, real estate investment trusts, persons deemed to sell our Common Stock under the constructive sale provisions of the Code, persons who hold or receive our Common Stock pursuant to the exercise of any employee stock option or otherwise as compensation, entities or arrangements classified as partnerships for U.S. federal income tax purposes or other passthrough entities (or an investor in such entities or arrangements), pension plans, “qualified foreign pension funds” as defined in Section 897(l)(2) of the Code and entities all of the interests of which are held by qualified foreign pension funds or U.S. expatriates and former long-term residents of the United States, (iv) the special tax rules that may apply to an investor that acquires, holds or disposes of our Common Stock as part of a straddle, hedge, constructive sale, conversion or other integrated or risk reduction transaction or (v) the impact, if any, of the alternative minimum tax or the Medicare tax imposed on net investment income.</w:t>
      </w:r>
    </w:p>
    <w:p>
      <w:pPr>
        <w:spacing w:after="0" w:line="77" w:lineRule="exact"/>
        <w:rPr>
          <w:sz w:val="20"/>
          <w:szCs w:val="20"/>
          <w:color w:val="auto"/>
        </w:rPr>
      </w:pPr>
    </w:p>
    <w:p>
      <w:pPr>
        <w:ind w:left="300" w:right="559" w:firstLine="360"/>
        <w:spacing w:after="0" w:line="255" w:lineRule="auto"/>
        <w:rPr>
          <w:sz w:val="20"/>
          <w:szCs w:val="20"/>
          <w:color w:val="auto"/>
        </w:rPr>
      </w:pPr>
      <w:r>
        <w:rPr>
          <w:rFonts w:ascii="Times New Roman" w:cs="Times New Roman" w:eastAsia="Times New Roman" w:hAnsi="Times New Roman"/>
          <w:sz w:val="18"/>
          <w:szCs w:val="18"/>
          <w:color w:val="auto"/>
        </w:rPr>
        <w:t>This summary is based on current provisions of the Code, applicable Treasury regulations promulgated thereunder, judicial opinions, and published rulings of the Internal Revenue Service (the “IRS”) all as in effect on the date of this prospectus supplement and all of which are subject to differing interpretations or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discussion, the term “U.S. person” means a person that is, for U.S. federal income tax purposes,</w:t>
      </w:r>
    </w:p>
    <w:p>
      <w:pPr>
        <w:spacing w:after="0" w:line="27" w:lineRule="exact"/>
        <w:rPr>
          <w:sz w:val="20"/>
          <w:szCs w:val="20"/>
          <w:color w:val="auto"/>
        </w:rPr>
      </w:pPr>
    </w:p>
    <w:p>
      <w:pPr>
        <w:ind w:left="300" w:right="379" w:hanging="8"/>
        <w:spacing w:after="0" w:line="250" w:lineRule="auto"/>
        <w:tabs>
          <w:tab w:leader="none" w:pos="5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 (ii) a corporation created or organized in the United States or under the laws of the United States or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w:t>
      </w:r>
    </w:p>
    <w:p>
      <w:pPr>
        <w:spacing w:after="0" w:line="1" w:lineRule="exact"/>
        <w:rPr>
          <w:rFonts w:ascii="Times New Roman" w:cs="Times New Roman" w:eastAsia="Times New Roman" w:hAnsi="Times New Roman"/>
          <w:sz w:val="18"/>
          <w:szCs w:val="18"/>
          <w:color w:val="auto"/>
        </w:rPr>
      </w:pPr>
    </w:p>
    <w:p>
      <w:pPr>
        <w:ind w:left="30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have the authority to control all substantial decisions of the trust, or (B) it has in effect a valid election under applicable Treasury regulations to be treated as a U.S. person. As used in this summary, the term “non-U.S. holder” means a beneficial owner of our Common Stock that is, for U.S. federal income tax purposes, an individual, corporation, estate or trust that is not a U.S. person.</w:t>
      </w:r>
    </w:p>
    <w:p>
      <w:pPr>
        <w:spacing w:after="0" w:line="8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tax treatment of a partnership (or any other entity or arrangement treated as a partnership for U.S. federal income tax purposes) and each partner thereof will generally depend upon the status and activities of the partnership and such partner. A holder that is treated as a partnership for U.S. federal income tax purposes or a partner in such partnership should consult its own tax advisor regarding the U.S. federal income tax consequences applicable to it and its partners of the ownership and disposition of our Common Stock.</w:t>
      </w:r>
    </w:p>
    <w:p>
      <w:pPr>
        <w:spacing w:after="0" w:line="71"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THIS DISCUSSION IS ONLY A SUMMARY OF CERTAIN U.S. FEDERAL INCOME TAX CONSIDERATIONS RELATED TO THE OWNERSHIP AND DISPOSITION OF OUR COMMON STOCK BY NON-U.S. HOLDERS. IT IS NOT TAX ADVICE. EACH PROSPECTIVE INVESTOR SHOULD CONSULT ITS OWN TAX ADVISOR WITH RESPECT TO THE PARTICULAR TAX CONSEQUENCES OF THE OWNERSHIP AND DISPOSITION OF OUR COMMON STOCK, INCLUDING THE APPLICABILITY AND EFFECT OF ANY STATE, LOCAL AND NON-U.S. TAX LAWS, AS WELL AS U.S. FEDERAL ESTATE AND GIFT TAX LAWS AND ANY APPLICABLE TAX TREATY.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we pay cash or distribute property to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non-U.S. holder’s adjusted tax basis in our Common Stock. Any remaining excess will be treated as gain from the sale or exchange of the Common Stock and will be treated as described under </w:t>
      </w:r>
      <w:r>
        <w:rPr>
          <w:rFonts w:ascii="Times New Roman" w:cs="Times New Roman" w:eastAsia="Times New Roman" w:hAnsi="Times New Roman"/>
          <w:sz w:val="18"/>
          <w:szCs w:val="18"/>
          <w:i w:val="1"/>
          <w:iCs w:val="1"/>
          <w:color w:val="auto"/>
        </w:rPr>
        <w:t>“— Gain on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Common Stock</w:t>
      </w:r>
      <w:r>
        <w:rPr>
          <w:rFonts w:ascii="Times New Roman" w:cs="Times New Roman" w:eastAsia="Times New Roman" w:hAnsi="Times New Roman"/>
          <w:sz w:val="18"/>
          <w:szCs w:val="18"/>
          <w:color w:val="auto"/>
        </w:rPr>
        <w:t>” below.</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Dividends paid to a non-U.S. holder that are not effectively connected with the non-U.S. holder’s conduct of a trade or business in the United States generally will be subject to withholding of U.S. federal income tax at a rate of 30% of the gross amount of the dividend or such lower rate as may be specified by an applicable income tax treaty. A non-U.S. holder that wishes to claim the benefit of an applicable tax treaty withholding rate generally will be required to (i) duly complete and execute an IRS Form W-8BEN or an IRS Form W-8BEN-E (or any successor form of the foregoing) and certify under penalties of perjury that such holder is not a U.S. person and is eligible for the benefits of the applicable tax treaty or (ii) if our Common Stock is held through certain foreign intermediaries, satisfy the relevant certification requirements of applicable Treasury regulations. These forms may need to be periodically updated.</w:t>
      </w:r>
    </w:p>
    <w:p>
      <w:pPr>
        <w:spacing w:after="0" w:line="80"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non-U.S. holder eligible for a reduced rate of withholding of U.S. federal income tax pursuant to an income tax treaty may be able to obtain a refund of any excess amounts withheld by timely filing an appropriate claim for refund with the IRS. Non-U.S. holders should consult their own tax advisors regarding their entitlement to benefits under an applicable income tax treaty and the manner of claiming the benefits of such treaty (including, without limitation, the need to obtain a U.S. taxpayer identification number).</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in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(and, if required by an applicable income tax treaty, attributable to a permanent establishment or fixed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base maintained by the non-U.S. holder in the United States) generally are subject to U.S. federal income tax on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 income basis at the U.S. federal income tax rates generally applicable to a U.S. person and are not subject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withholding of U.S. federal income tax, provided that the non-U.S. holder establishes an exemption from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withholding by complying with certain certification and disclosure requirements (generally by providing a duly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completed and executed IRS Form W-8ECI (or any successor form thereof)). Any such effectively connected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dividends (and, if required, dividends attributable to a U.S. permanent establishment or fixed base) received by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non-U.S. holder that is treated as a foreign corporation for U.S. federal income tax purposes may be subject to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additional branch profits tax at a 30% rate, or such lower rate as may be specified by an applicable income tax treaty.</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Common Stock</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Subject to the summary below regarding backup withholding and FATCA, any gain recognized by a non-U.S. holder on a sale or other taxable disposition of our Common Stock generally will not be subject to U.S. federal income tax, unless:</w:t>
      </w:r>
    </w:p>
    <w:p>
      <w:pPr>
        <w:spacing w:after="0" w:line="68" w:lineRule="exact"/>
        <w:rPr>
          <w:sz w:val="20"/>
          <w:szCs w:val="20"/>
          <w:color w:val="auto"/>
        </w:rPr>
      </w:pPr>
    </w:p>
    <w:p>
      <w:pPr>
        <w:jc w:val="both"/>
        <w:ind w:left="1000" w:right="75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of the non-U.S. holder in the United States (and, if required by an applicable income tax treaty, is attributable to a U.S. permanent establishment or fixed base of the non-U.S. holder);</w:t>
      </w:r>
    </w:p>
    <w:p>
      <w:pPr>
        <w:spacing w:after="0" w:line="67"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a period or periods aggregating 183 days or more in the taxable year of that disposition, and certain other conditions are met; or</w:t>
      </w:r>
    </w:p>
    <w:p>
      <w:pPr>
        <w:spacing w:after="0" w:line="31" w:lineRule="exact"/>
        <w:rPr>
          <w:rFonts w:ascii="Times New Roman" w:cs="Times New Roman" w:eastAsia="Times New Roman" w:hAnsi="Times New Roman"/>
          <w:sz w:val="17"/>
          <w:szCs w:val="17"/>
          <w:color w:val="auto"/>
        </w:rPr>
      </w:pPr>
    </w:p>
    <w:p>
      <w:pPr>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or a USRPHC, for U.S. federal income tax purposes at any time during the shorter of the five-year period ending on the date of disposition or the period that the non-U.S. holder held the Common Stock.</w:t>
      </w:r>
    </w:p>
    <w:p>
      <w:pPr>
        <w:spacing w:after="0" w:line="68"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Any gain recognized by a non-U.S. holder that is described in clause (i) of the preceding paragraph generally will be subject to U.S. federal income tax at the income tax rates generally applicable to a U.S. person, and such non-U.S. holder will be required to file a U.S. federal income tax return. Any gain of a non-U.S. holder that is treated as a foreign corporation for U.S. federal income tax purposes that is described in clause (i) above may also be subject to an additional branch profits tax at a 30% rate, or such lower rate as may be specified by an applicable income tax treaty. An individual non-U.S. holder that is described in clause (ii) of such paragraph generally will be subject to a flat 30% tax (or a lower applicable tax treaty rate) on the U.S.-source capital gain derived from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disposition, which may be offset by U.S.-source capital losses validly claimed during the taxable year of the disposition. With respect to clause (iii) of the preceding paragraph, a U.S. corporation generally is a USRPHC if the fair market value of its U.S. real property interests equals or exceeds 50% of the sum of the fair market value of its worldwide real property interests plus its other assets used or held for use in a trade or business. We believe that we are not currently and do not anticipate becoming a USRPHC. However, because the determination of whether we are a USRPHC depends on the fair market value of our U.S. real property interests relative to the fair market value of our non-U.S. real property interests and our other business assets, there can be no assurance that we are not currently and will not become a USRPHC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has held at all times during the shorter of the five-year period ending on the date of disposition or the non-U.S. holder’s holding period, actually or constructively, 5% or less of our Common Stock. If a non-U.S. holder holds or held (at any time during the relevant period) more than 5% of our Common Stock and if we were a USRPHC at any time during the relevant period, such non-U.S. holder generally will be subject to U.S. federal income tax on the net gain derived from a taxable disposition at the income tax rates generally applicable to a U.S. person. Non-U.S. holders are urged to consult their own tax advisors regarding the potential applicability of these rules, as well as any income tax treaty in their particular circumstances.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300" w:right="359" w:firstLine="360"/>
        <w:spacing w:after="0" w:line="273" w:lineRule="auto"/>
        <w:rPr>
          <w:sz w:val="20"/>
          <w:szCs w:val="20"/>
          <w:color w:val="auto"/>
        </w:rPr>
      </w:pPr>
      <w:r>
        <w:rPr>
          <w:rFonts w:ascii="Times New Roman" w:cs="Times New Roman" w:eastAsia="Times New Roman" w:hAnsi="Times New Roman"/>
          <w:sz w:val="17"/>
          <w:szCs w:val="17"/>
          <w:color w:val="auto"/>
        </w:rPr>
        <w:t>We generally must report annually to the IRS and to each non-U.S. holder of our Common Stock the amount of dividends paid to such holder on our Common Stock, the tax, if any, withheld with respect to those dividends and such holder’s name and address. Copies of the information returns reporting those dividends and withholding taxes may also be made available to the tax authorities in the country in which the non-U.S. holder is a resident under the provisions of an applicable income tax treaty or agreement. Information reporting also is generally required with respect to the proceeds from sales and other dispositions of our Common Stock to or through the U.S. office (and in certain cases, the foreign office) of a broker, unless the non-U.S. holder establishes that it is not a U.S. person.</w:t>
      </w:r>
    </w:p>
    <w:p>
      <w:pPr>
        <w:spacing w:after="0" w:line="63"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Under some circumstances, Treasury regulations require backup withholding of U.S. federal income tax, currently at a rate of 24%, on reportable payments with respect to our Common Stock. A non-U.S. holder generally may eliminate the requirement for backup withholding by providing certification of its foreign status, under penalties of perjury, on a duly completed and executed IRS Form W-8BEN, IRS Form W-8BEN-E or other applicable IRS Form W-8 (or any successor form of the foregoing), or by otherwise establishing an exemption. Notwithstanding the foregoing, backup withholding and information reporting may apply if either we or our paying agent has actual knowledge, or reason to know, that a holder is a U.S. person. Backup withholding is not an additional tax. Rather, the amount of any backup withholding will be allowed as a credit against a non-U.S. holder’s U.S. federal income tax liability, if any, and may entitle such non-U.S. holder to a refund, provided that certain required information is timely furnished to the IRS. Non-U.S. holders are urged to consult their own tax advisors regarding the application of backup withholding and the availability of and procedure for obtaining an exemption from backup withholding in their particular circumstances.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Foreign Account Tax Compliance Act provisions of the Hiring Incentives to Restore Employment Act and Treasury regulations thereunder, commonly referred to as “FATCA,” generally impose a U.S. federal withholding tax of 30% on certain types of payments, including payments of U.S.-source dividends and gross proceeds from the sale or other disposition of certain securities producing such U.S.-source dividends, including our Common Stock, made to (i) “foreign financial institutions” (as defined therein) unless they agree to collect and disclose to the IRS information regarding their direct and indirect U.S. account holders, and (ii) certain non-financial foreign entities unless they certify certain information regarding their direct and indirect U.S. owners. Additionally, in order to be treated as FATCA compliant, a non-U.S. holder must provide certain documentation (usually an IRS Form W-8BEN or W-8BEN-E) containing information about its identity, its FATCA status, and if required, its direct and indirect United States owners. Proposed Treasury regulations have been issued that would eliminate withholding on payments of gross proceeds (but not on payments of dividends). Pursuant to the preamble to the proposed Treasury regulations, we and any withholding agent may (but are not required to) rely on this proposed change to FATCA withholding until the final regulations are issued or the proposed regulations are withdrawn. Foreign financial institutions located in jurisdictions that have an intergovernmental agreement with the United States governing FATCA may be subject to different rules.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will not pay any additional amounts to non-U.S. holders in respect of any amounts withheld, including pursuant to FATCA. Under certain circumstances, a non-U.S. holder might be eligible for refunds or credits of such taxes. Non-U.S. holders are urged to consult with their own tax advisors regarding the effect, if any, of the FATCA provisions to them based on their particular circumstances.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We are offering up to 11,428,572 shares of Common Stock for gross proceeds of up to $40 million before deduction of placement agent fees and offering expenses, in a best efforts offering.</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Pursuant to a placement agency agreement, dated as of January 12, 2026, we have engaged Titan Partners Group LLC, a division of American Capital Partners, LLC, to act as our exclusive Placement Agent (“Titan” or the “Placement Agent”) to solicit offers to purchase the securities offered by this prospectus supplement. The Placement Agent is not purchasing or selling any securities, nor is it required to arrange for the purchase and sale of any specific number or dollar amount of securities, other than to use its “reasonable best efforts” to arrange for the sale of the securities by us. There is no minimum amount of proceeds that is a condition to closing of this offering. Investors shall rely solely on this prospectus supplement in connection with the purchase of our securities in this offering. The Placement Agent may engage one or more subagents or selected dealers in connection with this offering.</w:t>
      </w:r>
    </w:p>
    <w:p>
      <w:pPr>
        <w:spacing w:after="0" w:line="80"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placement agency agreement provides that the Placement Agent’s obligations are subject to conditions contained in the placement agency agreement.</w:t>
      </w:r>
    </w:p>
    <w:p>
      <w:pPr>
        <w:spacing w:after="0" w:line="54"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We will deliver the securities being issued to the investors upon receipt of investor funds for the purchase of the securities offered pursuant to this prospectus supplement. Delivery of the shares offered hereby is expected on or about January 14, 2026 against payment in immediately available funds and subject to customary closing conditions.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Placement Agent Fees, Commissions and Expenses</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Upon the closing of this offering, we will pay the Placement Agent a cash transaction fee equal to 7.0% of the aggregate gross cash proceeds to us from the sale of the securities in the offering. Pursuant to the placement agency agreement, we will agree to reimburse the Placement Agent for certain accountable expenses of the Placement Agent payable by us, in an aggregate amount not to exceed $100,000. The placement agency agreement, however, will provide that in the event this offering is terminated, the Placement Agent will only be entitled to the reimbursement of accountable expenses actually incurred in accordance with Financial Industry Regulatory Authority, Inc. (“FINRA”) Rule 5110(g)(5)(A).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offering price, placement agent fees, before expenses, to us.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100" w:type="dxa"/>
            <w:vAlign w:val="bottom"/>
          </w:tcPr>
          <w:p>
            <w:pPr>
              <w:spacing w:after="0"/>
              <w:rPr>
                <w:sz w:val="13"/>
                <w:szCs w:val="13"/>
                <w:color w:val="auto"/>
              </w:rPr>
            </w:pP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$40,000,002.00</w:t>
            </w:r>
          </w:p>
        </w:tc>
        <w:tc>
          <w:tcPr>
            <w:tcW w:w="0" w:type="dxa"/>
            <w:vAlign w:val="bottom"/>
          </w:tcPr>
          <w:p>
            <w:pPr>
              <w:spacing w:after="0"/>
              <w:rPr>
                <w:sz w:val="1"/>
                <w:szCs w:val="1"/>
                <w:color w:val="auto"/>
              </w:rPr>
            </w:pPr>
          </w:p>
        </w:tc>
      </w:tr>
      <w:tr>
        <w:trPr>
          <w:trHeight w:val="23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 (7.0%)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$0.245</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$ 2,800,000​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$3.255</w:t>
            </w:r>
          </w:p>
        </w:tc>
        <w:tc>
          <w:tcPr>
            <w:tcW w:w="1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$37,200,001.86</w:t>
            </w:r>
          </w:p>
        </w:tc>
        <w:tc>
          <w:tcPr>
            <w:tcW w:w="0" w:type="dxa"/>
            <w:vAlign w:val="bottom"/>
          </w:tcPr>
          <w:p>
            <w:pPr>
              <w:spacing w:after="0"/>
              <w:rPr>
                <w:sz w:val="1"/>
                <w:szCs w:val="1"/>
                <w:color w:val="auto"/>
              </w:rPr>
            </w:pPr>
          </w:p>
        </w:tc>
      </w:tr>
      <w:tr>
        <w:trPr>
          <w:trHeight w:val="54"/>
        </w:trPr>
        <w:tc>
          <w:tcPr>
            <w:tcW w:w="65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We estimate that the total expenses of the offering, including registration, filing and listing fees, printing fees and legal and accounting expenses, but excluding the placement agent fees and expenses, will be approximately $450,000, all of which are payable by us. This figure does not include, among other things, the Placement Agent’s fees and expenses (including the legal fees, costs and expenses for the Placement Agent’s legal counsel) up to $100,000.</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with investors, we have agreed for a period of 30 days without the prior written consent of the Placement Agent, not to (i) issue, enter into any agreement to issue or announce the issuance or proposed issuance of any shares of Common Stock or Common Stock equivalents or (ii) file any registration statement or amendment or supplement thereto, subject to certain exceptions.</w:t>
      </w:r>
    </w:p>
    <w:p>
      <w:pPr>
        <w:spacing w:after="0" w:line="72"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executive officers and directors, have agreed to a 30-day “lock-up” with respect to shares of our Common Stock and other of our securities such parties beneficially own, including securities that are convertible into shares of our Common Stock and securities that are exchangeable or exercisable for shares of our Common Stock, subject to certain exceptions. This means that, subject to certain exceptions, for a period of 30 days following the date of the placement agency agreement, such persons may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such persons or any of their affiliates), directly or indirectly, or establish or increase a put equivalent position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liquidate or decrease a call equivalent position within the meaning of Section 16 of the Exchange Act, with respect to, any such securities without the prior written consent of Titan.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jc w:val="center"/>
        <w:ind w:left="300" w:right="359"/>
        <w:spacing w:after="0" w:line="312" w:lineRule="auto"/>
        <w:rPr>
          <w:sz w:val="20"/>
          <w:szCs w:val="20"/>
          <w:color w:val="auto"/>
        </w:rPr>
      </w:pPr>
      <w:r>
        <w:rPr>
          <w:rFonts w:ascii="Times New Roman" w:cs="Times New Roman" w:eastAsia="Times New Roman" w:hAnsi="Times New Roman"/>
          <w:sz w:val="17"/>
          <w:szCs w:val="17"/>
          <w:color w:val="auto"/>
        </w:rPr>
        <w:t>We have agreed to indemnify the Placement Agent against certain liabilities, including liabilities under the Securities Act, and to contribute to payments that the Placement Agent may be required to make for these liabilities.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actual offering price of the securities we are offering was negotiated between us, the Placement Agent and the investors in the offering based on the trading of our shares of Common Stock prior to the offering, among other things. Other factors considered in determining the offering price of the securities we are offering include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websites or through other online services maintained by the Placement Agent or by its affiliates. In those cases, prospective investors may view offering terms online and prospective investors may be allowed to place orders online. Other than this prospectus supplement and the accompanying prospectus in electronic format, the information on the Placement Agent’s website or our website and any information contained in any other websites maintained by the Placement Agent or by us is not part of this prospectus supplement, the accompanying prospectus or the registration statement of which this prospectus supplement and the accompanying prospectus form a part, has not been approved and/or endorsed by us or the Placement Agent in its capacity as the Placement Agent, and should not be relied upon by investors.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121" w:lineRule="exact"/>
        <w:rPr>
          <w:sz w:val="20"/>
          <w:szCs w:val="20"/>
          <w:color w:val="auto"/>
        </w:rPr>
      </w:pPr>
    </w:p>
    <w:p>
      <w:pPr>
        <w:ind w:left="300" w:right="819" w:firstLine="360"/>
        <w:spacing w:after="0" w:line="266" w:lineRule="auto"/>
        <w:rPr>
          <w:sz w:val="20"/>
          <w:szCs w:val="20"/>
          <w:color w:val="auto"/>
        </w:rPr>
      </w:pPr>
      <w:r>
        <w:rPr>
          <w:rFonts w:ascii="Times New Roman" w:cs="Times New Roman" w:eastAsia="Times New Roman" w:hAnsi="Times New Roman"/>
          <w:sz w:val="18"/>
          <w:szCs w:val="18"/>
          <w:color w:val="auto"/>
        </w:rPr>
        <w:t>The Placement Agent and its affiliates have and may in the future provide, from time to time, investment banking and financial advisory services to us in the ordinary course of business, for which they may receive customary fees and commissions.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trading on the Nasdaq Global Market under the symbol “INV.”</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Placement Agent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75"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7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Placement Agent is not required to comply with the disclosure requirements of NI 33-105 regarding placement agent conflicts of interest in connection with this offering.</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75"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17"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Company or any of the underwriters to publish a prospectus pursuant to Article 3 of the Prospectus Regulation or supplement a prospectus pursuant to Article 23 of the Prospectus Regulation.</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(1) to “professional investors” as defined in the Securities and Futures Ordinance (Cap. 571) of Hong Kong and any rules made under that Ordinance or (2)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securities offered hereby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securities offered hereunder may not be offered or sold to the public in Israel absent the publication of a prospectus that has been approved by the Israel Securities Authority (the “ISA”). This document does not constitute a prospectus under the Israeli Securities Law, 5728-1968, or the Israeli Securities Law, and has not been filed with or approved by the ISA and the securities offered hereunder have not been registered for sale in Israel. In Israel, this document is being distributed only to, and is directed only at, and any offer of the securities hereunder is directed only at investors listed in the first addendum to the Israeli Securities Law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 (1) to an institutional investor (as defined in Section 4A of the Securities and Futures Act (Chapter 289) of Singapore, as modified or amended from time to time (the “SFA”)) pursuant to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Where the securities are subscribed or purchased under Section 275 of the SFA by a relevant person which is:</w:t>
      </w:r>
    </w:p>
    <w:p>
      <w:pPr>
        <w:spacing w:after="0" w:line="84" w:lineRule="exact"/>
        <w:rPr>
          <w:sz w:val="20"/>
          <w:szCs w:val="20"/>
          <w:color w:val="auto"/>
        </w:rPr>
      </w:pPr>
    </w:p>
    <w:p>
      <w:pPr>
        <w:jc w:val="both"/>
        <w:ind w:left="1000" w:right="37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79" w:lineRule="exact"/>
        <w:rPr>
          <w:rFonts w:ascii="Times New Roman" w:cs="Times New Roman" w:eastAsia="Times New Roman" w:hAnsi="Times New Roman"/>
          <w:sz w:val="18"/>
          <w:szCs w:val="18"/>
          <w:color w:val="auto"/>
        </w:rPr>
      </w:pPr>
    </w:p>
    <w:p>
      <w:pPr>
        <w:ind w:left="1360" w:right="339" w:hanging="348"/>
        <w:spacing w:after="0" w:line="282"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17" w:lineRule="exact"/>
        <w:rPr>
          <w:rFonts w:ascii="Times New Roman" w:cs="Times New Roman" w:eastAsia="Times New Roman" w:hAnsi="Times New Roman"/>
          <w:sz w:val="18"/>
          <w:szCs w:val="18"/>
          <w:color w:val="auto"/>
        </w:rPr>
      </w:pPr>
    </w:p>
    <w:p>
      <w:pPr>
        <w:ind w:left="1360" w:right="479" w:hanging="348"/>
        <w:spacing w:after="0" w:line="282"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w:t>
      </w:r>
    </w:p>
    <w:p>
      <w:pPr>
        <w:spacing w:after="0" w:line="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CMP Regulations 2018, unless otherwise specified before an offer of securities, we have determined, and hereby notify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21" w:lineRule="exact"/>
        <w:rPr>
          <w:sz w:val="20"/>
          <w:szCs w:val="20"/>
          <w:color w:val="auto"/>
        </w:rPr>
      </w:pPr>
    </w:p>
    <w:p>
      <w:pPr>
        <w:ind w:left="300" w:right="619" w:firstLine="360"/>
        <w:spacing w:after="0" w:line="255"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8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securities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the accompanying prospectus and any other offering or marketing material relating to the securities or the offering do not constitute a public offer of securities in the United Arab Emirates (including the Abu Dhabi Global Market and the Dubai International Financial Centre) and are not intended to be a public offer. This prospectus supplement, the accompanying prospectus and any other offering or marketing material relating to the securities or the offering have not been approved by or filed with the Central Bank of the United Arab Emirates, the Securities and Commodities Authority, the Financial Services Regulatory Authority, the Dubai Financial Services Authority or any other relevant licensing authorities in the United Arab Emirates.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In relation to the United Kingdom, no securities have been offered or will be offered pursuant to the offering to the public in the United Kingdom prior to the publication of a prospectus in relation to the securities which has been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approved by the Financial Conduct Authority, except that it may make an offer to the public in the United Kingdom of any securities at any time under the following exemptions under the UK Prospectus Regulation:</w:t>
      </w:r>
    </w:p>
    <w:p>
      <w:pPr>
        <w:spacing w:after="0" w:line="54" w:lineRule="exact"/>
        <w:rPr>
          <w:sz w:val="20"/>
          <w:szCs w:val="20"/>
          <w:color w:val="auto"/>
        </w:rPr>
      </w:pPr>
    </w:p>
    <w:p>
      <w:pPr>
        <w:ind w:left="1000" w:right="11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17"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any of the underwriters to publish a prospectus pursuant to Section 85 of the FSMA or supplement a prospectus pursuant to Article 23 of the UK Prospectus Regulation.</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securities in the United Kingdom within the meaning of the FSMA.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shares offered by this prospectus supplement will be passed upon for us by Jones Day. Titan Partners Group LLC, a division of American Capital Partners, LLC, is being represented in connection with this offering by Sullivan &amp; Worcester LLP.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1139" w:firstLine="360"/>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of Innventure, Inc. (the “Company”) as of December 31, 2024 (“Successor”) and 2023 (“Predecessor”) and for the period from October 2, 2024 to December 31, 2024</w:t>
      </w:r>
    </w:p>
    <w:p>
      <w:pPr>
        <w:spacing w:after="0" w:line="1"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(“Successor”) and the periods from January 1, 2024 to October 1, 2024 (“Predecessor”) and for the year ended December 31, 2023 (“Predecessor”),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182880</wp:posOffset>
            </wp:positionV>
            <wp:extent cx="1988820" cy="52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19888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 </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Stock</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Preferred Stock</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Depositary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Subscription Rights</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Purchase Contracts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ind w:left="4360"/>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133" w:lineRule="exact"/>
        <w:rPr>
          <w:sz w:val="20"/>
          <w:szCs w:val="20"/>
          <w:color w:val="auto"/>
        </w:rPr>
      </w:pPr>
    </w:p>
    <w:p>
      <w:pPr>
        <w:jc w:val="both"/>
        <w:ind w:left="400" w:right="739" w:firstLine="360"/>
        <w:spacing w:after="0" w:line="261" w:lineRule="auto"/>
        <w:rPr>
          <w:sz w:val="20"/>
          <w:szCs w:val="20"/>
          <w:color w:val="auto"/>
        </w:rPr>
      </w:pPr>
      <w:r>
        <w:rPr>
          <w:rFonts w:ascii="Times New Roman" w:cs="Times New Roman" w:eastAsia="Times New Roman" w:hAnsi="Times New Roman"/>
          <w:sz w:val="18"/>
          <w:szCs w:val="18"/>
          <w:color w:val="auto"/>
        </w:rPr>
        <w:t>We may offer and sell from time to time shares of our common stock, preferred stock, depositary shares, warrants, subscription rights, debt securities and purchase contracts, as well as units that include any of these securities. We may sell any combination of these securities in one or more offerings with an aggregate initial offering price of $200,000,000.</w:t>
      </w:r>
    </w:p>
    <w:p>
      <w:pPr>
        <w:spacing w:after="0" w:line="72" w:lineRule="exact"/>
        <w:rPr>
          <w:sz w:val="20"/>
          <w:szCs w:val="20"/>
          <w:color w:val="auto"/>
        </w:rPr>
      </w:pPr>
    </w:p>
    <w:p>
      <w:pPr>
        <w:ind w:left="40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provide the specific terms of the securities to be offered in one or more supplements to this prospectus. You should read this prospectus and any applicable prospectus supplement carefully before you invest in our securities. This prospectus may not be used to offer and sell our securities unless accompanied by a prospectus supplement describing the method and terms of the offering of those offered securities.</w:t>
      </w:r>
    </w:p>
    <w:p>
      <w:pPr>
        <w:spacing w:after="0" w:line="72" w:lineRule="exact"/>
        <w:rPr>
          <w:sz w:val="20"/>
          <w:szCs w:val="20"/>
          <w:color w:val="auto"/>
        </w:rPr>
      </w:pPr>
    </w:p>
    <w:p>
      <w:pPr>
        <w:ind w:left="4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offer our securities through agents, underwriters or dealers or directly to investors. Each prospectus supplement will provide the amount, price and terms of the plan of distribution relating to the securities to be sold pursuant to such prospectus supplement. We will set forth the names of any underwriters or agents in the accompanying prospectus supplement, as well as the net proceeds we expect to receive from such sale. In addition, the underwriters, if any, may over-allot a portion of the securities.</w:t>
      </w:r>
    </w:p>
    <w:p>
      <w:pPr>
        <w:spacing w:after="0" w:line="75" w:lineRule="exact"/>
        <w:rPr>
          <w:sz w:val="20"/>
          <w:szCs w:val="20"/>
          <w:color w:val="auto"/>
        </w:rPr>
      </w:pPr>
    </w:p>
    <w:p>
      <w:pPr>
        <w:ind w:left="400" w:right="519" w:firstLine="360"/>
        <w:spacing w:after="0" w:line="261" w:lineRule="auto"/>
        <w:rPr>
          <w:sz w:val="20"/>
          <w:szCs w:val="20"/>
          <w:color w:val="auto"/>
        </w:rPr>
      </w:pPr>
      <w:r>
        <w:rPr>
          <w:rFonts w:ascii="Times New Roman" w:cs="Times New Roman" w:eastAsia="Times New Roman" w:hAnsi="Times New Roman"/>
          <w:sz w:val="18"/>
          <w:szCs w:val="18"/>
          <w:color w:val="auto"/>
        </w:rPr>
        <w:t>Our common stock, par value $0.0001 per share (“Common Stock”), is listed on the Nasdaq Global Market (“NASDAQ”) under the symbol “INV.” On December 22, 2025, the last reported sales price of our Common Stock was $4.35 per share. None of the other securities that we may offer under this prospectus are currently publicly traded.</w:t>
      </w:r>
    </w:p>
    <w:p>
      <w:pPr>
        <w:spacing w:after="0" w:line="68" w:lineRule="exact"/>
        <w:rPr>
          <w:sz w:val="20"/>
          <w:szCs w:val="20"/>
          <w:color w:val="auto"/>
        </w:rPr>
      </w:pPr>
    </w:p>
    <w:p>
      <w:pPr>
        <w:ind w:left="400" w:right="4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U.S. federal securities laws and, as such, have elected to comply with certain reduced public company reporting requirements.</w:t>
      </w:r>
    </w:p>
    <w:p>
      <w:pPr>
        <w:spacing w:after="0" w:line="47" w:lineRule="exact"/>
        <w:rPr>
          <w:sz w:val="20"/>
          <w:szCs w:val="20"/>
          <w:color w:val="auto"/>
        </w:rPr>
      </w:pPr>
    </w:p>
    <w:p>
      <w:pPr>
        <w:ind w:left="400" w:right="11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is highly speculative and involves a high degree of risk. Please read carefully the section titled “Risk Factors” beginning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w:t>
      </w:r>
    </w:p>
    <w:p>
      <w:pPr>
        <w:spacing w:after="0" w:line="47" w:lineRule="exact"/>
        <w:rPr>
          <w:sz w:val="20"/>
          <w:szCs w:val="20"/>
          <w:color w:val="auto"/>
        </w:rPr>
      </w:pPr>
    </w:p>
    <w:p>
      <w:pPr>
        <w:jc w:val="both"/>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165100</wp:posOffset>
            </wp:positionV>
            <wp:extent cx="10972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DISCLOSURE REGARDING FORWARD-LOOKING STATEMENTS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OUR BUSINESS</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6860" w:type="dxa"/>
            <w:vAlign w:val="bottom"/>
            <w:gridSpan w:val="15"/>
          </w:tcPr>
          <w:p>
            <w:pPr>
              <w:spacing w:after="0"/>
              <w:rPr>
                <w:sz w:val="16"/>
                <w:szCs w:val="16"/>
                <w:color w:val="auto"/>
              </w:rPr>
            </w:pP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5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540" w:type="dxa"/>
            <w:vAlign w:val="bottom"/>
            <w:gridSpan w:val="13"/>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3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800" w:type="dxa"/>
            <w:vAlign w:val="bottom"/>
            <w:gridSpan w:val="6"/>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3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4800" w:type="dxa"/>
            <w:vAlign w:val="bottom"/>
            <w:gridSpan w:val="6"/>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4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4660" w:type="dxa"/>
            <w:vAlign w:val="bottom"/>
            <w:gridSpan w:val="5"/>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4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660" w:type="dxa"/>
            <w:vAlign w:val="bottom"/>
            <w:gridSpan w:val="5"/>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5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PURCHASE CONTRACTS</w:t>
            </w:r>
          </w:p>
        </w:tc>
        <w:tc>
          <w:tcPr>
            <w:tcW w:w="4580" w:type="dxa"/>
            <w:vAlign w:val="bottom"/>
            <w:gridSpan w:val="4"/>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5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4580" w:type="dxa"/>
            <w:vAlign w:val="bottom"/>
            <w:gridSpan w:val="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080" w:type="dxa"/>
            <w:vAlign w:val="bottom"/>
            <w:gridSpan w:val="11"/>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9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 up to an aggregate initial offering price of $200,000,000.</w:t>
      </w:r>
    </w:p>
    <w:p>
      <w:pPr>
        <w:spacing w:after="0" w:line="7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more specific information about the terms of that offering.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applicable prospectus supplement together with additional information under the heading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Information By Reference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applicable prospectus supplement. We have not authorized anyone to provide you with different information. You should not assume that the information contained in this prospectus, any applicable prospectus supplement, or any document incorporated by reference is accurate as of any date other than the date mentioned on the cover page of these documents.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Following the Closing, each of Learn CW and Innventure LLC are subsidiaries of Holdco, and Holdco became a publicly traded company. At the Closing, Holdco changed its name to “Innventure, Inc.” Innventure, Inc.’s Common Stock is listed on NASDAQ under the symbol “INV”.</w:t>
      </w:r>
    </w:p>
    <w:p>
      <w:pPr>
        <w:spacing w:after="0" w:line="86"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“Innventure,” “we,” “us,” “our” and similar terms refer to Innventure, Inc. (f/k/a Learn SPAC HoldCo, Inc.) and its consolidated subsidiaries.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that contains reports, proxy and information statements and other information regarding issuers, including us, that file electronically with the SEC. The address for the SEC’s website is www.sec.gov.</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website at www.innventure.com, our annual reports on Form 10-K, quarterly reports on Form 10-Q, current reports on Form 8-K and amendments to those reports and statements as soon as reasonably practicable after they are filed with the SEC. The contents of our website are not part of this prospectus, and the reference to our website does not constitute incorporation by reference into this prospectus of the information contained at that site, other than documents we file with the SEC that are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and any future documents that we file with the SEC under Sections 13(a), 13(c), 14 or 15(d) of the Exchange Act (1) after the date of the initial filing of the registration statement of which this prospectus forms a part prior to the effectiveness of the registration statement and (2) after the date of this prospectus until the offering of the securities is terminated. We do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w:t>
      </w:r>
    </w:p>
    <w:p>
      <w:pPr>
        <w:spacing w:after="0" w:line="87"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w:t>
      </w:r>
      <w:hyperlink r:id="rId18">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quarterly periods ended </w:t>
      </w:r>
      <w:hyperlink r:id="rId19">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and </w:t>
      </w:r>
      <w:hyperlink r:id="rId21">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ind w:left="1000" w:right="5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Exhibit 4.1 to our Annual Report on Form 10-K for the year ended </w:t>
      </w:r>
      <w:hyperlink r:id="rId29">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 as amended by any subsequent amendments and reports filed for the purpose of updating that description.</w:t>
      </w:r>
    </w:p>
    <w:p>
      <w:pPr>
        <w:spacing w:after="0" w:line="68" w:lineRule="exact"/>
        <w:rPr>
          <w:rFonts w:ascii="Times New Roman" w:cs="Times New Roman" w:eastAsia="Times New Roman" w:hAnsi="Times New Roman"/>
          <w:sz w:val="18"/>
          <w:szCs w:val="18"/>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may obtain copies of these filings without charge by requesting the filings in writing or by telephone at the following address:</w:t>
      </w:r>
    </w:p>
    <w:p>
      <w:pPr>
        <w:spacing w:after="0" w:line="1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(321) 209-6787</w:t>
      </w:r>
    </w:p>
    <w:p>
      <w:pPr>
        <w:spacing w:after="0" w:line="99" w:lineRule="exact"/>
        <w:rPr>
          <w:rFonts w:ascii="Times New Roman" w:cs="Times New Roman" w:eastAsia="Times New Roman" w:hAnsi="Times New Roman"/>
          <w:sz w:val="18"/>
          <w:szCs w:val="18"/>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(the “Securities Act”) covering the securities to be offered and sold by this prospectus and any applicable prospectus supplement. This prospectus does not contain all of the information included in the registration statement, some of which is contained in exhibits to the registration statement. The registration statement, including the exhibits, can be read at the SEC website or at the SEC offices referred to above. Any statement made in this prospectus or any applicable prospectus supplement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w:t>
      </w:r>
    </w:p>
    <w:p>
      <w:pPr>
        <w:spacing w:after="0" w:line="1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21"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Some of the statements contained in this prospectus and any accompanying prospectus supplement or incorporated by reference into this prospectus and any accompanying prospectus supplement are forward-looking statements within the meaning of Section 27A of the Securities Act, and Section 21E of the Securities Exchange Act of 1934, as amended (the “Exchange Act”).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68"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w:t>
      </w:r>
    </w:p>
    <w:p>
      <w:pPr>
        <w:spacing w:after="0" w:line="63" w:lineRule="exact"/>
        <w:rPr>
          <w:sz w:val="20"/>
          <w:szCs w:val="20"/>
          <w:color w:val="auto"/>
        </w:rPr>
      </w:pPr>
    </w:p>
    <w:p>
      <w:pPr>
        <w:ind w:left="1000" w:right="339" w:hanging="348"/>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75"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cause the need for Innventure to evaluate and potentially record additional impairment charges for all, or a portion of, its goodwill and other intangible assets;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 including: (i) Innventure’s ability to obtain funding for its operations and future growth; and (ii) Innventure’s ability to continue as a going concern;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maintain control over the Innventure Companies;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WTI Fund X, Inc. and WTI Fund XI, Inc., under a term loan facility in the aggregate principal amount of up to $50,000,000 (of which, the Company satisfied the conditions necessary to receive, and has received, $20,000,000);</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access to funds under the Standby Equity Purchase Agreement (the “SEPA”) entered into with YA II PN, Ltd. (“Yorkville”), dated October 24, 2023, including ownership limitations, issuances and subscriptions based on trading volumes, and Innventure’s ability to continue to access the funds available under the SEPA due to certain conditions, restrictions and limitations set forth therein and in the securities purchase agreement, dated September 15, 2025, entered into with Yorkville;</w:t>
      </w:r>
    </w:p>
    <w:p>
      <w:pPr>
        <w:spacing w:after="0" w:line="75"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obtain funding for their operations, future growth and to continue as going concerns;</w:t>
      </w:r>
    </w:p>
    <w:p>
      <w:pPr>
        <w:spacing w:after="0" w:line="53"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technology solutions that Innventure and the Innventure Companies license or acquire from third parties or develop internally may not function as anticipated or provide the benefits anticipated;</w:t>
      </w:r>
    </w:p>
    <w:p>
      <w:pPr>
        <w:spacing w:after="0" w:line="31" w:lineRule="exact"/>
        <w:rPr>
          <w:rFonts w:ascii="Times New Roman" w:cs="Times New Roman" w:eastAsia="Times New Roman" w:hAnsi="Times New Roman"/>
          <w:sz w:val="17"/>
          <w:szCs w:val="17"/>
          <w:color w:val="auto"/>
        </w:rPr>
      </w:pPr>
    </w:p>
    <w:p>
      <w:pPr>
        <w:ind w:left="1000" w:right="6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53"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respective products and the numerous regulatory requirements generally applicable to their businesses;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or other third parties (collectively, “Technology Solutions Providers”) and to satisfy the requirements imposed by or to avoid disagreements with its current and future Technology Solutions Providers;</w:t>
      </w:r>
    </w:p>
    <w:p>
      <w:pPr>
        <w:spacing w:after="0" w:line="71"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which would impose burdensome compliance requirements and restrictions on its activities;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67" w:lineRule="exact"/>
        <w:rPr>
          <w:rFonts w:ascii="Times New Roman" w:cs="Times New Roman" w:eastAsia="Times New Roman" w:hAnsi="Times New Roman"/>
          <w:sz w:val="18"/>
          <w:szCs w:val="18"/>
          <w:color w:val="auto"/>
        </w:rPr>
      </w:pPr>
    </w:p>
    <w:p>
      <w:pPr>
        <w:ind w:left="1000" w:right="12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and any accompanying prospectus supplement or incorporated by reference into this prospectus and any accompanying prospectus supplement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were incorporated as a Delaware corporation in 2024. Innventure founds, funds, and operates companies with a focus on transformative, sustainable technology solutions that we acquire or license from technology innovators. Innventure has launched four such companies since its inception: PureCycle Technologies, Inc. (“PureCycle”) in late 2015, AeroFlexx, LLC (“AeroFlexx”) in 2018, Accelsius Holdings LLC (“Accelsius”) in 2022, and Refinity Olefins, LLC (“Refinity”) in 2024.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8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900 Tavistock Lakes Blvd, Suite 400, Orlando, Florida 32827, and our telephone number is (321) 209-6787. Our website address is www.innventure.com. Information contained on or accessible through our website is not a part of this prospectus other than documents we file with the SEC that are specifically incorporated by reference into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any risk factors contained in any applicable prospectus supplement, as well as the risk factors set forth in our most recently filed Annual Report on Form 10-K and any material changes to those risk factors set forth in a Quarterly Report on Form 10-Q. You should also refer to the other information in this prospectus and any applicable prospectus supplement, including our financial statements and the related notes incorporated by reference into this prospectus. Additional risks and uncertainties that are not yet identified may also materially harm our business, operating results and financial condition. If any of these risks actually occurs, our business, results of operations and financial condition could suffer. In that case, the trading price of our securities could decline, and you could lose all or part of your investment.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Unless otherwise indicated in any applicable prospectus supplement or other offering materials, we intend to use the net proceeds from the sale of our securities to which this prospectus relates for general corporate purposes. General corporate purposes may include repayment of debt, acquisitions, investments, additions to working capital, capital expenditures and advances to or investments in our Operating Companies. Pending any specific application, we may invest net proceeds in short-term marketable securities or apply them to the reduction of short-term debt.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We are authorized to issue 250,000,000 shares of Common Stock and 25,000,000 shares of preferred stock, par value $0.0001 per share. Of the 25,000,000 shares of preferred stock, 3,000,000 shares are designated as “Series B Preferred Stock” and 5,000,000 shares are designated as “Series C Preferred Stock.” As of December 22, 2025, 67,743,847 shares of Common Stock were issued and outstanding, 33,144 shares of Series B Preferred Stock were issued and outstanding, and 150,000 shares of Series C Preferred Stock were issued and outstanding.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Common Stock. For more detailed information you should refer to our Amended and Restated Certificate of Incorporation “(A&amp;R Certificate of Incorporation”) and By-laws (the “Bylaws”), copies of which have been filed with the SEC. These documents are also incorporated by reference into the registration statement of which this prospectus forms a part.</w:t>
      </w:r>
    </w:p>
    <w:p>
      <w:pPr>
        <w:spacing w:after="0" w:line="7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preferred stock. For more detailed information, you should refer to the A&amp;R Certificate of Incorporation and our Bylaws, copies of which have been filed with the SEC. These documents are also incorporated by reference into the registration statement of which this prospectus forms a part.</w:t>
      </w:r>
    </w:p>
    <w:p>
      <w:pPr>
        <w:spacing w:after="0" w:line="72"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After the designation of the Series B Preferred Stock and the Series C Preferred Stock, 17,000,000 authorized shares of preferred stock remain available for the creation and issuance of one or more additional series of preferred stock by the Company’s Board of Directors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64" w:lineRule="exact"/>
        <w:rPr>
          <w:sz w:val="20"/>
          <w:szCs w:val="20"/>
          <w:color w:val="auto"/>
        </w:rPr>
      </w:pPr>
    </w:p>
    <w:p>
      <w:pPr>
        <w:ind w:left="1000" w:right="6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the Company or any other corporation or other entity;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 and</w:t>
      </w:r>
    </w:p>
    <w:p>
      <w:pPr>
        <w:spacing w:after="0" w:line="53" w:lineRule="exact"/>
        <w:rPr>
          <w:rFonts w:ascii="Times New Roman" w:cs="Times New Roman" w:eastAsia="Times New Roman" w:hAnsi="Times New Roman"/>
          <w:sz w:val="18"/>
          <w:szCs w:val="18"/>
          <w:color w:val="auto"/>
        </w:rPr>
      </w:pPr>
    </w:p>
    <w:p>
      <w:pPr>
        <w:ind w:left="1000" w:right="79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 may be determined from time to time by the Board and stated or expressed in the resolution or resolutions providing for the issuance of such preferred stock (collectively, a “Preferred Stock Designation”).</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as amended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w:t>
      </w:r>
    </w:p>
    <w:p>
      <w:pPr>
        <w:spacing w:after="0" w:line="8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receives from its subsidiaries.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Bylaws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72"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Innventure’s A&amp;R Certificate of Incorporation and Bylaws and Certain Provisions of Delaware Law</w:t>
      </w:r>
    </w:p>
    <w:p>
      <w:pPr>
        <w:spacing w:after="0" w:line="5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77" w:lineRule="auto"/>
        <w:rPr>
          <w:sz w:val="20"/>
          <w:szCs w:val="20"/>
          <w:color w:val="auto"/>
        </w:rPr>
      </w:pPr>
      <w:r>
        <w:rPr>
          <w:rFonts w:ascii="Times New Roman" w:cs="Times New Roman" w:eastAsia="Times New Roman" w:hAnsi="Times New Roman"/>
          <w:sz w:val="17"/>
          <w:szCs w:val="17"/>
          <w:color w:val="auto"/>
        </w:rPr>
        <w:t>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75" w:lineRule="exact"/>
        <w:rPr>
          <w:sz w:val="20"/>
          <w:szCs w:val="20"/>
          <w:color w:val="auto"/>
        </w:rPr>
      </w:pPr>
    </w:p>
    <w:p>
      <w:pPr>
        <w:ind w:left="300" w:right="499" w:firstLine="360"/>
        <w:spacing w:after="0" w:line="277" w:lineRule="auto"/>
        <w:rPr>
          <w:sz w:val="20"/>
          <w:szCs w:val="20"/>
          <w:color w:val="auto"/>
        </w:rPr>
      </w:pPr>
      <w:r>
        <w:rPr>
          <w:rFonts w:ascii="Times New Roman" w:cs="Times New Roman" w:eastAsia="Times New Roman" w:hAnsi="Times New Roman"/>
          <w:sz w:val="17"/>
          <w:szCs w:val="17"/>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held office for a term that expired at the annual meeting of stockholders held in 2025 and will hold office for a term expiring at the annual meeting of stockholders to be held in 2028;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w:t>
      </w:r>
    </w:p>
    <w:p>
      <w:pPr>
        <w:spacing w:after="0" w:line="86"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Chief Executive Officer, or President.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must comply with advance notice requirements and provide Innventure with certain information. Generally, to be timely, a stockholder’s notice relating to any nomination or other business to be brought before an annual meeting of stockholders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84"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These notice provisions may defer, delay or discourage a potential acquirer from conducting a solicitation of proxies to elect the acquirer’s own slate of directors or otherwise attempting to influence or obtain control of Innventure.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A&amp;R Certificate of Incorporation</w:t>
      </w:r>
    </w:p>
    <w:p>
      <w:pPr>
        <w:spacing w:after="0" w:line="12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56"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Innventure.</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72"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the Nasdaq Global Market under the symbol “INV.”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21"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We may offer depositary shares representing fractional shares of our preferred stock of any series. The following description sets forth certain general terms and provisions of the depositary shares that we may offer pursuant to this prospectus. The particular terms of the depositary shares, including the fraction of a share of preferred stock that such depositary share will represent, and the extent, if any, to which the general terms and provisions may apply to the depositary shares so offered, will be described in the applicable prospectus supplement.</w:t>
      </w:r>
    </w:p>
    <w:p>
      <w:pPr>
        <w:spacing w:after="0" w:line="60"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shares of preferred stock represented by depositary shares will be deposited under a depositary agreement between us and a bank or trust company that meets certain requirements and is selected by us, which we refer to as the “bank depositary.” Each owner of a depositary share will be entitled to all the rights and preferences of the shares of preferred stock represented by the depositary share. The depositary shares will be evidenced by depositary receipts issued pursuant to the depositary agreement. Depositary receipts will be distributed to those persons purchasing the fractional shares of preferred stock in accordance with the terms of the offering. The deposit agreement will also contain provisions relating to the manner in which any subscription or similar rights we offer to holders of the preferred stock will be made available to the holders of depositary shares.</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description is a general summary of some common provisions of a depositary agreement and the related depositary receipts. The description below and in any prospectus supplement does not include all of the terms of the depositary agreement and the related depositary receipts. Copies of the form of depositary agreement and the depositary receipts relating to any particular issue of depositary shares will be filed with the SEC each time we issue depositary shares, and you should read those documents for provisions that may be important to you. For more information on how you can obtain copies of the forms of the depositary agreement and the related depositary receipts,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we pay a cash distribution or dividend on a series of preferred stock represented by depositary shares, the bank depositary will distribute these dividends to the record holders of these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this property and distribute the net proceeds from this sale to the record holders of the depositary shares.</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represented by depositary shares are entitled to vote, the bank depositary will mail the notice to the record holders of the depositary shares relating to the preferred stock. Each record holder of these depositary shares on the record date (which will be the same date as the record date for the preferred stock) may instruct the bank depositary as to how to vote the preferred stock represented by this holder’s depositary shares. The bank depositary will endeavor, insofar as practicable, to vote the amount of the preferred stock represented by such depositary shares in accordance with these instructions, and we will take all action which the bank depositary deems necessary in order to enable the bank depositary to do so. The bank depositary will abstain from voting shares of the preferred stock to the extent it does not receive specific instructions from the holders of depositary shares representing this preferred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Depositary Agreement</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this amendment has been approved by the holders of at least a majority of the depositary shares then outstanding. The depositary agreement may be terminated by the bank depositary or us only if:</w:t>
      </w:r>
    </w:p>
    <w:p>
      <w:pPr>
        <w:spacing w:after="0" w:line="75"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17" w:lineRule="exact"/>
        <w:rPr>
          <w:rFonts w:ascii="Times New Roman" w:cs="Times New Roman" w:eastAsia="Times New Roman" w:hAnsi="Times New Roman"/>
          <w:sz w:val="18"/>
          <w:szCs w:val="18"/>
          <w:color w:val="auto"/>
        </w:rPr>
      </w:pPr>
    </w:p>
    <w:p>
      <w:pPr>
        <w:jc w:val="both"/>
        <w:ind w:left="1000" w:right="7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in respect of the preferred stock in connection with any liquidation, dissolution or winding-up of the Company and this distribution has been distributed to the holders of depositary receipts.</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Charges of Bank Depositary</w:t>
      </w:r>
    </w:p>
    <w:p>
      <w:pPr>
        <w:spacing w:after="0" w:line="12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We will pay all transfer and other taxes and governmental charges arising solely from the existence of the depositary arrangements. We will pay charges of the bank depositary in connection with the initial deposit of the preferred stock and any redemption of the preferred stock. Holders of depositary receipts will pay other transfer, tax and governmental charges and any other charges, including a fee for the withdrawal of shares of preferred stock upon surrender of depositary receipts, as are expressly provided in the depositary agreement to be for their accounts.</w:t>
      </w: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Except as may be provided otherwise in the applicable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Fractional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this holder at the same time a new depositary receipt evidencing the excess number of depositary shares. Holders of preferred stock thus withdrawn may not thereafter deposit those shares under the depositary agreement or receive depositary receipts evidencing depositary shares therefor.</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bank depositary will forward to holders of depositary receipts all reports and communications from us that are delivered to the bank depositary and that we are required to furnish to the holders of preferred stock.</w:t>
      </w:r>
    </w:p>
    <w:p>
      <w:pPr>
        <w:spacing w:after="0" w:line="54" w:lineRule="exact"/>
        <w:rPr>
          <w:sz w:val="20"/>
          <w:szCs w:val="20"/>
          <w:color w:val="auto"/>
        </w:rPr>
      </w:pPr>
    </w:p>
    <w:p>
      <w:pPr>
        <w:ind w:left="300" w:right="479" w:firstLine="360"/>
        <w:spacing w:after="0" w:line="273" w:lineRule="auto"/>
        <w:rPr>
          <w:sz w:val="20"/>
          <w:szCs w:val="20"/>
          <w:color w:val="auto"/>
        </w:rPr>
      </w:pPr>
      <w:r>
        <w:rPr>
          <w:rFonts w:ascii="Times New Roman" w:cs="Times New Roman" w:eastAsia="Times New Roman" w:hAnsi="Times New Roman"/>
          <w:sz w:val="17"/>
          <w:szCs w:val="17"/>
          <w:color w:val="auto"/>
        </w:rPr>
        <w:t>Neither the bank depositary nor we will be liable if we are prevented or delayed by law or any circumstance beyond our control in performing our obligations under the depositary agreement. The obligations of the bank depositary and us under the depositary agreement will be limited to performance in good faith of our duties thereunder, and we will not be obligated to prosecute or defend any legal proceeding in respect of any depositary shares or shares of preferred stock unless satisfactory indemnity is furnished. We may rely upon written advice of counsel or accountants, or upon information provided by persons presenting shares of preferred stock for deposit, holders of depositary receipts or other persons believed to be competent and on documents believed to be genuine.</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Resignation and Removal of Bank Depositary</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bank depositary may resign at any time by delivering to us notice of its election to do so, and we may at any time remove the bank depositary. Any such resignation or removal will take effect upon the appointment of a successor bank depositary and the successor’s acceptance of this appointment. The successor bank depositary must be appointed within 60 days after delivery of the notice of resignation or removal and must be a bank or trust company meeting the requirements of the depositary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We may issue warrants for the purchase of Common Stock, preferred stock, depositary shares,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56"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75"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debt securities will describe the terms of those warrants, including the following:</w:t>
      </w:r>
    </w:p>
    <w:p>
      <w:pPr>
        <w:spacing w:after="0" w:line="54"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that the warrants are issued with and the number of warrants issued with each debt security;</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debt securities issued with them will be separately transferable;</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warrant and the price at which the debt securities may be purchased upon exercise;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represented by the warrant certificates or debt securities that may be issued upon exercise of the warrants will be issued in registered or bearer form;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book-entry procedures,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 and Depositary Share Warrants</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Common Stock, preferred stock or depositary shares will describe the terms of the common stock warrants, preferred stock warrants and depositary share warrants, including the following:</w:t>
      </w:r>
    </w:p>
    <w:p>
      <w:pPr>
        <w:spacing w:after="0" w:line="68"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preferred stock or depositary shares purchasable upon exercise of the warrants;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that the warrants are issued with and the number of warrants issued with each security;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that may be purchased upon exercise of a warrant and the price at which the shares may be purchased upon exercise;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at the exercise price set forth in the applicable prospectus supplement the number of shares of Common Stock, preferred stock or depositary shares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Until a holder exercises the warrants to purchase our Common Stock, preferred stock, depositary shares or debt securities, the holder will not have any rights as a holder of our Common Stock, preferred stock, depositary shares or debt securities, as the case may be, by virtue of ownership of warrants.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issue to our securityholders subscription rights to purchase our Common Stock, preferred stock, depositary shares or debt securities. The following description sets forth certain general terms and provisions of the subscription rights that we may offer pursuant to this prospectus. The particular terms of the subscription rights and the extent, if any, to which the general terms and provisions may apply to the subscription rights so offered will be described in the applicable prospectus supplement.</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Subscription rights may be issued independently or together with any other security offered by this prospectus and may or may not be transferable by the securityholder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 or offer these securities to other parties who are not our securityholders. A copy of the form of subscription rights certificate will be filed with the SEC each time we issue subscription rights, and you should read that document for provisions that may be important to you. For more information on how you can obtain a copy of any subscription rights certificate,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subscription rights will describe the terms of the offered subscription rights, including, where applicable, the following:</w:t>
      </w:r>
    </w:p>
    <w:p>
      <w:pPr>
        <w:spacing w:after="0" w:line="54"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the subscription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securityholder;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terms,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will commence and the date on which the right will expire;</w:t>
      </w:r>
    </w:p>
    <w:p>
      <w:pPr>
        <w:spacing w:after="0" w:line="53" w:lineRule="exact"/>
        <w:rPr>
          <w:rFonts w:ascii="Times New Roman" w:cs="Times New Roman" w:eastAsia="Times New Roman" w:hAnsi="Times New Roman"/>
          <w:sz w:val="18"/>
          <w:szCs w:val="18"/>
          <w:color w:val="auto"/>
        </w:rPr>
      </w:pPr>
    </w:p>
    <w:p>
      <w:pPr>
        <w:ind w:left="1000" w:right="11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include an over-subscription privilege with respect to unsubscribed securities; and</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arrangement entered into by us in connection with the subscription rights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debt securities that we may issue, which may be issued as convertible or exchangeable debt securities. We will set forth the particular terms of the debt securities we offer in a prospectus supplement and the extent, if any, to which the following general terms and provisions will apply to particular debt securities.</w:t>
      </w:r>
    </w:p>
    <w:p>
      <w:pPr>
        <w:spacing w:after="0" w:line="7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will be issued under an indenture to be entered into between us and a trustee to be named in a prospectus supplement. The indenture, and any supplemental indentures thereto, will be subject to, and governed by, the Trust Indenture Act of 1939, as amended. The following description of general terms and provisions relating to the debt securities and the indenture under which the debt securities will be issued is a summary only and therefore is not complete and is subject to, and qualified in its entirety by reference to, the terms and provisions of the indenture. The form of the indenture has been filed with the SEC as an exhibit to the registration statement of which this prospectus forms a part, and you should read the indenture for provisions that may be important to you. For more information on how you can obtain a copy of the form of the indenture,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Capitalized terms used in this section and not defined herein have the meanings specified in the indenture. When we refer to “we,” “our” and “us” in this section, we mean Innventure, Inc. excluding, unless the context otherwise requires or as otherwise expressly stated, its subsidiaries.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the debt securities will be our direct, unsecured obligations and will rank equally with all of our existing and future senior unsecured indebtedness and senior in right of payment to all of our subordinated indebtedness.</w:t>
      </w:r>
    </w:p>
    <w:p>
      <w:pPr>
        <w:spacing w:after="0" w:line="68"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The indenture will not limit the aggregate principal amount of debt securities that may be issued under it and will provide that debt securities may be issued under it from time to time in one or more series. We may specify a maximum aggregate principal amount for the debt securities of any series.</w:t>
      </w:r>
    </w:p>
    <w:p>
      <w:pPr>
        <w:spacing w:after="0" w:line="6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indenture will not afford the holders of the debt securities the right to require us to repurchase or redeem the debt securities in the event of a highly-leveraged transaction.</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will not be obligated to issue all debt securities of one series at the same time and, unless otherwise provided in the applicable prospectus supplement,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provided, however, that if such additional debt securities are not fungible with the outstanding debt securities of such series for U.S. federal income tax purposes, the additional debt securities will have a separate CUSIP number.</w:t>
      </w:r>
    </w:p>
    <w:p>
      <w:pPr>
        <w:spacing w:after="0" w:line="84"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relating to any debt securities being offered, the aggregate principal amount and the following terms of the debt securities, if applicable:</w:t>
      </w:r>
    </w:p>
    <w:p>
      <w:pPr>
        <w:spacing w:after="0" w:line="54"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the debt securities will be issued;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series of debt securities;</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debt securities or subordinated debt securities, and if they are subordinated debt securities, the terms of the subordination;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on the series of debt securities is payable;</w:t>
      </w:r>
    </w:p>
    <w:p>
      <w:pPr>
        <w:spacing w:after="0" w:line="117" w:lineRule="exact"/>
        <w:rPr>
          <w:rFonts w:ascii="Times New Roman" w:cs="Times New Roman" w:eastAsia="Times New Roman" w:hAnsi="Times New Roman"/>
          <w:sz w:val="18"/>
          <w:szCs w:val="18"/>
          <w:color w:val="auto"/>
        </w:rPr>
      </w:pPr>
    </w:p>
    <w:p>
      <w:pPr>
        <w:jc w:val="both"/>
        <w:ind w:left="1000" w:right="439" w:hanging="348"/>
        <w:spacing w:after="0" w:line="312"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rates (which may be fixed or variable) per annum or the method used to determine such rate or rates (including any commodity, commodity index, stock exchange index or financial index) at which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8"/>
          <w:szCs w:val="18"/>
          <w:color w:val="auto"/>
        </w:rPr>
        <w:t>series of debt securities will bear interest, if any, the date or dates from which such interest, if any, will accrue, the date or dates on which such interest, if any, will commence and be payable and any regular record date for the interest payable on any interest payment date;</w:t>
      </w:r>
    </w:p>
    <w:p>
      <w:pPr>
        <w:spacing w:after="0" w:line="68"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periods and the duration of that extension;</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and interest, if any, on, the debt securities will be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the debt securities may be redeemed;</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may have to redeem or purchase the debt securities pursuant to any sinking fund or analogous provisions or at the option of a holder of the debt securities;</w:t>
      </w:r>
    </w:p>
    <w:p>
      <w:pPr>
        <w:spacing w:after="0" w:line="53" w:lineRule="exact"/>
        <w:rPr>
          <w:rFonts w:ascii="Times New Roman" w:cs="Times New Roman" w:eastAsia="Times New Roman" w:hAnsi="Times New Roman"/>
          <w:sz w:val="18"/>
          <w:szCs w:val="18"/>
          <w:color w:val="auto"/>
        </w:rPr>
      </w:pPr>
    </w:p>
    <w:p>
      <w:pPr>
        <w:jc w:val="both"/>
        <w:ind w:left="1000" w:right="47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the debt securities at the option of the holders of the debt securities and other detailed terms and provisions of such repurchase obligations;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$2,000 and integral multiples of $1,000 in excess thereof;</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and premium and interest, if any, on, the debt securities will be made if other than U.S. dollars;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this prospectus or in the indenture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 with respect to the debt securities;</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such debt securities);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series of debt securities, if other than those, if any, appointed in the indenture;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conversion of the debt securities.</w:t>
      </w:r>
    </w:p>
    <w:p>
      <w:pPr>
        <w:spacing w:after="0" w:line="117"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foregoing is not intended to be an exclusive list of the terms that may be applicable to any offered debt securities.</w:t>
      </w:r>
    </w:p>
    <w:p>
      <w:pPr>
        <w:spacing w:after="0" w:line="5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addition, the indenture will not limit our ability to issue convertible, exchangeable or subordinated debt securities. Any conversion, exchange or subordination provisions of debt securities will be described in the relevant prospectus supplement. Such terms may include provisions for conversion or exchange, either mandatory, at the option of the holder or at our option, in which case the number of shares of Common Stock or other securities to be received by the holders of debt securities would be calculated as of a time and in the manner stated in the prospectus supplement.</w:t>
      </w:r>
    </w:p>
    <w:p>
      <w:pPr>
        <w:spacing w:after="0" w:line="79" w:lineRule="exact"/>
        <w:rPr>
          <w:sz w:val="20"/>
          <w:szCs w:val="20"/>
          <w:color w:val="auto"/>
        </w:rPr>
      </w:pPr>
    </w:p>
    <w:p>
      <w:pPr>
        <w:jc w:val="both"/>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w:t>
      </w:r>
    </w:p>
    <w:p>
      <w:pPr>
        <w:spacing w:after="0" w:line="7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registrar or co-registrar designated by us.</w:t>
      </w:r>
    </w:p>
    <w:p>
      <w:pPr>
        <w:spacing w:after="0" w:line="117"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redemption of debt securities of any series, we will not be required to:</w:t>
      </w:r>
    </w:p>
    <w:p>
      <w:pPr>
        <w:spacing w:after="0" w:line="117" w:lineRule="exact"/>
        <w:rPr>
          <w:sz w:val="20"/>
          <w:szCs w:val="20"/>
          <w:color w:val="auto"/>
        </w:rPr>
      </w:pPr>
    </w:p>
    <w:p>
      <w:pPr>
        <w:jc w:val="both"/>
        <w:ind w:left="1000" w:right="35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15 business days before the day of sending of a notice of redemption and ending at the close of business on the day such notice is sent; or</w:t>
      </w:r>
    </w:p>
    <w:p>
      <w:pPr>
        <w:spacing w:after="0" w:line="67" w:lineRule="exact"/>
        <w:rPr>
          <w:rFonts w:ascii="Times New Roman" w:cs="Times New Roman" w:eastAsia="Times New Roman" w:hAnsi="Times New Roman"/>
          <w:sz w:val="18"/>
          <w:szCs w:val="18"/>
          <w:color w:val="auto"/>
        </w:rPr>
      </w:pPr>
    </w:p>
    <w:p>
      <w:pPr>
        <w:jc w:val="both"/>
        <w:ind w:left="1000" w:right="759" w:hanging="348"/>
        <w:spacing w:after="0" w:line="312" w:lineRule="auto"/>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of or exchange any debt security of that series selected, called or being called for redemption, in whole or in part, except the unredeemed portion of any series being redeemed in part.</w:t>
      </w:r>
    </w:p>
    <w:p>
      <w:pPr>
        <w:spacing w:after="0" w:line="3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may initially appoint the trustee as the registrar. Any transfer agent, in addition to the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5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that we will identify in a prospectus supplement;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trustee as custodian for the depositary or its nominee;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117"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54" w:lineRule="exact"/>
        <w:rPr>
          <w:sz w:val="20"/>
          <w:szCs w:val="20"/>
          <w:color w:val="auto"/>
        </w:rPr>
      </w:pPr>
    </w:p>
    <w:p>
      <w:pPr>
        <w:jc w:val="both"/>
        <w:ind w:left="1000" w:right="57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 and in either case we fail to appoint a successor depositary registered as a clearing agency under the Exchange Act within 90 days of such event;</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 and deliver to the trustee an officer’s certificate to the effect that such global securities shall be so exchangeable; or</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debt securities represented by such global securities shall have occurred and be continuing.</w:t>
      </w:r>
    </w:p>
    <w:p>
      <w:pPr>
        <w:spacing w:after="0" w:line="54"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50"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registered in their names;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physical delivery of certificated debt securities;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holders of those debt securities under the indenture.</w:t>
      </w:r>
    </w:p>
    <w:p>
      <w:pPr>
        <w:spacing w:after="0" w:line="117"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50"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depositary’s policies and procedures may change from time to time. Neither we nor the trustee will have any responsibility or liability for the depositary’s acts or omissions or any participant’s records with respect to beneficial interests in a global security.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and Paying Agent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provisions of this subsection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w:t>
      </w:r>
    </w:p>
    <w:p>
      <w:pPr>
        <w:spacing w:after="0" w:line="75"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68"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Subject to any applicable abandoned property law, all monies paid by us to a paying agent for payment on any debt security that remain unclaimed at the end of two years after such payment was due will be repaid to us. Thereafter, the holder may look only to us for such payment.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we may not merge or consolidate with or into any other person, in a transaction in which we are not the surviving corporation, or sell, convey, transfer, lease or otherwise dispose of all or substantially all of the properties and assets of us and our subsidiaries, taken as a whole, to any person, unless:</w:t>
      </w:r>
    </w:p>
    <w:p>
      <w:pPr>
        <w:spacing w:after="0" w:line="72" w:lineRule="exact"/>
        <w:rPr>
          <w:sz w:val="20"/>
          <w:szCs w:val="20"/>
          <w:color w:val="auto"/>
        </w:rPr>
      </w:pPr>
    </w:p>
    <w:p>
      <w:pPr>
        <w:ind w:left="1000" w:right="7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transferee is a U.S. corporation, limited liability company, partnership, trust or other entity;</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transferee assumes our obligations on the debt securities and under the indenture pursuant to a supplemental indenture in form reasonably satisfactory to the trustee;</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and treating our obligations in connection with or as a result of such transaction as having been incurred as of the time of such transaction, no default or event of default under the indenture shall have occurred and be continuing; and</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have been delivered to the trustee in connection with the foregoing.</w:t>
      </w:r>
    </w:p>
    <w:p>
      <w:pPr>
        <w:spacing w:after="0" w:line="54"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the event of the above transaction, if there is a successor or transferee, then the successor or transferee will expressly assume all of our obligations under the indenture and automatically be substituted for us in the indenture and as issuer of the debt securities and may exercise every right and power of ours under the indenture with the same effect as if such successor or transferee had been named in our place in the indenture; provided, however, that the predecessor company will not be relieved of the obligation to pay principal and interest on the debt securities except in the case of a sale of all of the assets of us and our subsidiaries.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000" w:right="3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debt security of that series when it becomes due and payable, and continuance of that default for a period of 30 days;</w:t>
      </w:r>
    </w:p>
    <w:p>
      <w:pPr>
        <w:spacing w:after="0" w:line="5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on, any debt security of that series when due and payable;</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comply with the covenant described under “—Consolidation, Merger and Sale of Assets”;</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or any supplemental indenture with respect to such series (other than a covenant or warranty that has been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58" w:lineRule="auto"/>
        <w:rPr>
          <w:sz w:val="20"/>
          <w:szCs w:val="20"/>
          <w:color w:val="auto"/>
        </w:rPr>
      </w:pPr>
      <w:r>
        <w:rPr>
          <w:rFonts w:ascii="Times New Roman" w:cs="Times New Roman" w:eastAsia="Times New Roman" w:hAnsi="Times New Roman"/>
          <w:sz w:val="18"/>
          <w:szCs w:val="18"/>
          <w:color w:val="auto"/>
        </w:rPr>
        <w:t>included in the indenture or supplemental indenture solely for the benefit of a series of debt securities other than that series), which default continues uncured for a period of 90 days after (1) we receive written notice from the trustee or (2) we and the trustee receive written notice from the holders of not less than 25% in aggregate principal amount of the outstanding debt securities of that series as provided in the indenture;</w:t>
      </w:r>
    </w:p>
    <w:p>
      <w:pPr>
        <w:spacing w:after="0" w:line="75" w:lineRule="exact"/>
        <w:rPr>
          <w:sz w:val="20"/>
          <w:szCs w:val="20"/>
          <w:color w:val="auto"/>
        </w:rPr>
      </w:pPr>
    </w:p>
    <w:p>
      <w:pPr>
        <w:ind w:left="1000" w:right="4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our company or our significant subsidiaries; and</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5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will promptly deliver to the trustee written notice of any event which with the giving of notice and the lapse of time would become a covenant event of default, or any other event of default provided with respect to debt securities of that series that is described in the applicable prospectus supplement, along with a description of the status and what action we are taking or propose to take with respect to such event of default.</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7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of our company)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of our company,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the holders of a majority in aggregate principal amount of the outstanding debt securities of that series may rescind and annul the acceleration if the rescission and annulment would not conflict with any judgment or decree already rendered and if all events of default with respect to that series, other than the non-payment of principal and interest, if any, with respect to debt securities of that series that has become due and payable solely because of the acceleration, have been cured or waived and all sums paid or advanced by the trustee and the reasonable compensation, expenses and disbursements of the trustee and its agents and counsel have been paid as provided in the indenture.</w:t>
      </w:r>
    </w:p>
    <w:p>
      <w:pPr>
        <w:spacing w:after="0" w:line="8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indenture will provide that the trustee will be under no obligation to exercise any of its rights or powers under the indenture at the request of any holder of outstanding debt securities, unless the trustee receives security or indemnity satisfactory to the trustee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7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8" w:lineRule="exact"/>
        <w:rPr>
          <w:sz w:val="20"/>
          <w:szCs w:val="20"/>
          <w:color w:val="auto"/>
        </w:rPr>
      </w:pPr>
    </w:p>
    <w:p>
      <w:pPr>
        <w:ind w:left="1000" w:right="4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offered security or indemnity satisfactory to the trustee, to institute the proceeding as trustee, and the trustee has not received from the holders of a majority in aggregate principal amount of the outstanding debt securities of that series a direction inconsistent with that request and has failed to institute the proceeding within 60 days.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The indenture will provide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We may amend or modify the indenture without the consent of any holder of debt securities of the series affected by the modifications or amendments in order to:</w:t>
      </w:r>
    </w:p>
    <w:p>
      <w:pPr>
        <w:spacing w:after="0" w:line="54"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including any supplemental indenture, or the debt securities to any corresponding provision of this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or description of the debt securities found in the prospectus supplement as evidenced by an officer’s certificate;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debt securities;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of our obligations in the case of a merger or consolidation and our discharge upon such assumption provided that the provision under “Merger, Consolidation, or Sale of Assets” of the indenture is complied with;</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or make any change that would provide any additional rights or benefits to the holders of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appoint a successor or separate trustee;</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of debt securities in any material respect, as evidenced by an officer’s certificate;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or maintain the qualification of the indenture under the Trust Indenture Act of 1939, as amended.</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with the consent of the holders of at least a majority of the aggregate principal amount of the outstanding debt securities of the affected series, and our compliance with any provision of the indenture with respect to the debt securities may be waived by written notice to the trustee by the holders of a majority of the aggregate principal amount of the outstanding debt securities of the affected series. However, no modification or amendment may, without the consent of the holder of each outstanding debt security of the affected series:</w:t>
      </w:r>
    </w:p>
    <w:p>
      <w:pPr>
        <w:spacing w:after="0" w:line="79" w:lineRule="exact"/>
        <w:rPr>
          <w:sz w:val="20"/>
          <w:szCs w:val="20"/>
          <w:color w:val="auto"/>
        </w:rPr>
      </w:pPr>
    </w:p>
    <w:p>
      <w:pPr>
        <w:ind w:left="1000" w:right="45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any premium or change the stated maturity of any debt security or alter or waive any of the provisions with respect to the redemption or repurchase of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currency in which principal, any premium or interest is paid;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amendment and modification provisions in the indenture; or</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debt securities, the consent of the holders of which is required for any of the foregoing modifications or otherwise necessary to modify, supplement or amend the indenture or to waive any past default.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71" w:lineRule="auto"/>
        <w:rPr>
          <w:sz w:val="20"/>
          <w:szCs w:val="20"/>
          <w:color w:val="auto"/>
        </w:rPr>
      </w:pPr>
      <w:r>
        <w:rPr>
          <w:rFonts w:ascii="Times New Roman" w:cs="Times New Roman" w:eastAsia="Times New Roman" w:hAnsi="Times New Roman"/>
          <w:sz w:val="17"/>
          <w:szCs w:val="17"/>
          <w:color w:val="auto"/>
        </w:rPr>
        <w:t>Except for certain specified provisions, the holders of at least a majority in principal amount of the outstanding debt securities of an affected series may, on behalf of the holders of all debt securities of such series, waive our compliance with provisions of the indenture. Prior to the acceleration of the maturity of the debt securities of any series pursuant to the terms of the indenture, the holders of a majority in aggregate principal amount of the outstanding debt securities of such series may, on behalf of the holders of all the debt securities of such series, waive any past default under the indenture with respect to such debt securities and its consequences, except (i) a default with respect to such series in the payment of the principal of, or premium or any interest on, the debt securities of such series or (ii) a default or event of default in respect of a covenant or provision that cannot be modified or amended without the consent of all of the holders of the outstanding debt securities of the affected series.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in certain circumstances, we may be discharged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obligations in respect of the debt securities of any series (except for certain obligations to register the transfer or exchange of debt securities, to replace stolen, lost or mutilated debt securities,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premium and interest in accordance with the terms of the indenture and the debt securities of that series.</w:t>
      </w:r>
    </w:p>
    <w:p>
      <w:pPr>
        <w:spacing w:after="0" w:line="82"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based thereon such opinion shall confirm that, the beneficial owners of the debt securities of the applicable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82"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upon compliance with certain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be released from our obligation to comply with certain covenants set forth in the indenture and any supplemental indenture, and any failure to comply with those covenants will not constitute a default or an event of default with respect to the debt securities of the applicable series, or covenant defeasance. If we exercise our covenant defeasance option with respect to a series of debt securities, payment of such debt securities may not be accelerated because of an event of default related to certain events of bankruptcy, insolvency or reorganization of our significant subsidiaries.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ind w:left="1000" w:right="359" w:hanging="348"/>
        <w:spacing w:after="0" w:line="25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of, premium and interest in accordance with the terms of the indenture and the debt securities of the applicable series; and</w:t>
      </w:r>
    </w:p>
    <w:p>
      <w:pPr>
        <w:spacing w:after="0" w:line="79"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beneficial owners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obligating us to sell to the holders, a specified number of shares of Common Stock or other securities at a future date or dates. The price per security of the securities and the number of securities may be fixed at the time the purchase contracts are issued or may be determined by reference to a specific formula set forth in the purchase contracts. The purchase contracts also may require us to make periodic payments to the holders of the purchase contracts, or vice versa, and those payments may be unsecured or refunded on some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w:t>
      </w:r>
    </w:p>
    <w:p>
      <w:pPr>
        <w:spacing w:after="0" w:line="80"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purchase contracts will describe the terms of the purchase contracts. The description in the prospectus supplement will not necessarily be complete, and reference will be made to the purchase contracts, and, if applicable, collateral or depositary arrangements, relating to the purchase contracts, which will be filed with the SEC each time we issue purchase contracts. U.S. federal income tax considerations applicable to the purchase contracts will also be discussed in the prospectus supplement.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54" w:lineRule="exact"/>
        <w:rPr>
          <w:sz w:val="20"/>
          <w:szCs w:val="20"/>
          <w:color w:val="auto"/>
        </w:rPr>
      </w:pPr>
    </w:p>
    <w:p>
      <w:pPr>
        <w:ind w:left="1000" w:right="35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the offered securities in and outside the United States:</w:t>
      </w:r>
    </w:p>
    <w:p>
      <w:pPr>
        <w:spacing w:after="0" w:line="117"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rights offering;</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applicable prospectus supplement will include the following information:</w:t>
      </w:r>
    </w:p>
    <w:p>
      <w:pPr>
        <w:spacing w:after="0" w:line="117"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or initial public offering price of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Unless we inform you otherwise in any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80"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agreement, we may retain a dealer-manager to manage a subscription rights offering for us.</w:t>
      </w:r>
    </w:p>
    <w:p>
      <w:pPr>
        <w:spacing w:after="0" w:line="5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84" w:lineRule="exact"/>
        <w:rPr>
          <w:sz w:val="20"/>
          <w:szCs w:val="20"/>
          <w:color w:val="auto"/>
        </w:rPr>
      </w:pPr>
    </w:p>
    <w:p>
      <w:pPr>
        <w:ind w:left="300" w:right="839" w:firstLine="360"/>
        <w:spacing w:after="0" w:line="312" w:lineRule="auto"/>
        <w:rPr>
          <w:sz w:val="20"/>
          <w:szCs w:val="20"/>
          <w:color w:val="auto"/>
        </w:rPr>
      </w:pPr>
      <w:r>
        <w:rPr>
          <w:rFonts w:ascii="Times New Roman" w:cs="Times New Roman" w:eastAsia="Times New Roman" w:hAnsi="Times New Roman"/>
          <w:sz w:val="17"/>
          <w:szCs w:val="17"/>
          <w:color w:val="auto"/>
        </w:rPr>
        <w:t>Some or all of the securities that we offer though this prospectus may be new issues of securities with no established trading market. Certain underwriters may use this prospectus and any accompanying prospectus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supplement for offers and sales related to market-making transactions in the securities.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 These underwriters may act as principal or agent in these transactions, and the sales will be made at prices related to prevailing market prices at the time of sale.</w:t>
      </w:r>
    </w:p>
    <w:p>
      <w:pPr>
        <w:spacing w:after="0" w:line="79"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the securities, we will sell the securities to them as principals. They may then resell the securities to the public at varying prices determined by the dealers at the time of resale. We will include in any applicable prospectus supplement the names of the dealers and the terms of the transaction.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may sell the securities directly. In this case, no underwriters or agents would be involved. We may also sell the securities through agents designated from time to time. In any applicable prospectus supplement, we will name any agent involved in the offer or sale of the offered securities and we will describe any commissions payable to the agent. Unless we inform you otherwise in any applicable prospectus supplement, any agent will agree to use its reasonable best efforts to solicit purchases for the period of its appointment.</w:t>
      </w:r>
    </w:p>
    <w:p>
      <w:pPr>
        <w:spacing w:after="0" w:line="75"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sales of these securities in any applicable prospectus supplement.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any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any applicable prospectus supplement. Remarketing firms may be deemed to be underwriters in connection with the securities they remarket.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we so indicate in any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any applicable prospectus supplement. Any applicable prospectus supplement will describe the commission payable for solicitation of those contracts.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other services for us in the ordinary course of their businesses.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Jones Day will pass upon certain legal matters for us in connection with the securities offered hereby. Any underwriters may be advised about legal matters by their own counsel, who will be named in the applicable prospectus supplement.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1139" w:firstLine="360"/>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of Innventure, Inc. (the “Company”) as of December 31, 2024 (“Successor”) and 2023 (“Predecessor”) and for the period from October 2, 2024 to December 31, 2024</w:t>
      </w:r>
    </w:p>
    <w:p>
      <w:pPr>
        <w:spacing w:after="0" w:line="1"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(“Successor”) and the periods from January 1, 2024 to October 1, 2024 (“Predecessor”) and for the year ended December 31, 2023 (“Predecessor”),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11,428,572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589915</wp:posOffset>
            </wp:positionV>
            <wp:extent cx="1988820" cy="522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19888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521335</wp:posOffset>
            </wp:positionV>
            <wp:extent cx="10972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247015</wp:posOffset>
            </wp:positionV>
            <wp:extent cx="1097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Sole Placement Agent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Titan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1" w:name="page62"/>
    <w:bookmarkEnd w:id="61"/>
    <w:p>
      <w:pPr>
        <w:ind w:left="103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4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prospectus supplement to which this exhibit is attached is a final prospectus for the related offering. The maximum aggregate offering price of that offering is $40,000,002.00.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3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32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bullet"/>
      <w:start w:val="1"/>
    </w:lvl>
  </w:abstractNum>
  <w:abstractNum w:abstractNumId="7">
    <w:nsid w:val="79838CB2"/>
    <w:multiLevelType w:val="hybridMultilevel"/>
    <w:lvl w:ilvl="0">
      <w:lvlJc w:val="left"/>
      <w:lvlText w:val="(%1)"/>
      <w:numFmt w:val="lowerRoman"/>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lowerRoman"/>
      <w:start w:val="6"/>
    </w:lvl>
  </w:abstractNum>
  <w:abstractNum w:abstractNumId="10">
    <w:nsid w:val="189A769B"/>
    <w:multiLevelType w:val="hybridMultilevel"/>
    <w:lvl w:ilvl="0">
      <w:lvlJc w:val="left"/>
      <w:lvlText w:val="(%1)"/>
      <w:numFmt w:val="lowerRoman"/>
      <w:start w:val="1"/>
    </w:lvl>
  </w:abstractNum>
  <w:abstractNum w:abstractNumId="11">
    <w:nsid w:val="54E49EB4"/>
    <w:multiLevelType w:val="hybridMultilevel"/>
    <w:lvl w:ilvl="0">
      <w:lvlJc w:val="left"/>
      <w:lvlText w:val="(%1)"/>
      <w:numFmt w:val="lowerRoman"/>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2"/>
    </w:lvl>
    <w:lvl w:ilvl="1">
      <w:lvlJc w:val="left"/>
      <w:lvlText w:val="(%2)"/>
      <w:numFmt w:val="lowerRoman"/>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jpe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jpe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8" Type="http://schemas.openxmlformats.org/officeDocument/2006/relationships/hyperlink" Target="https://www.sec.gov/ix?doc=/Archives/edgar/data/2001557/000162828025017614/innv-20241231.htm" TargetMode="External"/><Relationship Id="rId19" Type="http://schemas.openxmlformats.org/officeDocument/2006/relationships/hyperlink" Target="https://www.sec.gov/ix?doc=/Archives/edgar/data/2001557/000162828025025892/innv-20250331.htm" TargetMode="External"/><Relationship Id="rId20" Type="http://schemas.openxmlformats.org/officeDocument/2006/relationships/hyperlink" Target="https://www.sec.gov/ix?doc=/Archives/edgar/data/2001557/000162828025040379/innv-20250630.htm" TargetMode="External"/><Relationship Id="rId21" Type="http://schemas.openxmlformats.org/officeDocument/2006/relationships/hyperlink" Target="https://www.sec.gov/ix?doc=/Archives/edgar/data/2001557/000162828025052035/innv-20250930.htm" TargetMode="External"/><Relationship Id="rId22" Type="http://schemas.openxmlformats.org/officeDocument/2006/relationships/hyperlink" Target="https://www.sec.gov/ix?doc=/Archives/edgar/data/2001557/000114036125010344/ef20045913_8k.htm" TargetMode="External"/><Relationship Id="rId23" Type="http://schemas.openxmlformats.org/officeDocument/2006/relationships/hyperlink" Target="https://www.sec.gov/ix?doc=/Archives/edgar/data/0002001557/000114036125037342/ef20056646_8k.htm" TargetMode="External"/><Relationship Id="rId24" Type="http://schemas.openxmlformats.org/officeDocument/2006/relationships/hyperlink" Target="https://www.sec.gov/ix?doc=/Archives/edgar/data/0002001557/000162828025051586/innv-20251112.htm" TargetMode="External"/><Relationship Id="rId25" Type="http://schemas.openxmlformats.org/officeDocument/2006/relationships/hyperlink" Target="https://www.sec.gov/ix?doc=/Archives/edgar/data/0002001557/000162828025052929/innv-20251118.htm" TargetMode="External"/><Relationship Id="rId26" Type="http://schemas.openxmlformats.org/officeDocument/2006/relationships/hyperlink" Target="https://www.sec.gov/ix?doc=/Archives/edgar/data/0002001557/000200155725000034/innv-20251202.htm" TargetMode="External"/><Relationship Id="rId27" Type="http://schemas.openxmlformats.org/officeDocument/2006/relationships/hyperlink" Target="https://www.sec.gov/ix?doc=/Archives/edgar/data/2001557/000114036126001003/ef20062762_8k.htm" TargetMode="External"/><Relationship Id="rId28" Type="http://schemas.openxmlformats.org/officeDocument/2006/relationships/hyperlink" Target="https://www.sec.gov/ix?doc=/Archives/edgar/data/0002001557/000200155726000002/innv-20251229.htm" TargetMode="External"/><Relationship Id="rId29" Type="http://schemas.openxmlformats.org/officeDocument/2006/relationships/hyperlink" Target="https://www.sec.gov/Archives/edgar/data/2001557/000162828025017614/exhibit41to2024descrip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2026-01-14T07:55:09Z</dcterms:created>
  <dcterms:modified xsi:type="dcterms:W3CDTF">2026-01-14T07:55:09Z</dcterms:modified>
</cp:coreProperties>
</file>