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63012_424b3.htm"/>
      <w:bookmarkStart w:id="1" w:name="ksef20063012_424b3"/>
      <w:bookmarkStart w:id="2" w:name="ef20063012_424b3.htm"/>
      <w:bookmarkStart w:id="3" w:name="ksef20063012_424b3"/>
      <w:bookmarkEnd w:id="2"/>
      <w:bookmarkEnd w:id="3"/>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w:t>
      </w:r>
      <w:bookmarkStart w:id="4" w:name="z_Hlk213927290"/>
      <w:bookmarkEnd w:id="4"/>
      <w:r>
        <w:rPr>
          <w:rFonts w:ascii="Times New Roman" w:hAnsi="Times New Roman"/>
          <w:b/>
          <w:color w:val="000000"/>
          <w:sz w:val="20"/>
        </w:rPr>
        <w:t>291034</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Prospectus Supplement No. 4</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(To Prospectus dated November 12, 2025)</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INC.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prospectus supplement updates, amends and supplements the prospectus dated November 12, 2025 (the “Prospectus”), which forms a part of our Registration Statement on Form S-1 (Registration No. 333-291034) and is being filed to update, amend and supplement the information included in the Prospectus with information contained in each of our Current Reports on Form 8-K which were filed with the Securities and Exchange Commission (the “SEC”) on January 12, 2026 (the “Current Reports”). Accordingly, we have attached the Current Reports to this prospectus supplement. Capitalized terms used in this prospectus supplement and not otherwise defined herein have the meanings specified in the Prospectus.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Shares of our common stock, par value $0.0001 per share (our “Common Stock”), are listed on The Nasdaq Stock Market, LLC under the symbol “INV.” On January 12, 2026, the closing price of our Common Stock was $4.34 per share.</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Investing in our securities involves risks that are described in the “Risk Factors” section of the Prospectus.</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date of this prospectus supplement is January 13, 2026.</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0002001557False00020015572025-12-292025-12-29</w: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29,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 w:name="zdf1bba2ef4164f8bac94e6d66bcffc33"/>
      <w:bookmarkStart w:id="6" w:name="zdf1bba2ef4164f8bac94e6d66bcffc33"/>
      <w:bookmarkEnd w:id="6"/>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pPr>
            <w:r>
              <w:rPr/>
            </w:r>
          </w:p>
        </w:tc>
        <w:tc>
          <w:tcPr>
            <w:tcW w:w="874" w:type="dxa"/>
            <w:tcBorders/>
            <w:vAlign w:val="center"/>
          </w:tcPr>
          <w:p>
            <w:pPr>
              <w:pStyle w:val="TableContents"/>
              <w:bidi w:val="0"/>
              <w:spacing w:before="0" w:after="283"/>
              <w:jc w:val="left"/>
              <w:rPr/>
            </w:pPr>
            <w:r>
              <w:rPr/>
            </w:r>
          </w:p>
        </w:tc>
        <w:tc>
          <w:tcPr>
            <w:tcW w:w="876" w:type="dxa"/>
            <w:tcBorders/>
            <w:vAlign w:val="center"/>
          </w:tcPr>
          <w:p>
            <w:pPr>
              <w:pStyle w:val="TableContents"/>
              <w:bidi w:val="0"/>
              <w:spacing w:before="0" w:after="283"/>
              <w:jc w:val="left"/>
              <w:rPr/>
            </w:pPr>
            <w:r>
              <w:rPr/>
            </w:r>
          </w:p>
        </w:tc>
        <w:tc>
          <w:tcPr>
            <w:tcW w:w="794" w:type="dxa"/>
            <w:tcBorders/>
            <w:vAlign w:val="center"/>
          </w:tcPr>
          <w:p>
            <w:pPr>
              <w:pStyle w:val="TableContents"/>
              <w:bidi w:val="0"/>
              <w:spacing w:before="0" w:after="283"/>
              <w:jc w:val="left"/>
              <w:rPr/>
            </w:pPr>
            <w:r>
              <w:rPr/>
            </w:r>
          </w:p>
        </w:tc>
        <w:tc>
          <w:tcPr>
            <w:tcW w:w="794" w:type="dxa"/>
            <w:tcBorders/>
            <w:vAlign w:val="center"/>
          </w:tcPr>
          <w:p>
            <w:pPr>
              <w:pStyle w:val="TableContents"/>
              <w:bidi w:val="0"/>
              <w:spacing w:before="0" w:after="283"/>
              <w:jc w:val="left"/>
              <w:rPr/>
            </w:pPr>
            <w:r>
              <w:rPr/>
            </w:r>
          </w:p>
        </w:tc>
        <w:tc>
          <w:tcPr>
            <w:tcW w:w="796" w:type="dxa"/>
            <w:tcBorders/>
            <w:vAlign w:val="center"/>
          </w:tcPr>
          <w:p>
            <w:pPr>
              <w:pStyle w:val="TableContents"/>
              <w:bidi w:val="0"/>
              <w:spacing w:before="0" w:after="283"/>
              <w:jc w:val="left"/>
              <w:rPr/>
            </w:pPr>
            <w:r>
              <w:rPr/>
            </w:r>
          </w:p>
        </w:tc>
        <w:tc>
          <w:tcPr>
            <w:tcW w:w="1036" w:type="dxa"/>
            <w:tcBorders/>
            <w:vAlign w:val="center"/>
          </w:tcPr>
          <w:p>
            <w:pPr>
              <w:pStyle w:val="TableContents"/>
              <w:bidi w:val="0"/>
              <w:spacing w:before="0" w:after="283"/>
              <w:jc w:val="left"/>
              <w:rPr/>
            </w:pPr>
            <w:r>
              <w:rPr/>
            </w:r>
          </w:p>
        </w:tc>
        <w:tc>
          <w:tcPr>
            <w:tcW w:w="1036" w:type="dxa"/>
            <w:tcBorders/>
            <w:vAlign w:val="center"/>
          </w:tcPr>
          <w:p>
            <w:pPr>
              <w:pStyle w:val="TableContents"/>
              <w:bidi w:val="0"/>
              <w:spacing w:before="0" w:after="283"/>
              <w:jc w:val="left"/>
              <w:rPr/>
            </w:pPr>
            <w:r>
              <w:rPr/>
            </w:r>
          </w:p>
        </w:tc>
        <w:tc>
          <w:tcPr>
            <w:tcW w:w="1467" w:type="dxa"/>
            <w:tcBorders/>
            <w:vAlign w:val="center"/>
          </w:tcPr>
          <w:p>
            <w:pPr>
              <w:pStyle w:val="TableContents"/>
              <w:bidi w:val="0"/>
              <w:spacing w:before="0" w:after="283"/>
              <w:jc w:val="left"/>
              <w:rPr/>
            </w:pPr>
            <w:r>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 w:name="z3e1edbda347a40a9ac6acd54145dadf0"/>
      <w:bookmarkStart w:id="8" w:name="z3e1edbda347a40a9ac6acd54145dadf0"/>
      <w:bookmarkEnd w:id="8"/>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758" w:type="dxa"/>
            <w:tcBorders/>
            <w:vAlign w:val="center"/>
          </w:tcPr>
          <w:p>
            <w:pPr>
              <w:pStyle w:val="TableContents"/>
              <w:bidi w:val="0"/>
              <w:spacing w:before="0" w:after="283"/>
              <w:jc w:val="left"/>
              <w:rPr/>
            </w:pPr>
            <w:r>
              <w:rPr/>
            </w:r>
          </w:p>
        </w:tc>
        <w:tc>
          <w:tcPr>
            <w:tcW w:w="2758" w:type="dxa"/>
            <w:tcBorders/>
            <w:vAlign w:val="center"/>
          </w:tcPr>
          <w:p>
            <w:pPr>
              <w:pStyle w:val="TableContents"/>
              <w:bidi w:val="0"/>
              <w:spacing w:before="0" w:after="283"/>
              <w:jc w:val="left"/>
              <w:rPr/>
            </w:pPr>
            <w:r>
              <w:rPr/>
            </w:r>
          </w:p>
        </w:tc>
        <w:tc>
          <w:tcPr>
            <w:tcW w:w="3918" w:type="dxa"/>
            <w:tcBorders/>
            <w:vAlign w:val="center"/>
          </w:tcPr>
          <w:p>
            <w:pPr>
              <w:pStyle w:val="TableContents"/>
              <w:bidi w:val="0"/>
              <w:spacing w:before="0" w:after="283"/>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p>
      <w:pPr>
        <w:pStyle w:val="Normal"/>
        <w:bidi w:val="0"/>
        <w:spacing w:before="0" w:after="0"/>
        <w:jc w:val="left"/>
        <w:rPr>
          <w:sz w:val="4"/>
          <w:szCs w:val="4"/>
        </w:rPr>
      </w:pPr>
      <w:r>
        <w:rPr>
          <w:sz w:val="4"/>
          <w:szCs w:val="4"/>
        </w:rPr>
      </w:r>
      <w:bookmarkStart w:id="9" w:name="z8cbb7f6401e24f3fa63cd4802bf1c119"/>
      <w:bookmarkStart w:id="10" w:name="z8cbb7f6401e24f3fa63cd4802bf1c119"/>
      <w:bookmarkEnd w:id="10"/>
    </w:p>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pPr>
            <w:r>
              <w:rPr/>
            </w:r>
          </w:p>
        </w:tc>
        <w:tc>
          <w:tcPr>
            <w:tcW w:w="1233" w:type="dxa"/>
            <w:tcBorders/>
            <w:vAlign w:val="center"/>
          </w:tcPr>
          <w:p>
            <w:pPr>
              <w:pStyle w:val="TableContents"/>
              <w:bidi w:val="0"/>
              <w:spacing w:before="0" w:after="283"/>
              <w:jc w:val="left"/>
              <w:rPr/>
            </w:pPr>
            <w:r>
              <w:rPr/>
            </w:r>
          </w:p>
        </w:tc>
        <w:tc>
          <w:tcPr>
            <w:tcW w:w="1233" w:type="dxa"/>
            <w:tcBorders/>
            <w:vAlign w:val="center"/>
          </w:tcPr>
          <w:p>
            <w:pPr>
              <w:pStyle w:val="TableContents"/>
              <w:bidi w:val="0"/>
              <w:spacing w:before="0" w:after="283"/>
              <w:jc w:val="left"/>
              <w:rPr/>
            </w:pPr>
            <w:r>
              <w:rPr/>
            </w:r>
          </w:p>
        </w:tc>
        <w:tc>
          <w:tcPr>
            <w:tcW w:w="516" w:type="dxa"/>
            <w:tcBorders/>
            <w:vAlign w:val="center"/>
          </w:tcPr>
          <w:p>
            <w:pPr>
              <w:pStyle w:val="TableContents"/>
              <w:bidi w:val="0"/>
              <w:spacing w:before="0" w:after="283"/>
              <w:jc w:val="left"/>
              <w:rPr/>
            </w:pPr>
            <w:r>
              <w:rPr/>
            </w:r>
          </w:p>
        </w:tc>
        <w:tc>
          <w:tcPr>
            <w:tcW w:w="516" w:type="dxa"/>
            <w:tcBorders/>
            <w:vAlign w:val="center"/>
          </w:tcPr>
          <w:p>
            <w:pPr>
              <w:pStyle w:val="TableContents"/>
              <w:bidi w:val="0"/>
              <w:spacing w:before="0" w:after="283"/>
              <w:jc w:val="left"/>
              <w:rPr/>
            </w:pPr>
            <w:r>
              <w:rPr/>
            </w:r>
          </w:p>
        </w:tc>
        <w:tc>
          <w:tcPr>
            <w:tcW w:w="516" w:type="dxa"/>
            <w:tcBorders/>
            <w:vAlign w:val="center"/>
          </w:tcPr>
          <w:p>
            <w:pPr>
              <w:pStyle w:val="TableContents"/>
              <w:bidi w:val="0"/>
              <w:spacing w:before="0" w:after="283"/>
              <w:jc w:val="left"/>
              <w:rPr/>
            </w:pPr>
            <w:r>
              <w:rPr/>
            </w:r>
          </w:p>
        </w:tc>
        <w:tc>
          <w:tcPr>
            <w:tcW w:w="1120" w:type="dxa"/>
            <w:tcBorders/>
            <w:vAlign w:val="center"/>
          </w:tcPr>
          <w:p>
            <w:pPr>
              <w:pStyle w:val="TableContents"/>
              <w:bidi w:val="0"/>
              <w:spacing w:before="0" w:after="283"/>
              <w:jc w:val="left"/>
              <w:rPr/>
            </w:pPr>
            <w:r>
              <w:rPr/>
            </w:r>
          </w:p>
        </w:tc>
        <w:tc>
          <w:tcPr>
            <w:tcW w:w="1120" w:type="dxa"/>
            <w:tcBorders/>
            <w:vAlign w:val="center"/>
          </w:tcPr>
          <w:p>
            <w:pPr>
              <w:pStyle w:val="TableContents"/>
              <w:bidi w:val="0"/>
              <w:spacing w:before="0" w:after="283"/>
              <w:jc w:val="left"/>
              <w:rPr/>
            </w:pPr>
            <w:r>
              <w:rPr/>
            </w:r>
          </w:p>
        </w:tc>
        <w:tc>
          <w:tcPr>
            <w:tcW w:w="1585" w:type="dxa"/>
            <w:tcBorders/>
            <w:vAlign w:val="center"/>
          </w:tcPr>
          <w:p>
            <w:pPr>
              <w:pStyle w:val="TableContents"/>
              <w:bidi w:val="0"/>
              <w:spacing w:before="0" w:after="283"/>
              <w:jc w:val="left"/>
              <w:rPr/>
            </w:pPr>
            <w:r>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Closing of Accelsius Series B Funding with Legrand and Johnson Controls</w:t>
      </w:r>
    </w:p>
    <w:p>
      <w:pPr>
        <w:pStyle w:val="TextBody"/>
        <w:bidi w:val="0"/>
        <w:spacing w:lineRule="auto" w:line="288" w:before="120" w:after="120"/>
        <w:jc w:val="both"/>
        <w:rPr>
          <w:rFonts w:ascii="Times New Roman" w:hAnsi="Times New Roman"/>
          <w:color w:val="000000"/>
          <w:sz w:val="20"/>
        </w:rPr>
      </w:pPr>
      <w:r>
        <w:rPr>
          <w:rFonts w:ascii="Times New Roman;serif" w:hAnsi="Times New Roman;serif"/>
          <w:b w:val="false"/>
          <w:color w:val="000000"/>
          <w:sz w:val="20"/>
        </w:rPr>
        <w:t>On December 29, 2025 (the “</w:t>
      </w:r>
      <w:r>
        <w:rPr>
          <w:rFonts w:ascii="Times New Roman;serif" w:hAnsi="Times New Roman;serif"/>
          <w:b/>
          <w:i/>
          <w:color w:val="000000"/>
          <w:sz w:val="20"/>
        </w:rPr>
        <w:t>Closing</w:t>
      </w:r>
      <w:r>
        <w:rPr>
          <w:rFonts w:ascii="Times New Roman" w:hAnsi="Times New Roman"/>
          <w:color w:val="000000"/>
          <w:sz w:val="20"/>
        </w:rPr>
        <w:t xml:space="preserve">” </w:t>
      </w:r>
      <w:r>
        <w:rPr>
          <w:rFonts w:ascii="Times New Roman;serif" w:hAnsi="Times New Roman;serif"/>
          <w:b w:val="false"/>
          <w:color w:val="000000"/>
          <w:sz w:val="20"/>
        </w:rPr>
        <w:t>or “</w:t>
      </w:r>
      <w:r>
        <w:rPr>
          <w:rFonts w:ascii="Times New Roman;serif" w:hAnsi="Times New Roman;serif"/>
          <w:b/>
          <w:i/>
          <w:color w:val="000000"/>
          <w:sz w:val="20"/>
        </w:rPr>
        <w:t>Closing Date</w:t>
      </w:r>
      <w:r>
        <w:rPr>
          <w:rFonts w:ascii="Times New Roman" w:hAnsi="Times New Roman"/>
          <w:color w:val="000000"/>
          <w:sz w:val="20"/>
        </w:rPr>
        <w:t>”</w:t>
      </w:r>
      <w:r>
        <w:rPr>
          <w:rFonts w:ascii="Times New Roman;serif" w:hAnsi="Times New Roman;serif"/>
          <w:b w:val="false"/>
          <w:color w:val="000000"/>
          <w:sz w:val="20"/>
        </w:rPr>
        <w:t>), Accelsius Holdings LLC (“</w:t>
      </w:r>
      <w:r>
        <w:rPr>
          <w:rFonts w:ascii="Times New Roman;serif" w:hAnsi="Times New Roman;serif"/>
          <w:b/>
          <w:i/>
          <w:color w:val="000000"/>
          <w:sz w:val="20"/>
        </w:rPr>
        <w:t>Accelsius</w:t>
      </w:r>
      <w:r>
        <w:rPr>
          <w:rFonts w:ascii="Times New Roman" w:hAnsi="Times New Roman"/>
          <w:color w:val="000000"/>
          <w:sz w:val="20"/>
        </w:rPr>
        <w:t>”</w:t>
      </w:r>
      <w:r>
        <w:rPr>
          <w:rFonts w:ascii="Times New Roman;serif" w:hAnsi="Times New Roman;serif"/>
          <w:b w:val="false"/>
          <w:color w:val="000000"/>
          <w:sz w:val="20"/>
        </w:rPr>
        <w:t>), a subsidiary of Innventure, Inc. (the “</w:t>
      </w:r>
      <w:r>
        <w:rPr>
          <w:rFonts w:ascii="Times New Roman;serif" w:hAnsi="Times New Roman;serif"/>
          <w:b/>
          <w:i/>
          <w:color w:val="000000"/>
          <w:sz w:val="20"/>
        </w:rPr>
        <w:t>Company</w:t>
      </w:r>
      <w:r>
        <w:rPr>
          <w:rFonts w:ascii="Times New Roman" w:hAnsi="Times New Roman"/>
          <w:color w:val="000000"/>
          <w:sz w:val="20"/>
        </w:rPr>
        <w:t>”</w:t>
      </w:r>
      <w:r>
        <w:rPr>
          <w:rFonts w:ascii="Times New Roman;serif" w:hAnsi="Times New Roman;serif"/>
          <w:b w:val="false"/>
          <w:color w:val="000000"/>
          <w:sz w:val="20"/>
        </w:rPr>
        <w:t>), issued and sold to Legrand DPC, LLC, a Delaware limited liability company (“</w:t>
      </w:r>
      <w:r>
        <w:rPr>
          <w:rFonts w:ascii="Times New Roman;serif" w:hAnsi="Times New Roman;serif"/>
          <w:b/>
          <w:i/>
          <w:color w:val="000000"/>
          <w:sz w:val="20"/>
        </w:rPr>
        <w:t>Legrand</w:t>
      </w:r>
      <w:r>
        <w:rPr>
          <w:rFonts w:ascii="Times New Roman" w:hAnsi="Times New Roman"/>
          <w:color w:val="000000"/>
          <w:sz w:val="20"/>
        </w:rPr>
        <w:t>”</w:t>
      </w:r>
      <w:r>
        <w:rPr>
          <w:rFonts w:ascii="Times New Roman;serif" w:hAnsi="Times New Roman;serif"/>
          <w:b w:val="false"/>
          <w:color w:val="000000"/>
          <w:sz w:val="20"/>
        </w:rPr>
        <w:t>), 822,195 units of Accelsius’ Series B-1 Units (the “</w:t>
      </w:r>
      <w:r>
        <w:rPr>
          <w:rFonts w:ascii="Times New Roman;serif" w:hAnsi="Times New Roman;serif"/>
          <w:b/>
          <w:i/>
          <w:color w:val="000000"/>
          <w:sz w:val="20"/>
        </w:rPr>
        <w:t>Series B-1 Units</w:t>
      </w:r>
      <w:r>
        <w:rPr>
          <w:rFonts w:ascii="Times New Roman" w:hAnsi="Times New Roman"/>
          <w:color w:val="000000"/>
          <w:sz w:val="20"/>
        </w:rPr>
        <w:t>”</w:t>
      </w:r>
      <w:r>
        <w:rPr>
          <w:rFonts w:ascii="Times New Roman;serif" w:hAnsi="Times New Roman;serif"/>
          <w:b w:val="false"/>
          <w:color w:val="000000"/>
          <w:sz w:val="20"/>
        </w:rPr>
        <w:t>) for gross proceeds of approximately $30 million. Additionally, on the Closing Date, Accelsius issued and sold to Johnson Controls, Inc., a Wisconsin corporation and an existing holder of Series B-1 Units (“</w:t>
      </w:r>
      <w:r>
        <w:rPr>
          <w:rFonts w:ascii="Times New Roman;serif" w:hAnsi="Times New Roman;serif"/>
          <w:b/>
          <w:i/>
          <w:color w:val="000000"/>
          <w:sz w:val="20"/>
        </w:rPr>
        <w:t>JCI</w:t>
      </w:r>
      <w:r>
        <w:rPr>
          <w:rFonts w:ascii="Times New Roman" w:hAnsi="Times New Roman"/>
          <w:color w:val="000000"/>
          <w:sz w:val="20"/>
        </w:rPr>
        <w:t>”</w:t>
      </w:r>
      <w:r>
        <w:rPr>
          <w:rFonts w:ascii="Times New Roman;serif" w:hAnsi="Times New Roman;serif"/>
          <w:b w:val="false"/>
          <w:color w:val="000000"/>
          <w:sz w:val="20"/>
        </w:rPr>
        <w:t>), an additional 274,065 units of the Series B-1 Units for gross proceeds of approximately $10 million. The approximately $40 million of aggregate gross proceeds to Accelsius from the Closing is in addition to the approximately $25 million of gross proceeds from the issuance and sale of Series B-1 Units to JCI on October 2, 2025, which was previously disclosed in the Current Report on Form 8-K filed by the Company with the Securities and Exchange Commission on October 6, 2025 (the “</w:t>
      </w:r>
      <w:r>
        <w:rPr>
          <w:rFonts w:ascii="Times New Roman;serif" w:hAnsi="Times New Roman;serif"/>
          <w:b/>
          <w:i/>
          <w:color w:val="000000"/>
          <w:sz w:val="20"/>
        </w:rPr>
        <w:t>Prior Form 8-K</w:t>
      </w:r>
      <w:r>
        <w:rPr>
          <w:rFonts w:ascii="Times New Roman" w:hAnsi="Times New Roman"/>
          <w:color w:val="000000"/>
          <w:sz w:val="20"/>
        </w:rPr>
        <w:t>”</w:t>
      </w:r>
      <w:r>
        <w:rPr>
          <w:rFonts w:ascii="Times New Roman;serif" w:hAnsi="Times New Roman;serif"/>
          <w:b w:val="false"/>
          <w:color w:val="000000"/>
          <w:sz w:val="20"/>
        </w:rPr>
        <w:t>). For a summary of the rights provided to JCI in connection with its prior investment, see the Prior Form 8-K.</w:t>
      </w:r>
    </w:p>
    <w:p>
      <w:pPr>
        <w:pStyle w:val="TextBody"/>
        <w:bidi w:val="0"/>
        <w:spacing w:lineRule="auto" w:line="288" w:before="120" w:after="120"/>
        <w:jc w:val="both"/>
        <w:rPr>
          <w:rFonts w:ascii="Times New Roman" w:hAnsi="Times New Roman"/>
          <w:color w:val="000000"/>
          <w:sz w:val="20"/>
        </w:rPr>
      </w:pPr>
      <w:r>
        <w:rPr>
          <w:rFonts w:ascii="Times New Roman;serif" w:hAnsi="Times New Roman;serif"/>
          <w:b w:val="false"/>
          <w:color w:val="000000"/>
          <w:sz w:val="20"/>
        </w:rPr>
        <w:t>Accelsius will use the proceeds from the sale of the Series B-1 Units, after deducting certain offering expenses, for general company purposes. The Series B-1 Units are convertible at any time and from time to time into Accelsius’ Class A Common Units by dividing the Series B-1 Unit’s Issue Price (as defined below) by the Conversion Price (as defined below) in effect at the time of conversion. The “</w:t>
      </w:r>
      <w:r>
        <w:rPr>
          <w:rFonts w:ascii="Times New Roman;serif" w:hAnsi="Times New Roman;serif"/>
          <w:b/>
          <w:i/>
          <w:color w:val="000000"/>
          <w:sz w:val="20"/>
        </w:rPr>
        <w:t>Issue Price</w:t>
      </w:r>
      <w:r>
        <w:rPr>
          <w:rFonts w:ascii="Times New Roman" w:hAnsi="Times New Roman"/>
          <w:color w:val="000000"/>
          <w:sz w:val="20"/>
        </w:rPr>
        <w:t xml:space="preserve">” </w:t>
      </w:r>
      <w:r>
        <w:rPr>
          <w:rFonts w:ascii="Times New Roman;serif" w:hAnsi="Times New Roman;serif"/>
          <w:b w:val="false"/>
          <w:color w:val="000000"/>
          <w:sz w:val="20"/>
        </w:rPr>
        <w:t>means $36.4877 per unit, subject to appropriate adjustment in the event of any unit dividend, unit split, combination or other similar recapitalization with respect to the applicable Series B-1 Units. The “</w:t>
      </w:r>
      <w:r>
        <w:rPr>
          <w:rFonts w:ascii="Times New Roman;serif" w:hAnsi="Times New Roman;serif"/>
          <w:b/>
          <w:i/>
          <w:color w:val="000000"/>
          <w:sz w:val="20"/>
        </w:rPr>
        <w:t>Conversion Price</w:t>
      </w:r>
      <w:r>
        <w:rPr>
          <w:rFonts w:ascii="Times New Roman" w:hAnsi="Times New Roman"/>
          <w:color w:val="000000"/>
          <w:sz w:val="20"/>
        </w:rPr>
        <w:t xml:space="preserve">” </w:t>
      </w:r>
      <w:r>
        <w:rPr>
          <w:rFonts w:ascii="Times New Roman;serif" w:hAnsi="Times New Roman;serif"/>
          <w:b w:val="false"/>
          <w:color w:val="000000"/>
          <w:sz w:val="20"/>
        </w:rPr>
        <w:t>shall initially equal $36.4877 and will be subject to certain adjustments.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Series B-1 Units have not been registered under the Securities Act of 1933, as amended, may not be offered or sold absent registration or an applicable exemption from registration requirements and are subject to certain restrictions on transfer.</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Amendment of Accelsius’ Operating Agreement</w:t>
      </w:r>
    </w:p>
    <w:p>
      <w:pPr>
        <w:pStyle w:val="TextBody"/>
        <w:bidi w:val="0"/>
        <w:spacing w:lineRule="auto" w:line="288" w:before="120" w:after="120"/>
        <w:jc w:val="both"/>
        <w:rPr>
          <w:rFonts w:ascii="Times New Roman" w:hAnsi="Times New Roman"/>
          <w:color w:val="000000"/>
          <w:sz w:val="20"/>
        </w:rPr>
      </w:pPr>
      <w:r>
        <w:rPr>
          <w:rFonts w:ascii="Times New Roman;serif" w:hAnsi="Times New Roman;serif"/>
          <w:b w:val="false"/>
          <w:color w:val="000000"/>
          <w:sz w:val="20"/>
        </w:rPr>
        <w:t>In connection with the Closing, Accelsius amended its limited liability company agreement (“</w:t>
      </w:r>
      <w:r>
        <w:rPr>
          <w:rFonts w:ascii="Times New Roman;serif" w:hAnsi="Times New Roman;serif"/>
          <w:b/>
          <w:i/>
          <w:color w:val="000000"/>
          <w:sz w:val="20"/>
        </w:rPr>
        <w:t>Operating Agreement</w:t>
      </w:r>
      <w:r>
        <w:rPr>
          <w:rFonts w:ascii="Times New Roman" w:hAnsi="Times New Roman"/>
          <w:color w:val="000000"/>
          <w:sz w:val="20"/>
        </w:rPr>
        <w:t>”</w:t>
      </w:r>
      <w:r>
        <w:rPr>
          <w:rFonts w:ascii="Times New Roman;serif" w:hAnsi="Times New Roman;serif"/>
          <w:b w:val="false"/>
          <w:color w:val="000000"/>
          <w:sz w:val="20"/>
        </w:rPr>
        <w:t>) to, among other things, include Legrand as a member and expand the size of Accelsius’ board of directors (the “</w:t>
      </w:r>
      <w:r>
        <w:rPr>
          <w:rFonts w:ascii="Times New Roman;serif" w:hAnsi="Times New Roman;serif"/>
          <w:b/>
          <w:i/>
          <w:color w:val="000000"/>
          <w:sz w:val="20"/>
        </w:rPr>
        <w:t>Board</w:t>
      </w:r>
      <w:r>
        <w:rPr>
          <w:rFonts w:ascii="Times New Roman" w:hAnsi="Times New Roman"/>
          <w:color w:val="000000"/>
          <w:sz w:val="20"/>
        </w:rPr>
        <w:t>”</w:t>
      </w:r>
      <w:r>
        <w:rPr>
          <w:rFonts w:ascii="Times New Roman;serif" w:hAnsi="Times New Roman;serif"/>
          <w:b w:val="false"/>
          <w:color w:val="000000"/>
          <w:sz w:val="20"/>
        </w:rPr>
        <w:t>) to eight directors. The amendment to the Operating Agreement provides that, for so long as Legrand and its affiliates continue to beneficially own an aggregate of at least 50% of the Series B-1 Units purchased by Legrand (subject to appropriate adjustment for any unit splits, unit dividends, combinations, recapitalizations and the like or any conversion), Legrand will be entitled to designate and remove one director (the “</w:t>
      </w:r>
      <w:r>
        <w:rPr>
          <w:rFonts w:ascii="Times New Roman;serif" w:hAnsi="Times New Roman;serif"/>
          <w:b/>
          <w:i/>
          <w:color w:val="000000"/>
          <w:sz w:val="20"/>
        </w:rPr>
        <w:t>Legrand Director</w:t>
      </w:r>
      <w:r>
        <w:rPr>
          <w:rFonts w:ascii="Times New Roman" w:hAnsi="Times New Roman"/>
          <w:color w:val="000000"/>
          <w:sz w:val="20"/>
        </w:rPr>
        <w:t>”</w:t>
      </w:r>
      <w:r>
        <w:rPr>
          <w:rFonts w:ascii="Times New Roman;serif" w:hAnsi="Times New Roman;serif"/>
          <w:b w:val="false"/>
          <w:color w:val="000000"/>
          <w:sz w:val="20"/>
        </w:rPr>
        <w:t>). The Legrand Director will be entitled to one vote on all matters that come before the Board and will be entitled to be a member of any committee of the Board or of the board of directors or managers of any subsidiary of Accelsius.</w:t>
      </w:r>
    </w:p>
    <w:p>
      <w:pPr>
        <w:pStyle w:val="TextBody"/>
        <w:bidi w:val="0"/>
        <w:spacing w:lineRule="auto" w:line="288" w:before="120" w:after="120"/>
        <w:jc w:val="both"/>
        <w:rPr>
          <w:rFonts w:ascii="Times New Roman" w:hAnsi="Times New Roman"/>
          <w:color w:val="000000"/>
          <w:sz w:val="20"/>
        </w:rPr>
      </w:pPr>
      <w:r>
        <w:rPr>
          <w:rFonts w:ascii="Times New Roman;serif" w:hAnsi="Times New Roman;serif"/>
          <w:b w:val="false"/>
          <w:color w:val="000000"/>
          <w:sz w:val="20"/>
        </w:rPr>
        <w:t xml:space="preserve">The approval of the Legrand Director is required with respect to any Preferred Decision (as defined in the Operating Agreement). Such “Preferred Decisions” include, among others, (i) any amendment of any provision of the Operating Agreement that would adversely affect the special rights, powers, or preferences of the Series B-1 Units, (ii) the incurrence or guarantee of indebtedness by Accelsius in excess of $20,000,000 in a single transaction or series of related transactions, (iii) the creation of any new class or series of units that would rank senior or </w:t>
      </w:r>
      <w:r>
        <w:rPr>
          <w:rFonts w:ascii="Times New Roman;serif" w:hAnsi="Times New Roman;serif"/>
          <w:b w:val="false"/>
          <w:i/>
          <w:color w:val="000000"/>
          <w:sz w:val="20"/>
        </w:rPr>
        <w:t>pari passu</w:t>
      </w:r>
      <w:r>
        <w:rPr>
          <w:rFonts w:ascii="Times New Roman" w:hAnsi="Times New Roman"/>
          <w:color w:val="000000"/>
          <w:sz w:val="20"/>
        </w:rPr>
        <w:t xml:space="preserve"> </w:t>
      </w:r>
      <w:r>
        <w:rPr>
          <w:rFonts w:ascii="Times New Roman;serif" w:hAnsi="Times New Roman;serif"/>
          <w:b w:val="false"/>
          <w:color w:val="000000"/>
          <w:sz w:val="20"/>
        </w:rPr>
        <w:t>to the Series B-1 Units, and (iv) an increase in the authorized number of Accelsius’ Class A Common Units, Class C Units, or any series of preferred units.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amendment to the Operating Agreement provides Legrand, subject to certain exceptions and conditions, with certain customary preemptive rights, rights of first refusal and rights of co-sale with respect to transfers by other members, information rights and registration rights. Such customary rights, as set forth in the Operating Agreement and which are also made available to JCI, are described in more detail in the Prior Form 8-K. </w:t>
      </w:r>
    </w:p>
    <w:p>
      <w:pPr>
        <w:pStyle w:val="TextBody"/>
        <w:bidi w:val="0"/>
        <w:spacing w:lineRule="auto" w:line="288" w:before="120" w:after="120"/>
        <w:jc w:val="both"/>
        <w:rPr>
          <w:rFonts w:ascii="Times New Roman" w:hAnsi="Times New Roman"/>
          <w:color w:val="000000"/>
          <w:sz w:val="20"/>
        </w:rPr>
      </w:pPr>
      <w:r>
        <w:rPr>
          <w:rFonts w:ascii="Times New Roman;serif" w:hAnsi="Times New Roman;serif"/>
          <w:b w:val="false"/>
          <w:color w:val="000000"/>
          <w:sz w:val="20"/>
          <w:u w:val="single"/>
        </w:rPr>
        <w:t>Agreements with Legrand</w:t>
      </w:r>
      <w:r>
        <w:rPr>
          <w:rFonts w:ascii="Times New Roman" w:hAnsi="Times New Roman"/>
          <w:color w:val="000000"/>
          <w:sz w:val="2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or after Closing, Accelsius expects to enter into several agreements with Legrand, including a reseller agreement, private label agreement, joint development agreement, supply agreement, and contract manufacturer agreement. </w:t>
      </w:r>
    </w:p>
    <w:p>
      <w:pPr>
        <w:pStyle w:val="TextBody"/>
        <w:bidi w:val="0"/>
        <w:spacing w:before="0" w:after="0"/>
        <w:ind w:left="0" w:right="0" w:firstLine="720"/>
        <w:jc w:val="center"/>
        <w:rPr/>
      </w:pPr>
      <w:r>
        <w:rPr/>
      </w:r>
    </w:p>
    <w:p>
      <w:pPr>
        <w:pStyle w:val="HorizontalLine"/>
        <w:pBdr>
          <w:bottom w:val="single" w:sz="12" w:space="0" w:color="808080"/>
        </w:pBdr>
        <w:bidi w:val="0"/>
        <w:spacing w:before="200" w:after="20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 w:name="z0b8ca88ad1294302bdbf6be35d3231ba"/>
      <w:bookmarkStart w:id="12" w:name="z0b8ca88ad1294302bdbf6be35d3231ba"/>
      <w:bookmarkEnd w:id="12"/>
    </w:p>
    <w:tbl>
      <w:tblPr>
        <w:tblW w:w="5396" w:type="dxa"/>
        <w:jc w:val="left"/>
        <w:tblInd w:w="0" w:type="dxa"/>
        <w:tblLayout w:type="fixed"/>
        <w:tblCellMar>
          <w:top w:w="28" w:type="dxa"/>
          <w:left w:w="28" w:type="dxa"/>
          <w:bottom w:w="28" w:type="dxa"/>
          <w:right w:w="28" w:type="dxa"/>
        </w:tblCellMar>
      </w:tblPr>
      <w:tblGrid>
        <w:gridCol w:w="721"/>
        <w:gridCol w:w="635"/>
        <w:gridCol w:w="639"/>
        <w:gridCol w:w="109"/>
        <w:gridCol w:w="109"/>
        <w:gridCol w:w="109"/>
        <w:gridCol w:w="355"/>
        <w:gridCol w:w="355"/>
        <w:gridCol w:w="355"/>
        <w:gridCol w:w="587"/>
        <w:gridCol w:w="587"/>
        <w:gridCol w:w="835"/>
      </w:tblGrid>
      <w:tr>
        <w:trPr/>
        <w:tc>
          <w:tcPr>
            <w:tcW w:w="721" w:type="dxa"/>
            <w:tcBorders/>
            <w:vAlign w:val="center"/>
          </w:tcPr>
          <w:p>
            <w:pPr>
              <w:pStyle w:val="TableContents"/>
              <w:bidi w:val="0"/>
              <w:spacing w:before="0" w:after="283"/>
              <w:jc w:val="left"/>
              <w:rPr/>
            </w:pPr>
            <w:r>
              <w:rPr/>
            </w:r>
          </w:p>
        </w:tc>
        <w:tc>
          <w:tcPr>
            <w:tcW w:w="635" w:type="dxa"/>
            <w:tcBorders/>
            <w:vAlign w:val="center"/>
          </w:tcPr>
          <w:p>
            <w:pPr>
              <w:pStyle w:val="TableContents"/>
              <w:bidi w:val="0"/>
              <w:spacing w:before="0" w:after="283"/>
              <w:jc w:val="left"/>
              <w:rPr/>
            </w:pPr>
            <w:r>
              <w:rPr/>
            </w:r>
          </w:p>
        </w:tc>
        <w:tc>
          <w:tcPr>
            <w:tcW w:w="63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355" w:type="dxa"/>
            <w:tcBorders/>
            <w:vAlign w:val="center"/>
          </w:tcPr>
          <w:p>
            <w:pPr>
              <w:pStyle w:val="TableContents"/>
              <w:bidi w:val="0"/>
              <w:spacing w:before="0" w:after="283"/>
              <w:jc w:val="left"/>
              <w:rPr/>
            </w:pPr>
            <w:r>
              <w:rPr/>
            </w:r>
          </w:p>
        </w:tc>
        <w:tc>
          <w:tcPr>
            <w:tcW w:w="355" w:type="dxa"/>
            <w:tcBorders/>
            <w:vAlign w:val="center"/>
          </w:tcPr>
          <w:p>
            <w:pPr>
              <w:pStyle w:val="TableContents"/>
              <w:bidi w:val="0"/>
              <w:spacing w:before="0" w:after="283"/>
              <w:jc w:val="left"/>
              <w:rPr/>
            </w:pPr>
            <w:r>
              <w:rPr/>
            </w:r>
          </w:p>
        </w:tc>
        <w:tc>
          <w:tcPr>
            <w:tcW w:w="355" w:type="dxa"/>
            <w:tcBorders/>
            <w:vAlign w:val="center"/>
          </w:tcPr>
          <w:p>
            <w:pPr>
              <w:pStyle w:val="TableContents"/>
              <w:bidi w:val="0"/>
              <w:spacing w:before="0" w:after="283"/>
              <w:jc w:val="left"/>
              <w:rPr/>
            </w:pPr>
            <w:r>
              <w:rPr/>
            </w:r>
          </w:p>
        </w:tc>
        <w:tc>
          <w:tcPr>
            <w:tcW w:w="587" w:type="dxa"/>
            <w:tcBorders/>
            <w:vAlign w:val="center"/>
          </w:tcPr>
          <w:p>
            <w:pPr>
              <w:pStyle w:val="TableContents"/>
              <w:bidi w:val="0"/>
              <w:spacing w:before="0" w:after="283"/>
              <w:jc w:val="left"/>
              <w:rPr/>
            </w:pPr>
            <w:r>
              <w:rPr/>
            </w:r>
          </w:p>
        </w:tc>
        <w:tc>
          <w:tcPr>
            <w:tcW w:w="587" w:type="dxa"/>
            <w:tcBorders/>
            <w:vAlign w:val="center"/>
          </w:tcPr>
          <w:p>
            <w:pPr>
              <w:pStyle w:val="TableContents"/>
              <w:bidi w:val="0"/>
              <w:spacing w:before="0" w:after="283"/>
              <w:jc w:val="left"/>
              <w:rPr/>
            </w:pPr>
            <w:r>
              <w:rPr/>
            </w:r>
          </w:p>
        </w:tc>
        <w:tc>
          <w:tcPr>
            <w:tcW w:w="835" w:type="dxa"/>
            <w:tcBorders/>
            <w:vAlign w:val="center"/>
          </w:tcPr>
          <w:p>
            <w:pPr>
              <w:pStyle w:val="TableContents"/>
              <w:bidi w:val="0"/>
              <w:spacing w:before="0" w:after="283"/>
              <w:jc w:val="left"/>
              <w:rPr/>
            </w:pPr>
            <w:r>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pPr>
            <w:r>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pPr>
            <w:r>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pPr>
            <w:r>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pPr>
            <w:r>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January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pPr>
            <w:r>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pPr>
            <w:r>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pPr>
            <w:r>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rPr>
      </w:pPr>
      <w:r>
        <w:rPr>
          <w:b/>
        </w:rPr>
      </w:r>
    </w:p>
    <w:p>
      <w:pPr>
        <w:pStyle w:val="HorizontalLine"/>
        <w:bidi w:val="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HorizontalLine"/>
        <w:bidi w:val="0"/>
        <w:jc w:val="left"/>
        <w:rPr/>
      </w:pPr>
      <w:r>
        <w:rPr/>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13 or 15(d)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January 12, 2026</w:t>
      </w:r>
    </w:p>
    <w:p>
      <w:pPr>
        <w:pStyle w:val="TextBody"/>
        <w:bidi w:val="0"/>
        <w:spacing w:before="0" w:after="0"/>
        <w:jc w:val="center"/>
        <w:rPr>
          <w:b/>
        </w:rPr>
      </w:pPr>
      <w:r>
        <w:rPr>
          <w:b/>
        </w:rPr>
      </w:r>
    </w:p>
    <w:p>
      <w:pPr>
        <w:pStyle w:val="HorizontalLine"/>
        <w:bidi w:val="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Innventure, Inc.</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HorizontalLine"/>
        <w:bidi w:val="0"/>
        <w:jc w:val="left"/>
        <w:rPr/>
      </w:pPr>
      <w:r>
        <w:rPr/>
      </w:r>
    </w:p>
    <w:p>
      <w:pPr>
        <w:pStyle w:val="TextBody"/>
        <w:bidi w:val="0"/>
        <w:spacing w:before="0" w:after="0"/>
        <w:jc w:val="left"/>
        <w:rPr/>
      </w:pPr>
      <w:r>
        <w:rPr/>
      </w:r>
    </w:p>
    <w:tbl>
      <w:tblPr>
        <w:tblW w:w="6870" w:type="dxa"/>
        <w:jc w:val="left"/>
        <w:tblInd w:w="0" w:type="dxa"/>
        <w:tblLayout w:type="fixed"/>
        <w:tblCellMar>
          <w:top w:w="0" w:type="dxa"/>
          <w:left w:w="0" w:type="dxa"/>
          <w:bottom w:w="0" w:type="dxa"/>
          <w:right w:w="0" w:type="dxa"/>
        </w:tblCellMar>
      </w:tblPr>
      <w:tblGrid>
        <w:gridCol w:w="2480"/>
        <w:gridCol w:w="2615"/>
        <w:gridCol w:w="1775"/>
      </w:tblGrid>
      <w:tr>
        <w:trPr/>
        <w:tc>
          <w:tcPr>
            <w:tcW w:w="2480" w:type="dxa"/>
            <w:tcBorders/>
            <w:vAlign w:val="center"/>
          </w:tcPr>
          <w:p>
            <w:pPr>
              <w:pStyle w:val="TableContents"/>
              <w:bidi w:val="0"/>
              <w:spacing w:before="0" w:after="0"/>
              <w:jc w:val="center"/>
              <w:rPr>
                <w:b/>
              </w:rPr>
            </w:pPr>
            <w:r>
              <w:rPr>
                <w:b/>
              </w:rPr>
              <w:t>Delaware</w:t>
            </w:r>
          </w:p>
          <w:p>
            <w:pPr>
              <w:pStyle w:val="TableContents"/>
              <w:bidi w:val="0"/>
              <w:spacing w:before="0" w:after="0"/>
              <w:jc w:val="center"/>
              <w:rPr/>
            </w:pPr>
            <w:r>
              <w:rPr/>
              <w:t>(State or other jurisdiction</w:t>
            </w:r>
          </w:p>
          <w:p>
            <w:pPr>
              <w:pStyle w:val="TableContents"/>
              <w:bidi w:val="0"/>
              <w:spacing w:before="0" w:after="0"/>
              <w:jc w:val="center"/>
              <w:rPr/>
            </w:pPr>
            <w:r>
              <w:rPr/>
              <w:t>of incorporation)</w:t>
            </w:r>
          </w:p>
        </w:tc>
        <w:tc>
          <w:tcPr>
            <w:tcW w:w="2615" w:type="dxa"/>
            <w:tcBorders/>
            <w:vAlign w:val="center"/>
          </w:tcPr>
          <w:p>
            <w:pPr>
              <w:pStyle w:val="TableContents"/>
              <w:bidi w:val="0"/>
              <w:spacing w:before="0" w:after="0"/>
              <w:jc w:val="center"/>
              <w:rPr>
                <w:b/>
              </w:rPr>
            </w:pPr>
            <w:r>
              <w:rPr>
                <w:b/>
              </w:rPr>
              <w:t>001-42303</w:t>
            </w:r>
          </w:p>
          <w:p>
            <w:pPr>
              <w:pStyle w:val="TableContents"/>
              <w:bidi w:val="0"/>
              <w:spacing w:before="0" w:after="0"/>
              <w:jc w:val="center"/>
              <w:rPr/>
            </w:pPr>
            <w:r>
              <w:rPr/>
              <w:t>(Commission File Number)</w:t>
            </w:r>
          </w:p>
        </w:tc>
        <w:tc>
          <w:tcPr>
            <w:tcW w:w="1775" w:type="dxa"/>
            <w:tcBorders/>
            <w:vAlign w:val="center"/>
          </w:tcPr>
          <w:p>
            <w:pPr>
              <w:pStyle w:val="TableContents"/>
              <w:bidi w:val="0"/>
              <w:spacing w:before="0" w:after="0"/>
              <w:jc w:val="center"/>
              <w:rPr>
                <w:b/>
              </w:rPr>
            </w:pPr>
            <w:r>
              <w:rPr>
                <w:b/>
              </w:rPr>
              <w:t>93-4440048</w:t>
            </w:r>
          </w:p>
          <w:p>
            <w:pPr>
              <w:pStyle w:val="TableContents"/>
              <w:bidi w:val="0"/>
              <w:spacing w:before="0" w:after="0"/>
              <w:jc w:val="center"/>
              <w:rPr/>
            </w:pPr>
            <w:r>
              <w:rPr/>
              <w:t>(IRS Employer</w:t>
            </w:r>
          </w:p>
          <w:p>
            <w:pPr>
              <w:pStyle w:val="TableContents"/>
              <w:bidi w:val="0"/>
              <w:spacing w:before="0" w:after="0"/>
              <w:jc w:val="center"/>
              <w:rPr/>
            </w:pPr>
            <w:r>
              <w:rPr/>
              <w:t>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6900 Tavistock Lakes Blvd, Suite 400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Orlando, Florida 32827</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(321) 209-6787</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left"/>
              <w:rPr/>
            </w:pPr>
            <w:r>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4221"/>
        <w:gridCol w:w="1792"/>
        <w:gridCol w:w="4192"/>
      </w:tblGrid>
      <w:tr>
        <w:trPr/>
        <w:tc>
          <w:tcPr>
            <w:tcW w:w="4221" w:type="dxa"/>
            <w:tcBorders>
              <w:bottom w:val="single" w:sz="12" w:space="0" w:color="000000"/>
            </w:tcBorders>
            <w:vAlign w:val="center"/>
          </w:tcPr>
          <w:p>
            <w:pPr>
              <w:pStyle w:val="TableContents"/>
              <w:bidi w:val="0"/>
              <w:spacing w:before="0" w:after="0"/>
              <w:jc w:val="center"/>
              <w:rPr/>
            </w:pPr>
            <w:r>
              <w:rPr/>
              <w:t>Title of each class</w:t>
            </w:r>
          </w:p>
        </w:tc>
        <w:tc>
          <w:tcPr>
            <w:tcW w:w="1792" w:type="dxa"/>
            <w:tcBorders>
              <w:bottom w:val="single" w:sz="12" w:space="0" w:color="000000"/>
            </w:tcBorders>
            <w:vAlign w:val="center"/>
          </w:tcPr>
          <w:p>
            <w:pPr>
              <w:pStyle w:val="TableContents"/>
              <w:bidi w:val="0"/>
              <w:spacing w:before="0" w:after="0"/>
              <w:jc w:val="center"/>
              <w:rPr/>
            </w:pPr>
            <w:r>
              <w:rPr/>
              <w:t>Trading Symbol(s)</w:t>
            </w:r>
          </w:p>
        </w:tc>
        <w:tc>
          <w:tcPr>
            <w:tcW w:w="4192" w:type="dxa"/>
            <w:tcBorders>
              <w:bottom w:val="single" w:sz="12" w:space="0" w:color="000000"/>
            </w:tcBorders>
            <w:vAlign w:val="center"/>
          </w:tcPr>
          <w:p>
            <w:pPr>
              <w:pStyle w:val="TableContents"/>
              <w:bidi w:val="0"/>
              <w:spacing w:before="0" w:after="0"/>
              <w:jc w:val="center"/>
              <w:rPr/>
            </w:pPr>
            <w:r>
              <w:rPr/>
              <w:t>Name of each exchange on which registered</w:t>
            </w:r>
          </w:p>
        </w:tc>
      </w:tr>
      <w:tr>
        <w:trPr/>
        <w:tc>
          <w:tcPr>
            <w:tcW w:w="4221" w:type="dxa"/>
            <w:tcBorders/>
            <w:tcMar>
              <w:bottom w:w="0" w:type="dxa"/>
            </w:tcMar>
            <w:vAlign w:val="center"/>
          </w:tcPr>
          <w:p>
            <w:pPr>
              <w:pStyle w:val="TableContents"/>
              <w:bidi w:val="0"/>
              <w:spacing w:before="0" w:after="0"/>
              <w:jc w:val="center"/>
              <w:rPr/>
            </w:pPr>
            <w:r>
              <w:rPr/>
              <w:t>Common Stock, par value $0.0001 per share</w:t>
            </w:r>
          </w:p>
        </w:tc>
        <w:tc>
          <w:tcPr>
            <w:tcW w:w="1792" w:type="dxa"/>
            <w:tcBorders/>
            <w:tcMar>
              <w:bottom w:w="0" w:type="dxa"/>
            </w:tcMar>
            <w:vAlign w:val="center"/>
          </w:tcPr>
          <w:p>
            <w:pPr>
              <w:pStyle w:val="TableContents"/>
              <w:bidi w:val="0"/>
              <w:spacing w:before="0" w:after="0"/>
              <w:jc w:val="center"/>
              <w:rPr/>
            </w:pPr>
            <w:r>
              <w:rPr/>
              <w:t>INV</w:t>
            </w:r>
          </w:p>
        </w:tc>
        <w:tc>
          <w:tcPr>
            <w:tcW w:w="4192" w:type="dxa"/>
            <w:tcBorders/>
            <w:tcMar>
              <w:bottom w:w="0" w:type="dxa"/>
            </w:tcMar>
            <w:vAlign w:val="center"/>
          </w:tcPr>
          <w:p>
            <w:pPr>
              <w:pStyle w:val="TableContents"/>
              <w:bidi w:val="0"/>
              <w:spacing w:before="0" w:after="0"/>
              <w:jc w:val="center"/>
              <w:rPr/>
            </w:pPr>
            <w:r>
              <w:rPr/>
              <w:t>The Nasdaq Stock Market, LLC</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0"/>
              <w:jc w:val="both"/>
              <w:rPr>
                <w:b/>
              </w:rPr>
            </w:pPr>
            <w:r>
              <w:rPr>
                <w:b/>
              </w:rPr>
              <w:t>Other Events.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Accelsius Holdings LLC Funding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As announced earlier today, Accelsius Holdings LLC (“</w:t>
      </w:r>
      <w:r>
        <w:rPr>
          <w:rFonts w:ascii="Times New Roman" w:hAnsi="Times New Roman"/>
          <w:b/>
          <w:i/>
          <w:color w:val="000000"/>
          <w:sz w:val="20"/>
        </w:rPr>
        <w:t>Accelsius</w:t>
      </w:r>
      <w:r>
        <w:rPr>
          <w:rFonts w:ascii="Times New Roman" w:hAnsi="Times New Roman"/>
          <w:color w:val="000000"/>
          <w:sz w:val="20"/>
        </w:rPr>
        <w:t>”), a subsidiary of Innventure, Inc. (the “</w:t>
      </w:r>
      <w:r>
        <w:rPr>
          <w:rFonts w:ascii="Times New Roman" w:hAnsi="Times New Roman"/>
          <w:b/>
          <w:i/>
          <w:color w:val="000000"/>
          <w:sz w:val="20"/>
        </w:rPr>
        <w:t>Company</w:t>
      </w:r>
      <w:r>
        <w:rPr>
          <w:rFonts w:ascii="Times New Roman" w:hAnsi="Times New Roman"/>
          <w:color w:val="000000"/>
          <w:sz w:val="20"/>
        </w:rPr>
        <w:t>”), issued and sold to Legrand DPC, LLC (“</w:t>
      </w:r>
      <w:r>
        <w:rPr>
          <w:rFonts w:ascii="Times New Roman" w:hAnsi="Times New Roman"/>
          <w:b/>
          <w:i/>
          <w:color w:val="000000"/>
          <w:sz w:val="20"/>
        </w:rPr>
        <w:t>Legrand</w:t>
      </w:r>
      <w:r>
        <w:rPr>
          <w:rFonts w:ascii="Times New Roman" w:hAnsi="Times New Roman"/>
          <w:color w:val="000000"/>
          <w:sz w:val="20"/>
        </w:rPr>
        <w:t>”) and Johnson Controls, Inc. (“</w:t>
      </w:r>
      <w:r>
        <w:rPr>
          <w:rFonts w:ascii="Times New Roman" w:hAnsi="Times New Roman"/>
          <w:b/>
          <w:i/>
          <w:color w:val="000000"/>
          <w:sz w:val="20"/>
        </w:rPr>
        <w:t>JCI</w:t>
      </w:r>
      <w:r>
        <w:rPr>
          <w:rFonts w:ascii="Times New Roman" w:hAnsi="Times New Roman"/>
          <w:color w:val="000000"/>
          <w:sz w:val="20"/>
        </w:rPr>
        <w:t>”) units of Accelsius’ Series B-1 Units (the “</w:t>
      </w:r>
      <w:r>
        <w:rPr>
          <w:rFonts w:ascii="Times New Roman" w:hAnsi="Times New Roman"/>
          <w:b/>
          <w:i/>
          <w:color w:val="000000"/>
          <w:sz w:val="20"/>
        </w:rPr>
        <w:t>Series B-1 Units</w:t>
      </w:r>
      <w:r>
        <w:rPr>
          <w:rFonts w:ascii="Times New Roman" w:hAnsi="Times New Roman"/>
          <w:color w:val="000000"/>
          <w:sz w:val="20"/>
        </w:rPr>
        <w:t>”) for $40 million, based upon a valuation of approximately $665 million. As with any valuation methodology, the methodologies used are based upon a number of estimates and assumptions that may or may not be accurate.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Balance of Convertible Debentures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As of January 12, 2026, approximately $6 million (in the aggregate) is outstanding under the convertible debentures issued to YA II PN, Ltd. (“</w:t>
      </w:r>
      <w:r>
        <w:rPr>
          <w:rFonts w:ascii="Times New Roman" w:hAnsi="Times New Roman"/>
          <w:b/>
          <w:i/>
          <w:color w:val="000000"/>
          <w:sz w:val="20"/>
        </w:rPr>
        <w:t>Yorkville</w:t>
      </w:r>
      <w:r>
        <w:rPr>
          <w:rFonts w:ascii="Times New Roman" w:hAnsi="Times New Roman"/>
          <w:color w:val="000000"/>
          <w:sz w:val="20"/>
        </w:rPr>
        <w:t>”) pursuant to the securities purchase agreement, dated September 15, 2025, and the securities purchase agreement, dated March 25, 2025 (the “</w:t>
      </w:r>
      <w:r>
        <w:rPr>
          <w:rFonts w:ascii="Times New Roman" w:hAnsi="Times New Roman"/>
          <w:b/>
          <w:i/>
          <w:color w:val="000000"/>
          <w:sz w:val="20"/>
        </w:rPr>
        <w:t>Convertible Debentures</w:t>
      </w:r>
      <w:r>
        <w:rPr>
          <w:rFonts w:ascii="Times New Roman" w:hAnsi="Times New Roman"/>
          <w:color w:val="000000"/>
          <w:sz w:val="20"/>
        </w:rPr>
        <w:t>”). This reflects a decrease in the amount outstanding under the Convertible Debentures of approximately $26.1 million from the approximately $32.1 million outstanding as of September 30, 2025.</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Dated: January 12, 2026</w:t>
      </w:r>
    </w:p>
    <w:p>
      <w:pPr>
        <w:pStyle w:val="TextBody"/>
        <w:bidi w:val="0"/>
        <w:spacing w:before="0" w:after="0"/>
        <w:jc w:val="left"/>
        <w:rPr/>
      </w:pPr>
      <w:r>
        <w:rPr/>
      </w:r>
    </w:p>
    <w:tbl>
      <w:tblPr>
        <w:tblW w:w="2920" w:type="dxa"/>
        <w:jc w:val="left"/>
        <w:tblInd w:w="0" w:type="dxa"/>
        <w:tblLayout w:type="fixed"/>
        <w:tblCellMar>
          <w:top w:w="0" w:type="dxa"/>
          <w:left w:w="0" w:type="dxa"/>
          <w:bottom w:w="0" w:type="dxa"/>
          <w:right w:w="0" w:type="dxa"/>
        </w:tblCellMar>
      </w:tblPr>
      <w:tblGrid>
        <w:gridCol w:w="60"/>
        <w:gridCol w:w="650"/>
        <w:gridCol w:w="2210"/>
      </w:tblGrid>
      <w:tr>
        <w:trPr/>
        <w:tc>
          <w:tcPr>
            <w:tcW w:w="60" w:type="dxa"/>
            <w:tcBorders/>
            <w:vAlign w:val="center"/>
          </w:tcPr>
          <w:p>
            <w:pPr>
              <w:pStyle w:val="TableContents"/>
              <w:bidi w:val="0"/>
              <w:spacing w:before="0" w:after="283"/>
              <w:jc w:val="left"/>
              <w:rPr/>
            </w:pPr>
            <w:r>
              <w:rPr/>
              <w:t> </w:t>
            </w:r>
          </w:p>
        </w:tc>
        <w:tc>
          <w:tcPr>
            <w:tcW w:w="2860" w:type="dxa"/>
            <w:gridSpan w:val="2"/>
            <w:tcBorders/>
            <w:vAlign w:val="center"/>
          </w:tcPr>
          <w:p>
            <w:pPr>
              <w:pStyle w:val="TableContents"/>
              <w:bidi w:val="0"/>
              <w:spacing w:before="0" w:after="0"/>
              <w:jc w:val="left"/>
              <w:rPr>
                <w:b/>
              </w:rPr>
            </w:pPr>
            <w:r>
              <w:rPr>
                <w:b/>
              </w:rPr>
              <w:t>INNVENTURE, INC.</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2210" w:type="dxa"/>
            <w:tcBorders>
              <w:bottom w:val="single" w:sz="12" w:space="0" w:color="000000"/>
            </w:tcBorders>
            <w:tcMar>
              <w:bottom w:w="28" w:type="dxa"/>
            </w:tcMar>
            <w:vAlign w:val="center"/>
          </w:tcPr>
          <w:p>
            <w:pPr>
              <w:pStyle w:val="TableContents"/>
              <w:bidi w:val="0"/>
              <w:spacing w:before="0" w:after="283"/>
              <w:jc w:val="left"/>
              <w:rPr/>
            </w:pPr>
            <w:r>
              <w:rPr/>
              <w:t>/s/ David Yablunosky</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2210" w:type="dxa"/>
            <w:tcBorders/>
            <w:vAlign w:val="center"/>
          </w:tcPr>
          <w:p>
            <w:pPr>
              <w:pStyle w:val="TableContents"/>
              <w:bidi w:val="0"/>
              <w:spacing w:before="0" w:after="0"/>
              <w:jc w:val="left"/>
              <w:rPr/>
            </w:pPr>
            <w:r>
              <w:rPr/>
              <w:t>David Yablunosky</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2210"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1875</Words>
  <Characters>10519</Characters>
  <CharactersWithSpaces>12278</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