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4779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77964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Otworth Michael</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5"/>
          <w:szCs w:val="15"/>
          <w:color w:val="0000FF"/>
        </w:rPr>
        <w:t>6900 TAVISTOCK LAKES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Innventure,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INV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12/09/2024</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923"/>
        <w:spacing w:after="0"/>
        <w:rPr>
          <w:sz w:val="20"/>
          <w:szCs w:val="20"/>
          <w:color w:val="auto"/>
        </w:rPr>
      </w:pPr>
      <w:r>
        <w:rPr>
          <w:rFonts w:ascii="Times New Roman" w:cs="Times New Roman" w:eastAsia="Times New Roman" w:hAnsi="Times New Roman"/>
          <w:sz w:val="16"/>
          <w:szCs w:val="16"/>
          <w:color w:val="0000FF"/>
        </w:rPr>
        <w:t>Executive Chairman</w:t>
      </w:r>
    </w:p>
    <w:p>
      <w:pPr>
        <w:spacing w:after="0" w:line="263" w:lineRule="exact"/>
        <w:rPr>
          <w:sz w:val="24"/>
          <w:szCs w:val="24"/>
          <w:color w:val="auto"/>
        </w:rPr>
      </w:pPr>
    </w:p>
    <w:p>
      <w:pPr>
        <w:sectPr>
          <w:pgSz w:w="11900" w:h="16838" w:orient="portrait"/>
          <w:cols w:equalWidth="0" w:num="3">
            <w:col w:w="3220" w:space="680"/>
            <w:col w:w="3117" w:space="720"/>
            <w:col w:w="3343"/>
          </w:cols>
          <w:pgMar w:left="460" w:top="214" w:right="359" w:bottom="1440" w:gutter="0" w:footer="0" w:header="0"/>
          <w:type w:val="continuous"/>
        </w:sectPr>
      </w:pP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shd w:val="clear" w:color="auto" w:fill="9A9A9A"/>
          </w:tcPr>
          <w:p>
            <w:pPr>
              <w:spacing w:after="0"/>
              <w:rPr>
                <w:sz w:val="3"/>
                <w:szCs w:val="3"/>
                <w:color w:val="auto"/>
              </w:rPr>
            </w:pPr>
          </w:p>
        </w:tc>
        <w:tc>
          <w:tcPr>
            <w:tcW w:w="52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98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700" w:type="dxa"/>
            <w:vAlign w:val="bottom"/>
            <w:gridSpan w:val="8"/>
            <w:vMerge w:val="restart"/>
          </w:tcPr>
          <w:p>
            <w:pPr>
              <w:jc w:val="center"/>
              <w:ind w:right="178"/>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00" w:type="dxa"/>
            <w:vAlign w:val="bottom"/>
            <w:gridSpan w:val="8"/>
            <w:vMerge w:val="continue"/>
          </w:tcPr>
          <w:p>
            <w:pPr>
              <w:spacing w:after="0"/>
              <w:rPr>
                <w:sz w:val="9"/>
                <w:szCs w:val="9"/>
                <w:color w:val="auto"/>
              </w:rPr>
            </w:pPr>
          </w:p>
        </w:tc>
        <w:tc>
          <w:tcPr>
            <w:tcW w:w="36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FL</w:t>
            </w:r>
          </w:p>
        </w:tc>
        <w:tc>
          <w:tcPr>
            <w:tcW w:w="98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32827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gridSpan w:val="5"/>
          </w:tcPr>
          <w:p>
            <w:pPr>
              <w:ind w:left="20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Borders>
              <w:top w:val="single" w:sz="8" w:color="EEEEEE"/>
            </w:tcBorders>
          </w:tcPr>
          <w:p>
            <w:pPr>
              <w:spacing w:after="0"/>
              <w:rPr>
                <w:sz w:val="15"/>
                <w:szCs w:val="15"/>
                <w:color w:val="auto"/>
              </w:rPr>
            </w:pPr>
          </w:p>
        </w:tc>
        <w:tc>
          <w:tcPr>
            <w:tcW w:w="12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jc w:val="center"/>
              <w:ind w:left="5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780"/>
              <w:spacing w:after="0" w:line="125"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0" w:type="dxa"/>
            <w:vAlign w:val="bottom"/>
            <w:gridSpan w:val="3"/>
          </w:tcPr>
          <w:p>
            <w:pPr>
              <w:ind w:left="78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12/09/2024</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w w:val="97"/>
              </w:rPr>
              <w:t>537,705</w:t>
            </w:r>
            <w:r>
              <w:rPr>
                <w:rFonts w:ascii="Times New Roman" w:cs="Times New Roman" w:eastAsia="Times New Roman" w:hAnsi="Times New Roman"/>
                <w:sz w:val="20"/>
                <w:szCs w:val="20"/>
                <w:color w:val="008000"/>
                <w:w w:val="97"/>
                <w:vertAlign w:val="superscript"/>
              </w:rPr>
              <w:t>(1)</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3,090,330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56,202</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20" w:type="dxa"/>
            <w:vAlign w:val="bottom"/>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6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w w:val="99"/>
              </w:rPr>
              <w:t>Expiration Date</w:t>
            </w:r>
          </w:p>
        </w:tc>
        <w:tc>
          <w:tcPr>
            <w:tcW w:w="640" w:type="dxa"/>
            <w:vAlign w:val="bottom"/>
          </w:tcPr>
          <w:p>
            <w:pPr>
              <w:spacing w:after="0"/>
              <w:rPr>
                <w:sz w:val="10"/>
                <w:szCs w:val="10"/>
                <w:color w:val="auto"/>
              </w:rPr>
            </w:pPr>
          </w:p>
        </w:tc>
        <w:tc>
          <w:tcPr>
            <w:tcW w:w="12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ind w:left="140"/>
              <w:spacing w:after="0" w:line="125" w:lineRule="exact"/>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ind w:left="240"/>
              <w:spacing w:after="0"/>
              <w:rPr>
                <w:sz w:val="20"/>
                <w:szCs w:val="20"/>
                <w:color w:val="auto"/>
              </w:rPr>
            </w:pPr>
            <w:r>
              <w:rPr>
                <w:rFonts w:ascii="Arial" w:cs="Arial" w:eastAsia="Arial" w:hAnsi="Arial"/>
                <w:sz w:val="11"/>
                <w:szCs w:val="11"/>
                <w:color w:val="auto"/>
                <w:w w:val="95"/>
              </w:rPr>
              <w:t>$</w:t>
            </w:r>
            <w:r>
              <w:rPr>
                <w:rFonts w:ascii="Times New Roman" w:cs="Times New Roman" w:eastAsia="Times New Roman" w:hAnsi="Times New Roman"/>
                <w:sz w:val="12"/>
                <w:szCs w:val="12"/>
                <w:color w:val="0000FF"/>
                <w:w w:val="95"/>
              </w:rPr>
              <w:t>12.2</w:t>
            </w:r>
          </w:p>
        </w:tc>
        <w:tc>
          <w:tcPr>
            <w:tcW w:w="260" w:type="dxa"/>
            <w:vAlign w:val="bottom"/>
          </w:tcPr>
          <w:p>
            <w:pPr>
              <w:spacing w:after="0"/>
              <w:rPr>
                <w:sz w:val="17"/>
                <w:szCs w:val="17"/>
                <w:color w:val="auto"/>
              </w:rPr>
            </w:pPr>
          </w:p>
        </w:tc>
        <w:tc>
          <w:tcPr>
            <w:tcW w:w="9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0000FF"/>
              </w:rPr>
              <w:t>12/09/2024</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262,295</w:t>
            </w:r>
          </w:p>
        </w:tc>
        <w:tc>
          <w:tcPr>
            <w:tcW w:w="280" w:type="dxa"/>
            <w:vAlign w:val="bottom"/>
          </w:tcPr>
          <w:p>
            <w:pPr>
              <w:spacing w:after="0"/>
              <w:rPr>
                <w:sz w:val="17"/>
                <w:szCs w:val="17"/>
                <w:color w:val="auto"/>
              </w:rPr>
            </w:pPr>
          </w:p>
        </w:tc>
        <w:tc>
          <w:tcPr>
            <w:tcW w:w="8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0000FF"/>
              </w:rPr>
              <w:t>10/02/2025</w:t>
            </w:r>
            <w:r>
              <w:rPr>
                <w:rFonts w:ascii="Times New Roman" w:cs="Times New Roman" w:eastAsia="Times New Roman" w:hAnsi="Times New Roman"/>
                <w:sz w:val="20"/>
                <w:szCs w:val="20"/>
                <w:color w:val="008000"/>
                <w:vertAlign w:val="superscript"/>
              </w:rPr>
              <w:t>(3)</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12/09/2034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262,295</w:t>
            </w:r>
          </w:p>
        </w:tc>
        <w:tc>
          <w:tcPr>
            <w:tcW w:w="2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262,295</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Option (right</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300" w:hanging="2"/>
        <w:spacing w:after="0" w:line="234"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to the Reporting Person under the Innventure, Inc. 2024 Equity and Incentive Compensation Plan, and vesting on October 2, 2025, or, if earlier, on the same date that the lock-up set forth in the contractual lock-up agreement entered into by the Reporting Person on October 24, 2023 terminates pursuant to its terms, subject to the Reporting Person's continuous service to the Issuer until the applicable vesting date.</w:t>
      </w:r>
    </w:p>
    <w:p>
      <w:pPr>
        <w:spacing w:after="0" w:line="25" w:lineRule="exact"/>
        <w:rPr>
          <w:rFonts w:ascii="Times New Roman" w:cs="Times New Roman" w:eastAsia="Times New Roman" w:hAnsi="Times New Roman"/>
          <w:sz w:val="13"/>
          <w:szCs w:val="13"/>
          <w:color w:val="008000"/>
        </w:rPr>
      </w:pPr>
    </w:p>
    <w:p>
      <w:pPr>
        <w:ind w:left="40" w:right="22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Innventure, Inc. (the "Issuer") common stock, par value $0.0001 per share ("Common Stock") are held directly by Innventure1 LLC ("Innventure1"). The Reporting Person is a member of the board of directors of Innventure1 and, as such, shares voting and investment power over the securities held by Innventure1. The Reporting Person disclaims beneficial ownership of the shares reported herein except to the extent of his pecuniary interest therein, if any, and the inclusion of these shares in this report shall not be deemed an admission that the Reporting Person is a beneficial owner of the securities reported in this filing for purposes of Section 16 of the Securities Exchange Act of 1934.</w:t>
      </w:r>
    </w:p>
    <w:p>
      <w:pPr>
        <w:spacing w:after="0" w:line="25"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nonqualified stock options ("Stock Options"), exercisable solely in the Issuer's Common Stock granted by the Issuer to the Reporting Person on December 9, 2024 pursuant to the Innventure, Inc. 2024 Equity</w:t>
      </w:r>
    </w:p>
    <w:p>
      <w:pPr>
        <w:spacing w:after="0" w:line="25" w:lineRule="exact"/>
        <w:rPr>
          <w:rFonts w:ascii="Times New Roman" w:cs="Times New Roman" w:eastAsia="Times New Roman" w:hAnsi="Times New Roman"/>
          <w:sz w:val="11"/>
          <w:szCs w:val="11"/>
          <w:color w:val="008000"/>
        </w:rPr>
      </w:pPr>
    </w:p>
    <w:p>
      <w:pPr>
        <w:ind w:left="40" w:right="160"/>
        <w:spacing w:after="0" w:line="230" w:lineRule="auto"/>
        <w:rPr>
          <w:rFonts w:ascii="Times New Roman" w:cs="Times New Roman" w:eastAsia="Times New Roman" w:hAnsi="Times New Roman"/>
          <w:sz w:val="11"/>
          <w:szCs w:val="11"/>
          <w:color w:val="008000"/>
        </w:rPr>
      </w:pPr>
      <w:r>
        <w:rPr>
          <w:rFonts w:ascii="Times New Roman" w:cs="Times New Roman" w:eastAsia="Times New Roman" w:hAnsi="Times New Roman"/>
          <w:sz w:val="13"/>
          <w:szCs w:val="13"/>
          <w:color w:val="008000"/>
        </w:rPr>
        <w:t>and Incentive Compensation Plan, vest and become exercisable on October 2, 2025, or, if earlier, on the same date that the lock-up set forth in the contractual lock-up agreement entered into by the Reporting Person on October 24, 2023 terminates pursuant to its terms, subject to the Reporting Person's continuous service to the Issuer until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Suzanne Niemeyer, Attorney- </w:t>
      </w:r>
      <w:r>
        <w:rPr>
          <w:rFonts w:ascii="Times New Roman" w:cs="Times New Roman" w:eastAsia="Times New Roman" w:hAnsi="Times New Roman"/>
          <w:sz w:val="31"/>
          <w:szCs w:val="31"/>
          <w:color w:val="0000FF"/>
          <w:vertAlign w:val="subscript"/>
        </w:rPr>
        <w:t>12/11/2024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-15875</wp:posOffset>
            </wp:positionV>
            <wp:extent cx="298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-80010</wp:posOffset>
            </wp:positionV>
            <wp:extent cx="466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672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47082"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2024-12-11T17:46:07Z</dcterms:created>
  <dcterms:modified xsi:type="dcterms:W3CDTF">2024-12-11T17:46:07Z</dcterms:modified>
</cp:coreProperties>
</file>