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22"/>
          <w:szCs w:val="22"/>
          <w:b w:val="1"/>
          <w:bCs w:val="1"/>
          <w:color w:val="0000FF"/>
        </w:rPr>
        <w:t>Innventure,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412115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Ascent Capital Partners</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16427 N Scottsdale Rd, Ste 410</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Scottsdale, AZ, 85255</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928-503-2437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05/04/2026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Ascent Capital Partners LLC</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73"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ARIZONA</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5,462,402.00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5,462,402.00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5,462,402.00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901" w:orient="portrait"/>
          <w:cols w:equalWidth="0" w:num="2">
            <w:col w:w="1060" w:space="60"/>
            <w:col w:w="8979"/>
          </w:cols>
          <w:pgMar w:left="360" w:top="12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Jonathan Loeffler</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901" w:orient="portrait"/>
          <w:cols w:equalWidth="0" w:num="1">
            <w:col w:w="10099"/>
          </w:cols>
          <w:pgMar w:left="360" w:top="12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ARIZONA</w:t>
      </w:r>
    </w:p>
    <w:p>
      <w:pPr>
        <w:spacing w:after="0" w:line="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  Sole Voting Power</w:t>
      </w:r>
    </w:p>
    <w:p>
      <w:pPr>
        <w:sectPr>
          <w:pgSz w:w="11900" w:h="16901" w:orient="portrait"/>
          <w:cols w:equalWidth="0" w:num="2">
            <w:col w:w="960" w:space="160"/>
            <w:col w:w="8979"/>
          </w:cols>
          <w:pgMar w:left="360" w:top="126" w:right="1440"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Shares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5,462,402.00</w:t>
      </w:r>
    </w:p>
    <w:p>
      <w:pPr>
        <w:spacing w:after="0" w:line="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5,462,402.00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5,462,402.00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Mark A Pomeroy Jr</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ARIZONA</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5,462,402.00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5,462,402.00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ectPr>
          <w:pgSz w:w="11900" w:h="16838" w:orient="portrait"/>
          <w:cols w:equalWidth="0" w:num="2">
            <w:col w:w="1060" w:space="60"/>
            <w:col w:w="8979"/>
          </w:cols>
          <w:pgMar w:left="360" w:top="111" w:right="1440" w:bottom="0" w:gutter="0" w:footer="0" w:header="0"/>
          <w:type w:val="continuous"/>
        </w:sectPr>
      </w:pPr>
    </w:p>
    <w:bookmarkStart w:id="3" w:name="page4"/>
    <w:bookmarkEnd w:id="3"/>
    <w:p>
      <w:pPr>
        <w:ind w:left="1120"/>
        <w:spacing w:after="0"/>
        <w:rPr>
          <w:sz w:val="20"/>
          <w:szCs w:val="20"/>
          <w:color w:val="auto"/>
        </w:rPr>
      </w:pPr>
      <w:r>
        <w:rPr>
          <w:rFonts w:ascii="Times New Roman" w:cs="Times New Roman" w:eastAsia="Times New Roman" w:hAnsi="Times New Roman"/>
          <w:sz w:val="22"/>
          <w:szCs w:val="22"/>
          <w:color w:val="auto"/>
        </w:rPr>
        <w:t>5,462,402.00</w:t>
      </w:r>
    </w:p>
    <w:p>
      <w:pPr>
        <w:spacing w:after="0" w:line="43"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ind w:left="1120"/>
        <w:spacing w:after="0"/>
        <w:rPr>
          <w:sz w:val="20"/>
          <w:szCs w:val="20"/>
          <w:color w:val="auto"/>
        </w:rPr>
      </w:pPr>
      <w:r>
        <w:rPr>
          <w:rFonts w:ascii="Times New Roman" w:cs="Times New Roman" w:eastAsia="Times New Roman" w:hAnsi="Times New Roman"/>
          <w:sz w:val="22"/>
          <w:szCs w:val="22"/>
          <w:color w:val="auto"/>
        </w:rPr>
        <w:t>6.8 %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ectPr>
          <w:pgSz w:w="11900" w:h="16838" w:orient="portrait"/>
          <w:cols w:equalWidth="0" w:num="1">
            <w:col w:w="11140"/>
          </w:cols>
          <w:pgMar w:left="360" w:top="112" w:right="39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 w:lineRule="exact"/>
        <w:rPr>
          <w:sz w:val="20"/>
          <w:szCs w:val="20"/>
          <w:color w:val="auto"/>
        </w:rPr>
      </w:pPr>
      <w:r>
        <w:rPr>
          <w:sz w:val="20"/>
          <w:szCs w:val="20"/>
          <w:color w:val="auto"/>
        </w:rPr>
        <w:br w:type="column"/>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Security and Issuer</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Innventure,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ind w:right="620"/>
        <w:spacing w:after="0" w:line="256" w:lineRule="auto"/>
        <w:rPr>
          <w:sz w:val="20"/>
          <w:szCs w:val="20"/>
          <w:color w:val="auto"/>
        </w:rPr>
      </w:pPr>
      <w:r>
        <w:rPr>
          <w:rFonts w:ascii="Times New Roman" w:cs="Times New Roman" w:eastAsia="Times New Roman" w:hAnsi="Times New Roman"/>
          <w:sz w:val="22"/>
          <w:szCs w:val="22"/>
          <w:color w:val="auto"/>
        </w:rPr>
        <w:t>6900 TAVISTOCK LAKES BLVD, SUITE 400, 6900 TAVISTOCK LAKES BLVD, SUITE 400, ORLANDO, FLORIDA , 32827.</w:t>
      </w:r>
    </w:p>
    <w:p>
      <w:pPr>
        <w:spacing w:after="0" w:line="1" w:lineRule="exact"/>
        <w:rPr>
          <w:sz w:val="20"/>
          <w:szCs w:val="20"/>
          <w:color w:val="auto"/>
        </w:rPr>
      </w:pPr>
    </w:p>
    <w:p>
      <w:pPr>
        <w:sectPr>
          <w:pgSz w:w="11900" w:h="16838" w:orient="portrait"/>
          <w:cols w:equalWidth="0" w:num="2">
            <w:col w:w="620" w:space="320"/>
            <w:col w:w="10200"/>
          </w:cols>
          <w:pgMar w:left="360" w:top="112" w:right="399" w:bottom="0" w:gutter="0" w:footer="0" w:header="0"/>
          <w:type w:val="continuous"/>
        </w:sect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2.</w:t>
      </w:r>
      <w:r>
        <w:rPr>
          <w:sz w:val="20"/>
          <w:szCs w:val="20"/>
          <w:color w:val="auto"/>
        </w:rPr>
        <w:tab/>
      </w:r>
      <w:r>
        <w:rPr>
          <w:rFonts w:ascii="Times New Roman" w:cs="Times New Roman" w:eastAsia="Times New Roman" w:hAnsi="Times New Roman"/>
          <w:sz w:val="21"/>
          <w:szCs w:val="21"/>
          <w:color w:val="auto"/>
        </w:rPr>
        <w:t>Identity and Background</w:t>
      </w:r>
    </w:p>
    <w:p>
      <w:pPr>
        <w:spacing w:after="0" w:line="71" w:lineRule="exact"/>
        <w:rPr>
          <w:sz w:val="20"/>
          <w:szCs w:val="20"/>
          <w:color w:val="auto"/>
        </w:rPr>
      </w:pPr>
    </w:p>
    <w:p>
      <w:pPr>
        <w:ind w:left="940" w:hanging="932"/>
        <w:spacing w:after="0"/>
        <w:tabs>
          <w:tab w:leader="none" w:pos="94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Ascent Capital Partners LLC ("Ascent Capital")</w:t>
      </w:r>
    </w:p>
    <w:p>
      <w:pPr>
        <w:spacing w:after="0" w:line="44" w:lineRule="exact"/>
        <w:rPr>
          <w:rFonts w:ascii="Times New Roman" w:cs="Times New Roman" w:eastAsia="Times New Roman" w:hAnsi="Times New Roman"/>
          <w:sz w:val="22"/>
          <w:szCs w:val="22"/>
          <w:color w:val="auto"/>
        </w:rPr>
      </w:pPr>
    </w:p>
    <w:p>
      <w:pPr>
        <w:ind w:left="940" w:hanging="932"/>
        <w:spacing w:after="0"/>
        <w:tabs>
          <w:tab w:leader="none" w:pos="94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16427 N Scottsdale Rd, Ste 410, Scottsdale, AZ 85255</w:t>
      </w:r>
    </w:p>
    <w:p>
      <w:pPr>
        <w:spacing w:after="0" w:line="44" w:lineRule="exact"/>
        <w:rPr>
          <w:rFonts w:ascii="Times New Roman" w:cs="Times New Roman" w:eastAsia="Times New Roman" w:hAnsi="Times New Roman"/>
          <w:sz w:val="22"/>
          <w:szCs w:val="22"/>
          <w:color w:val="auto"/>
        </w:rPr>
      </w:pPr>
    </w:p>
    <w:p>
      <w:pPr>
        <w:ind w:left="9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principal business of Ascent Capital is providing investment advisory services to private funds ("Funds") and</w:t>
      </w:r>
    </w:p>
    <w:p>
      <w:pPr>
        <w:spacing w:after="0" w:line="14" w:lineRule="exact"/>
        <w:rPr>
          <w:rFonts w:ascii="Times New Roman" w:cs="Times New Roman" w:eastAsia="Times New Roman" w:hAnsi="Times New Roman"/>
          <w:sz w:val="22"/>
          <w:szCs w:val="22"/>
          <w:color w:val="auto"/>
        </w:rPr>
      </w:pPr>
    </w:p>
    <w:p>
      <w:pPr>
        <w:ind w:left="940" w:right="40" w:hanging="932"/>
        <w:spacing w:after="0" w:line="184" w:lineRule="auto"/>
        <w:tabs>
          <w:tab w:leader="none" w:pos="940" w:val="left"/>
        </w:tabs>
        <w:numPr>
          <w:ilvl w:val="0"/>
          <w:numId w:val="2"/>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other investors, including through separately managed accounts ("SMAs"). Ascent Capital clients generally pay an asset-based management fee and a performance fee, some of which may be based on the net profits, if any, relating to Issuer securities.</w:t>
      </w:r>
    </w:p>
    <w:p>
      <w:pPr>
        <w:spacing w:after="0" w:line="18" w:lineRule="exact"/>
        <w:rPr>
          <w:rFonts w:ascii="Times New Roman" w:cs="Times New Roman" w:eastAsia="Times New Roman" w:hAnsi="Times New Roman"/>
          <w:sz w:val="42"/>
          <w:szCs w:val="42"/>
          <w:color w:val="auto"/>
          <w:vertAlign w:val="subscript"/>
        </w:rPr>
      </w:pPr>
    </w:p>
    <w:p>
      <w:pPr>
        <w:ind w:left="940" w:right="660" w:hanging="932"/>
        <w:spacing w:after="0" w:line="185" w:lineRule="auto"/>
        <w:tabs>
          <w:tab w:leader="none" w:pos="940" w:val="left"/>
        </w:tabs>
        <w:numPr>
          <w:ilvl w:val="0"/>
          <w:numId w:val="2"/>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No Reporting Person has, during the last five years, been convicted in a criminal proceeding (excluding traffic violations or similar misdemeanors).</w:t>
      </w:r>
    </w:p>
    <w:p>
      <w:pPr>
        <w:spacing w:after="0" w:line="17" w:lineRule="exact"/>
        <w:rPr>
          <w:rFonts w:ascii="Times New Roman" w:cs="Times New Roman" w:eastAsia="Times New Roman" w:hAnsi="Times New Roman"/>
          <w:sz w:val="39"/>
          <w:szCs w:val="39"/>
          <w:color w:val="auto"/>
          <w:vertAlign w:val="subscript"/>
        </w:rPr>
      </w:pPr>
    </w:p>
    <w:p>
      <w:pPr>
        <w:ind w:left="94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2"/>
          <w:szCs w:val="22"/>
          <w:color w:val="auto"/>
        </w:rPr>
        <w:t>No Reporting Person has, during the last five years, been party to a civil proceeding of a judicial or administrative</w:t>
      </w:r>
    </w:p>
    <w:p>
      <w:pPr>
        <w:spacing w:after="0" w:line="14" w:lineRule="exact"/>
        <w:rPr>
          <w:rFonts w:ascii="Times New Roman" w:cs="Times New Roman" w:eastAsia="Times New Roman" w:hAnsi="Times New Roman"/>
          <w:sz w:val="39"/>
          <w:szCs w:val="39"/>
          <w:color w:val="auto"/>
          <w:vertAlign w:val="subscript"/>
        </w:rPr>
      </w:pPr>
    </w:p>
    <w:p>
      <w:pPr>
        <w:ind w:left="940" w:hanging="932"/>
        <w:spacing w:after="0" w:line="184" w:lineRule="auto"/>
        <w:tabs>
          <w:tab w:leader="none" w:pos="940" w:val="left"/>
        </w:tabs>
        <w:numPr>
          <w:ilvl w:val="0"/>
          <w:numId w:val="2"/>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18" w:lineRule="exact"/>
        <w:rPr>
          <w:rFonts w:ascii="Times New Roman" w:cs="Times New Roman" w:eastAsia="Times New Roman" w:hAnsi="Times New Roman"/>
          <w:sz w:val="42"/>
          <w:szCs w:val="42"/>
          <w:color w:val="auto"/>
          <w:vertAlign w:val="subscript"/>
        </w:rPr>
      </w:pPr>
    </w:p>
    <w:p>
      <w:pPr>
        <w:ind w:left="940"/>
        <w:spacing w:after="0"/>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2"/>
          <w:szCs w:val="22"/>
          <w:color w:val="auto"/>
        </w:rPr>
        <w:t>The Reporting Person is an Arizona limited liability company. Jonathan Loeffler and Mark A. Pomeroy Jr, each a</w:t>
      </w:r>
    </w:p>
    <w:p>
      <w:pPr>
        <w:spacing w:after="0" w:line="14" w:lineRule="exact"/>
        <w:rPr>
          <w:rFonts w:ascii="Times New Roman" w:cs="Times New Roman" w:eastAsia="Times New Roman" w:hAnsi="Times New Roman"/>
          <w:sz w:val="42"/>
          <w:szCs w:val="42"/>
          <w:color w:val="auto"/>
          <w:vertAlign w:val="subscript"/>
        </w:rPr>
      </w:pPr>
    </w:p>
    <w:p>
      <w:pPr>
        <w:ind w:left="940" w:right="60" w:hanging="932"/>
        <w:spacing w:after="0" w:line="237" w:lineRule="auto"/>
        <w:tabs>
          <w:tab w:leader="none" w:pos="94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 of the United States of America, are all the members and managers of the Reporting Person and their business address is 16472 N. Scottsdale Rd, Ste. 410, Scottsdale, Arizona 85255</w:t>
      </w:r>
    </w:p>
    <w:p>
      <w:pPr>
        <w:spacing w:after="0" w:line="16"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Source and Amount of Funds or Other Consideration</w:t>
      </w:r>
    </w:p>
    <w:p>
      <w:pPr>
        <w:spacing w:after="0" w:line="44" w:lineRule="exact"/>
        <w:rPr>
          <w:sz w:val="20"/>
          <w:szCs w:val="20"/>
          <w:color w:val="auto"/>
        </w:rPr>
      </w:pPr>
    </w:p>
    <w:p>
      <w:pPr>
        <w:ind w:left="940"/>
        <w:spacing w:after="0" w:line="244" w:lineRule="auto"/>
        <w:rPr>
          <w:sz w:val="20"/>
          <w:szCs w:val="20"/>
          <w:color w:val="auto"/>
        </w:rPr>
      </w:pPr>
      <w:r>
        <w:rPr>
          <w:rFonts w:ascii="Times New Roman" w:cs="Times New Roman" w:eastAsia="Times New Roman" w:hAnsi="Times New Roman"/>
          <w:sz w:val="22"/>
          <w:szCs w:val="22"/>
          <w:color w:val="auto"/>
        </w:rPr>
        <w:t>Ascent Capital acquired beneficial ownership of the securities reported herein at a cost of approximately $18,591,403. The source of funds used to acquire such position was from working capital of private funds and SMAs managed by Ascent Capital.</w:t>
      </w:r>
    </w:p>
    <w:p>
      <w:pPr>
        <w:spacing w:after="0" w:line="11"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40" w:right="20"/>
        <w:spacing w:after="0" w:line="244" w:lineRule="auto"/>
        <w:rPr>
          <w:sz w:val="20"/>
          <w:szCs w:val="20"/>
          <w:color w:val="auto"/>
        </w:rPr>
      </w:pPr>
      <w:r>
        <w:rPr>
          <w:rFonts w:ascii="Times New Roman" w:cs="Times New Roman" w:eastAsia="Times New Roman" w:hAnsi="Times New Roman"/>
          <w:sz w:val="21"/>
          <w:szCs w:val="21"/>
          <w:color w:val="auto"/>
        </w:rPr>
        <w:t>The Reporting Persons acquired the securities reported herein for investment purposes and intend to review their investments in the Issuer on a continuing basis. Subject to various factors, including but not limited to the Issuer's financial position and strategic direction, price levels of the Class A Common Stock, conditions in the securities markets, various laws and regulations applicable to the Issuer and companies in its industry and the Reporting Persons' ownership in the Issuer, and general economic and industry conditions, the Reporting Persons may in the future take actions with respect to their investment in the Issuer as they deem appropriate, including changing their current intentions, with respect to any or all matters required to be disclosed in this Schedule 13D. The Reporting Persons may, from time to time, acquire, or cause affiliates to acquire, additional shares of Class A Common Stock or other securities of the Issuer (including any combination or derivative thereof), dispose, or cause affiliates to dispose, of some or all of their Class A Common Stock or other securities of the Issuer or continue to hold, or cause affiliates to hold, Class A Common Stock or other securities of the Issuer (or any combination or derivative thereof). In addition, the Reporting Persons have engaged and intend to continue to engage, in discussions with management or the board of directors of the Issuer (the "Board") about its business, operations, strategy, and prospects and governance matters or otherwise work with management and the Board with a view to maximizing stockholder value. On May 4, 2026, Ascent Capital delivered a letter to the Board of Directors of the Issuer (the "Board Letter") with</w:t>
      </w:r>
    </w:p>
    <w:p>
      <w:pPr>
        <w:sectPr>
          <w:pgSz w:w="11900" w:h="16838" w:orient="portrait"/>
          <w:cols w:equalWidth="0" w:num="1">
            <w:col w:w="11140"/>
          </w:cols>
          <w:pgMar w:left="360" w:top="112" w:right="399" w:bottom="0" w:gutter="0" w:footer="0" w:header="0"/>
          <w:type w:val="continuous"/>
        </w:sectPr>
      </w:pPr>
    </w:p>
    <w:bookmarkStart w:id="4" w:name="page5"/>
    <w:bookmarkEnd w:id="4"/>
    <w:p>
      <w:pPr>
        <w:ind w:left="940" w:right="140"/>
        <w:spacing w:after="0" w:line="235" w:lineRule="auto"/>
        <w:rPr>
          <w:sz w:val="20"/>
          <w:szCs w:val="20"/>
          <w:color w:val="auto"/>
        </w:rPr>
      </w:pPr>
      <w:r>
        <w:rPr>
          <w:rFonts w:ascii="Times New Roman" w:cs="Times New Roman" w:eastAsia="Times New Roman" w:hAnsi="Times New Roman"/>
          <w:sz w:val="22"/>
          <w:szCs w:val="22"/>
          <w:color w:val="auto"/>
        </w:rPr>
        <w:t>respect to the Issuer's performance, corporate governance, strategic direction and certain actions that Ascent Capital believes the Issuer should take and also clarifying Ascent Capital will not be taking an activist status as an investor and will be inactive; however, it will continue to engage with the board. A copy of the Board Letter is attached as an Exhibit to this Schedule 13D and incorporated by reference in this Item 4. Except as described in this Schedule 13D, the Reporting Person does not have any present plans that relate to or would result in any of the actions described in Item 4 of paragraph (a) through (j), although, the Reporting Person, at any time, may review, reconsider and change their position and/or purpose and/or develop such plans and may from time to time consider pursuing or proposing such matters with advisors, the Issuer or other persons.</w:t>
      </w:r>
    </w:p>
    <w:p>
      <w:pPr>
        <w:spacing w:after="0" w:line="17"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40"/>
        <w:spacing w:after="0" w:line="249" w:lineRule="auto"/>
        <w:rPr>
          <w:sz w:val="20"/>
          <w:szCs w:val="20"/>
          <w:color w:val="auto"/>
        </w:rPr>
      </w:pPr>
      <w:r>
        <w:rPr>
          <w:rFonts w:ascii="Times New Roman" w:cs="Times New Roman" w:eastAsia="Times New Roman" w:hAnsi="Times New Roman"/>
          <w:sz w:val="21"/>
          <w:szCs w:val="21"/>
          <w:color w:val="auto"/>
        </w:rPr>
        <w:t>The information set forth in the cover pages of this Schedule 13D is hereby incorporated by reference into this Item 5. As of the date hereof the Reporting Person may be deemed to beneficially own an aggregate of 5,462,402 shares of the Issuer's Class A Common Stock, representing 6.8% of the outstanding shares of Class A Common Stock, based on</w:t>
      </w:r>
    </w:p>
    <w:p>
      <w:pPr>
        <w:spacing w:after="0" w:line="1" w:lineRule="exact"/>
        <w:rPr>
          <w:sz w:val="20"/>
          <w:szCs w:val="20"/>
          <w:color w:val="auto"/>
        </w:rPr>
      </w:pPr>
    </w:p>
    <w:p>
      <w:pPr>
        <w:ind w:left="940" w:right="100" w:hanging="932"/>
        <w:spacing w:after="0" w:line="234" w:lineRule="auto"/>
        <w:tabs>
          <w:tab w:leader="none" w:pos="94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80,069,319 shares of Class A Common Stock of the Issuer outstanding as of March 23, 2026, which is the total number of Shares outstanding disclosed on the 10-K filed on March 30, 2026. The beneficial ownership reported herein consists of 3,665,560 shares and 76,000 warrants held by Funds and 1,796,842 shares held by SMAs managed by Ascent Capital.</w:t>
      </w:r>
    </w:p>
    <w:p>
      <w:pPr>
        <w:spacing w:after="0" w:line="15" w:lineRule="exact"/>
        <w:rPr>
          <w:rFonts w:ascii="Times New Roman" w:cs="Times New Roman" w:eastAsia="Times New Roman" w:hAnsi="Times New Roman"/>
          <w:sz w:val="22"/>
          <w:szCs w:val="22"/>
          <w:color w:val="auto"/>
        </w:rPr>
      </w:pPr>
    </w:p>
    <w:p>
      <w:pPr>
        <w:ind w:left="940" w:hanging="932"/>
        <w:spacing w:after="0"/>
        <w:tabs>
          <w:tab w:leader="none" w:pos="94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 Item 5(a) above</w:t>
      </w:r>
    </w:p>
    <w:p>
      <w:pPr>
        <w:spacing w:after="0" w:line="44" w:lineRule="exact"/>
        <w:rPr>
          <w:rFonts w:ascii="Times New Roman" w:cs="Times New Roman" w:eastAsia="Times New Roman" w:hAnsi="Times New Roman"/>
          <w:sz w:val="22"/>
          <w:szCs w:val="22"/>
          <w:color w:val="auto"/>
        </w:rPr>
      </w:pPr>
    </w:p>
    <w:p>
      <w:pPr>
        <w:ind w:left="940" w:right="260" w:hanging="932"/>
        <w:spacing w:after="0" w:line="185" w:lineRule="auto"/>
        <w:tabs>
          <w:tab w:leader="none" w:pos="940" w:val="left"/>
        </w:tabs>
        <w:numPr>
          <w:ilvl w:val="0"/>
          <w:numId w:val="3"/>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Except as set forth on Schedule A attached hereto, the Reporting Person has not effected any transaction in Class A Common Stock in the past 60 days.</w:t>
      </w:r>
    </w:p>
    <w:p>
      <w:pPr>
        <w:spacing w:after="0" w:line="17" w:lineRule="exact"/>
        <w:rPr>
          <w:rFonts w:ascii="Times New Roman" w:cs="Times New Roman" w:eastAsia="Times New Roman" w:hAnsi="Times New Roman"/>
          <w:sz w:val="39"/>
          <w:szCs w:val="39"/>
          <w:color w:val="auto"/>
          <w:vertAlign w:val="subscript"/>
        </w:rPr>
      </w:pPr>
    </w:p>
    <w:p>
      <w:pPr>
        <w:ind w:left="94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2"/>
          <w:szCs w:val="22"/>
          <w:color w:val="auto"/>
        </w:rPr>
        <w:t>To the best knowledge of the Reporting Person, no one other than the Reporting Person, or the partners, members,</w:t>
      </w:r>
    </w:p>
    <w:p>
      <w:pPr>
        <w:spacing w:after="0" w:line="14" w:lineRule="exact"/>
        <w:rPr>
          <w:rFonts w:ascii="Times New Roman" w:cs="Times New Roman" w:eastAsia="Times New Roman" w:hAnsi="Times New Roman"/>
          <w:sz w:val="39"/>
          <w:szCs w:val="39"/>
          <w:color w:val="auto"/>
          <w:vertAlign w:val="subscript"/>
        </w:rPr>
      </w:pPr>
    </w:p>
    <w:p>
      <w:pPr>
        <w:ind w:left="940" w:right="320" w:hanging="932"/>
        <w:spacing w:after="0" w:line="184" w:lineRule="auto"/>
        <w:tabs>
          <w:tab w:leader="none" w:pos="940" w:val="left"/>
        </w:tabs>
        <w:numPr>
          <w:ilvl w:val="0"/>
          <w:numId w:val="3"/>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affiliates or shareholders of the Reporting Person or the private funds and/or SMAs it manages, has the right to receive or the power to direct the receipt of dividends from, or the proceeds from the sale of, the Class A Common Stock reported herein as beneficially owned by the Reporting Person.</w:t>
      </w:r>
    </w:p>
    <w:p>
      <w:pPr>
        <w:spacing w:after="0" w:line="18" w:lineRule="exact"/>
        <w:rPr>
          <w:rFonts w:ascii="Times New Roman" w:cs="Times New Roman" w:eastAsia="Times New Roman" w:hAnsi="Times New Roman"/>
          <w:sz w:val="42"/>
          <w:szCs w:val="42"/>
          <w:color w:val="auto"/>
          <w:vertAlign w:val="subscript"/>
        </w:rPr>
      </w:pPr>
    </w:p>
    <w:p>
      <w:pPr>
        <w:ind w:left="940" w:hanging="932"/>
        <w:spacing w:after="0"/>
        <w:tabs>
          <w:tab w:leader="none" w:pos="94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information set forth in Items 2 and 5 of the Schedule 13D is incorporated herein by reference.</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Contracts, Arrangements, Understandings or Relationships With Respect to Securities of the Issuer</w:t>
      </w:r>
    </w:p>
    <w:p>
      <w:pPr>
        <w:spacing w:after="0" w:line="44" w:lineRule="exact"/>
        <w:rPr>
          <w:sz w:val="20"/>
          <w:szCs w:val="20"/>
          <w:color w:val="auto"/>
        </w:rPr>
      </w:pPr>
    </w:p>
    <w:p>
      <w:pPr>
        <w:ind w:left="940" w:right="60"/>
        <w:spacing w:after="0" w:line="268" w:lineRule="auto"/>
        <w:rPr>
          <w:sz w:val="20"/>
          <w:szCs w:val="20"/>
          <w:color w:val="auto"/>
        </w:rPr>
      </w:pPr>
      <w:r>
        <w:rPr>
          <w:rFonts w:ascii="Times New Roman" w:cs="Times New Roman" w:eastAsia="Times New Roman" w:hAnsi="Times New Roman"/>
          <w:sz w:val="21"/>
          <w:szCs w:val="21"/>
          <w:color w:val="auto"/>
        </w:rPr>
        <w:t>The information set forth in Items 2 and 5 of the Schedule 13D is incorporated herein by reference. For the avoidance of doubt, Ascent Capital also owns securities in private companies in which the Issuer also has ownership.</w:t>
      </w:r>
    </w:p>
    <w:p>
      <w:pPr>
        <w:spacing w:after="0" w:line="1"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Please see Exhibit 1 (Ascent Capital Letter)</w:t>
      </w:r>
    </w:p>
    <w:p>
      <w:pPr>
        <w:spacing w:after="0" w:line="3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right="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Ascent Capital Partners LLC</w:t>
      </w:r>
    </w:p>
    <w:p>
      <w:pPr>
        <w:spacing w:after="0" w:line="152"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Jonathan Loeffler</w:t>
      </w:r>
    </w:p>
    <w:p>
      <w:pPr>
        <w:spacing w:after="0" w:line="44"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Name/Title: Managing Director</w:t>
      </w:r>
    </w:p>
    <w:p>
      <w:pPr>
        <w:spacing w:after="0" w:line="44"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05/05/2026</w:t>
      </w:r>
    </w:p>
    <w:p>
      <w:pPr>
        <w:spacing w:after="0" w:line="152"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22"/>
          <w:szCs w:val="22"/>
          <w:color w:val="auto"/>
        </w:rPr>
        <w:t>Jonathan Loeffler</w:t>
      </w:r>
    </w:p>
    <w:p>
      <w:pPr>
        <w:spacing w:after="0" w:line="152"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Jonathan Loeffler</w:t>
      </w:r>
    </w:p>
    <w:p>
      <w:pPr>
        <w:spacing w:after="0" w:line="44"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Name/Title: Managing Director</w:t>
      </w:r>
    </w:p>
    <w:p>
      <w:pPr>
        <w:spacing w:after="0" w:line="44"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05/05/2026</w:t>
      </w:r>
    </w:p>
    <w:p>
      <w:pPr>
        <w:spacing w:after="0" w:line="152"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22"/>
          <w:szCs w:val="22"/>
          <w:color w:val="auto"/>
        </w:rPr>
        <w:t>Mark A Pomeroy Jr</w:t>
      </w:r>
    </w:p>
    <w:p>
      <w:pPr>
        <w:spacing w:after="0" w:line="152" w:lineRule="exact"/>
        <w:rPr>
          <w:sz w:val="20"/>
          <w:szCs w:val="20"/>
          <w:color w:val="auto"/>
        </w:rPr>
      </w:pPr>
    </w:p>
    <w:p>
      <w:pPr>
        <w:ind w:left="3100"/>
        <w:spacing w:after="0"/>
        <w:tabs>
          <w:tab w:leader="none" w:pos="41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Mark A. Pomeroy Jr.</w:t>
      </w:r>
    </w:p>
    <w:p>
      <w:pPr>
        <w:spacing w:after="0" w:line="44"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color w:val="auto"/>
        </w:rPr>
        <w:t>Name/Title: Managing Director</w:t>
      </w:r>
    </w:p>
    <w:p>
      <w:pPr>
        <w:spacing w:after="0" w:line="44" w:lineRule="exact"/>
        <w:rPr>
          <w:sz w:val="20"/>
          <w:szCs w:val="20"/>
          <w:color w:val="auto"/>
        </w:rPr>
      </w:pPr>
    </w:p>
    <w:p>
      <w:pPr>
        <w:ind w:left="3100"/>
        <w:spacing w:after="0"/>
        <w:tabs>
          <w:tab w:leader="none" w:pos="41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05/05/2026</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Comments accompanying signature: </w:t>
      </w:r>
      <w:r>
        <w:rPr>
          <w:rFonts w:ascii="Times New Roman" w:cs="Times New Roman" w:eastAsia="Times New Roman" w:hAnsi="Times New Roman"/>
          <w:sz w:val="21"/>
          <w:szCs w:val="21"/>
          <w:color w:val="auto"/>
        </w:rPr>
        <w:t>n/a</w:t>
      </w:r>
    </w:p>
    <w:sectPr>
      <w:pgSz w:w="11900" w:h="16838" w:orient="portrait"/>
      <w:cols w:equalWidth="0" w:num="1">
        <w:col w:w="11160"/>
      </w:cols>
      <w:pgMar w:left="360" w:top="112"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6334873"/>
    <w:multiLevelType w:val="hybridMultilevel"/>
    <w:lvl w:ilvl="0">
      <w:lvlJc w:val="left"/>
      <w:lvlText w:val="2"/>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lowerLetter"/>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2026-05-05T07:02:41Z</dcterms:created>
  <dcterms:modified xsi:type="dcterms:W3CDTF">2026-05-05T07:02:41Z</dcterms:modified>
</cp:coreProperties>
</file>