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1402080</wp:posOffset>
            </wp:positionH>
            <wp:positionV relativeFrom="paragraph">
              <wp:posOffset>35560</wp:posOffset>
            </wp:positionV>
            <wp:extent cx="43459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5940" cy="17145"/>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001-42303</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93-4440048</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20" w:type="dxa"/>
            <w:vAlign w:val="bottom"/>
            <w:tcBorders>
              <w:top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91"/>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6900 Tavistock Lakes Blvd, Suite 400</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Orlando, Florida</w:t>
            </w:r>
          </w:p>
        </w:tc>
        <w:tc>
          <w:tcPr>
            <w:tcW w:w="11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32827</w:t>
            </w:r>
          </w:p>
        </w:tc>
      </w:tr>
      <w:tr>
        <w:trPr>
          <w:trHeight w:val="234"/>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(321) 209-6787</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11755 Wilshire Boulevard, Suite 2320, Los Angeles, CA 90025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42773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41"/>
        </w:trPr>
        <w:tc>
          <w:tcPr>
            <w:tcW w:w="576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Title of each class</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5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80" w:type="dxa"/>
            <w:vAlign w:val="bottom"/>
          </w:tcPr>
          <w:p>
            <w:pPr>
              <w:spacing w:after="0"/>
              <w:rPr>
                <w:sz w:val="20"/>
                <w:szCs w:val="20"/>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2, 2024 (the “Closing Date”), Learn CW Investment Corporation, a Cayman Islands exempted company (both prior to and after the Closing Date, “Learn CW”) and Innventure LLC, a Delaware limited liability company (“Innventure”), consummated the previously announced Business Combination (as defined below) with Learn SPAC HoldCo, Inc., a Delaware corporation and direct, wholly-owned subsidiary of Learn CW (“Holdco”), LCW Merger Sub, Inc., a Delaware corporation and direct, wholly-owned subsidiary of Holdco (“LCW Merger Sub”), and Innventure Merger Sub, LLC, a Delaware limited liability company and direct, wholly-owned subsidiary of Holdco (“Innventure Merger Sub” and, together with LCW Merger Sub, the “Merger Subs”). Following the closing of the Business Combination, each of Learn CW and Innventure are subsidiaries of Holdco, and Holdco became a publicly traded company. At the closing of the Business Combination, Holdco changed its name to “Innventure, Inc.” (“INV”).</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used in this Current Report on Form 8-K, unless otherwise stated or the context clearly indicates otherwise, the terms the “Registrant,” “Company,” “INV,” “we,” “us,” and “our” refer to Innventure, Inc. and its subsidiaries at and after the Closing Date and giving effect to the consummation of the Business Combination (the “Closing”), the term “Holdco” refers to Innventure, Inc. prior to the Closing Date and without giving effect to the Closing and the term “Innventure” refers to Innventure LLC prior to the Closing Date and without giving effect to the Closing.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Item 2.01 of this Current Report on Form 8-K discusses the consummation of the Business Combination and various other transactions and events contemplated by the Business Combination Agreement (as defined below), which took place on the Closing Date, and is incorporated herein by reference. In addition, the information contained in Holdco’s registration statement on Form S-4 (File No. 333-276714) initially filed with the Securities and Exchange Commission (the “Commission”) on January 26, 2024 (as amended, the “Form S-4”) under the headings “Summary of the Proxy Statement/Consent Solicitation Statement/Prospectus—Related Agreements,” “Management’s Discussion and Analysis of Financial Condition and Results of Operations of Innventure,” and “Executive and Director Compensation of Innventure” is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extraordinary general meeting of the Learn CW shareholders was held on September 30, 2024 (the “Extraordinary General Meeting”), where the Learn CW shareholders considered and approved, among other matters, a proposal to adopt a business combination agreement by and among Learn CW, Innventure, Holdco, and the Merger Subs (the “Business Combination Agreement”), which provided for, among other things, the following mergers:</w:t>
      </w:r>
    </w:p>
    <w:p>
      <w:pPr>
        <w:spacing w:after="0" w:line="176" w:lineRule="exact"/>
        <w:rPr>
          <w:sz w:val="20"/>
          <w:szCs w:val="20"/>
          <w:color w:val="auto"/>
        </w:rPr>
      </w:pPr>
    </w:p>
    <w:p>
      <w:pPr>
        <w:ind w:left="1300" w:hanging="320"/>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LCW Merger Sub merged with and into Learn CW (the “LCW Merger”), with Learn CW as the surviving company of the LCW Merger (the “Surviving LCW Company”);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Merger Sub merged with and into Innventure (the “Innventure Merger” and, together with the LCW Merger, the “Mergers), with Innventure as the surviving entity of the Innventure Merger (the consummation of the Mergers and the other transactions contemplated by the Business Combination Agreement are referred to herein as the “Business Combination”).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material terms and conditions of the Business Combination Agreement and related agreements are described under the heading “Shareholder Proposal No. 1––The Business Combination Proposal” in the definitive proxy statement/consent solicitation statement/prospectus (the “Definitive Proxy Statement”) filed with the Commission on September 10, 2024 by Learn CW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description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At the effective time of the LCW Merger (the “LCW Merger Effective Time”), each Learn CW Class A Ordinary Share (as defined in the Definitive Proxy Statement) issued and outstanding immediately prior to the LCW Merger Effective Time (other than shares to be canceled in accordance with the Business Combination Agreement and any Redemption Shares (as defined in the Definitive Proxy Statement)) were automatically converted into the right to receive one share of Company common stock, par value $0.0001 (“Common Stock”). Each Learn CW Warrant (as defined in the Definitive Proxy Statement) that was outstanding immediately prior to the LCW Merger Effective Time entitles the holders thereof to acquire such number of Learn CW Class A Ordinary Shares per Learn CW Warrant that such holder was entitled to acquire pursuant to the terms and conditions of the warrant agreement, dated as of October 12, 2021 (the “Warrant Agreement”), by and between Learn CW and American Stock Transfer &amp; Trust Company, LLC, a New York limited liability company now known as Equiniti Trust Company, LLC (“Equiniti”). At the effective time of the LCW Merger, pursuant to the Warrant Assumption Agreement, dated October 2, 2024 (the “Warrant Assumption Agreement”), by and among Holdco, Learn CW and Equiniti, the Learn CW Warrants, pursuant to their terms, were converted into warrants to acquire, subject to substantially the same terms and conditions as were applicable under the applicable Learn CW Warrants, the number of shares of Common Stock equal to the number of Learn CW Ordinary Shares for which such Learn CW Warrant would have been exercisable (as assumed, the “Warrants”). This summary is qualified in its entirety by reference to the text of the Warrant Agreement and the Warrant Assumption Agreement, which are included as Exhibits 10.1 and 10.2, respectively, to this Current Report on Form 8-K and are incorporated herein by reference.</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effective time of the Innventure Merger (the “Innventure Merger Effective Time”), the Innventure Units (other than the Class PCTA Units and the Class I Units and other than units to be cancelled in accordance with the Business Combination Agreement) and Class B Preferred Warrants issued and outstanding immediately prior to the Innventure Merger Effective Time were converted into the right to receive a number of shares of Common Stock equal to the Merger Consideration, allocated among the holders of Innventure Units (other than the Class PCTA Units and the Class I Units and other than units to be cancelled in accordance with the Business Combination Agreement) and Class B Preferred Warrants in accordance with the Business Combination Agreement (terms used as defined in the Definitive Proxy Statement).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Extraordinary General Meeting, holders of 8,310,747 shares of Learn CW public shares sold in its initial public offering (the “public shares”) exercised their rights to convert such shares to cash at a conversion price of approximately $11.04 per share, or an aggregate of approximately $91.7 million.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aggregate consideration (the “Merger Consideration”) paid to the Innventure Members (as defined in the Definitive Proxy Statement) consisted of 43,490,268 shares of Common Stock. A portion of this Merger Consideration will be delivered to Innventure Members in the form of a contingent right to receive up to 5,000,000 shares of Common Stock (the “Company Earnout Shares”), which shares were subject to the following milestone conditions (collectively, the “Milestone Conditions”):</w:t>
      </w:r>
    </w:p>
    <w:p>
      <w:pPr>
        <w:spacing w:after="0" w:line="180" w:lineRule="exact"/>
        <w:rPr>
          <w:sz w:val="20"/>
          <w:szCs w:val="20"/>
          <w:color w:val="auto"/>
        </w:rPr>
      </w:pPr>
    </w:p>
    <w:p>
      <w:pPr>
        <w:jc w:val="both"/>
        <w:ind w:left="1300" w:hanging="320"/>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Company Earnout Shares will be issuable upon Accelsius, Inc. having entered into binding contracts providing for revenue for the Company Group (as defined in the Business Combination Agreement) within seven years following the Closing (the “Vesting Period”) in excess of $15 million in revenue;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Company Earnout Shares will be issuable upon the Company’s formation of a new subsidiary, in partnership with a Multi-National Company (as defined in the Business Combination Agreement), as determined using the Company’s “DownSelect” process, within the Vesting Period;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Company Earnout Shares will be issuable upon AeroFlexx, LLC having received in excess of $15 million revenue within the Vesting Period.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summary is qualified in its entirety by reference to the text of the Business Combination Agreement, which is included as Exhibit 2.1 to this Current Report on Form 8-K and is incorporated herein by reference.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Immediately after giving effect to the Business Combination (including as a result of the conversions described above), there were 44,602,673 shares of Common Stock and 18,646,000 Warrants issued and outstanding. Upon the Closing, the Learn CW Ordinary Shares were delisted from the Nasdaq Global Market (“Nasdaq”), and the Company’s shares of Common Stock began trading on Nasdaq under the symbol “INV”. As of the Closing, the Innventure Members owned approximately 86.3% of the Company’s outstanding shares of Common Stock, and the former shareholders of Learn CW (including the Sponsor (as defined below) and the Learn CW independent directors) owned approximately 13.7% of the Company’s outstanding shares of Common Stock (terms used as defined and used in the 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of 8,310,747 Learn CW Class A Ordinary Shares elected to redeem their Learn CW Class A Ordinary Shares and received approximately $11.04 per share redeemed, or approximately $91.7 million in the aggregate, from the Trust Account (as defined in the Proxy Statement) established at the consummation of Learn CW’s initial public offering (the “Trust Account”), which had a balance immediately prior to the Closing of approximately $103.1 million. Following the payment of redemptions, Learn CW had approximately $11.3 million of available cash for disbursement in connection with the Business Combination. Of these funds, all of the approximately $11.3 million was used to pay certain transaction expenses in accordance with the Business Combination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Amended &amp; Restated Registration Rights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Closing, the Company, CWAM LC Sponsor LLC, a Delaware limited liability company (the “Sponsor”), and certain other holders of shares of Common Stock entered into the Amended &amp; Restated Registration Rights Agreement (the “Registration Rights Agreement”). The Registration Rights Agreement provides these holders (and their permitted transferees) with the right to require the Company, at the Company’s expense, to register the Common Stock that they hold, on customary terms, including customary demand and piggyback registration rights. The Registration Rights Agreement also provides that the Company pay certain expenses of the electing holders relating to such registration and indemnify them against liabilities that may arise under the Securities Act of 1933, as amended (the “Securities Act”).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summary and the information incorporated herein by reference is qualified in its entirety by reference to the text of the Registration Rights Agreement, which is included as Exhibit 10.3 to this Current Report on Form 8-K and is incorporated herein by reference.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Amended &amp; Restated Investor Rights Agreement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Closing, the Company, certain Innventure Members (the “Founding Investors”) and other parties entered into the Amended</w:t>
      </w:r>
    </w:p>
    <w:p>
      <w:pPr>
        <w:spacing w:after="0" w:line="27" w:lineRule="exact"/>
        <w:rPr>
          <w:sz w:val="20"/>
          <w:szCs w:val="20"/>
          <w:color w:val="auto"/>
        </w:rPr>
      </w:pPr>
    </w:p>
    <w:p>
      <w:pPr>
        <w:jc w:val="both"/>
        <w:ind w:firstLine="8"/>
        <w:spacing w:after="0" w:line="260" w:lineRule="auto"/>
        <w:tabs>
          <w:tab w:leader="none" w:pos="1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Restated Investor Rights Agreement (the “Investor Rights Agreement”). Pursuant to the Investor Rights Agreement, the Company agreed to grant the Founding Investors certain rights with respect to nomination of the directors of the Company’s board of directors (the “Board”), as further described below.</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Investor Rights Agreement, at each annual meeting or special meeting of stockholders of the Company at which directors are to be elected, the Founding Investors will have the right to nominate for election to the Board a number of nominees (“Founding Investor Nominees”). The number of Founding Investor Nominees with respect to any meeting of stockholders at which directors are to be elected will be as follows:</w:t>
      </w:r>
    </w:p>
    <w:p>
      <w:pPr>
        <w:spacing w:after="0" w:line="176" w:lineRule="exact"/>
        <w:rPr>
          <w:sz w:val="20"/>
          <w:szCs w:val="20"/>
          <w:color w:val="auto"/>
        </w:rPr>
      </w:pPr>
    </w:p>
    <w:p>
      <w:pPr>
        <w:ind w:left="1300" w:right="2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seven (7) directors, so long as the Founding Investors beneficially own greater than 70% of the outstanding shares of Common Stock;</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six (6) directors, so long as the Founding Investors beneficially own more than 50%, but less than 70%, of the outstanding shares of Common Stock;</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four (4) directors, so long as the Founding Investors beneficially own at least 40%, but less than 50%, of the outstanding shares of Common Stock;</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three (3) directors, so long as the Founding Investors beneficially own at least 20%, but less than 40%, of the outstanding shares of Common Stock;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two (2) director, so long as the Founding Investors beneficially own at least 5%, but less than 20%, of the outstanding common shares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the size of the Board is increased or decreased to a number of authorized directors other than nine (9), the Founding Investors’ nomination rights will be proportionately increased or decreased, respectively, rounded up to the nearest whole number. In the event that a vacancy is created on the Board by the death, disability, resignation or removal of a Founding Investor Nominee, the Founding Investors will be entitled to designate an individual to fill the vacancy. At the time of the Closing, the Founding Investors will have the right to nominate for election to the Board four (4) Founding Investor Nominees.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Investor Rights Agreement is qualified in its entirety by reference to the text of the Investor Rights Agreement, which is included as Exhibit 10.4 to this Current Report on Form 8-K and is incorporated herein by reference.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previously disclosed, in connection with the execution of the Business Combination Agreement, Learn CW, Innventure and the Sponsor entered into a Sponsor Support Agreement, which was subsequently modified by the previously disclosed Side Letter (the “SSA Side Letter”) entered into on September 24, 2024 by and among Learn CW, Innventure, Holdco, LCW Merger Sub and Innventure Merger Sub (as modified, the “Sponsor Support Agreement”). Pursuant to the Sponsor Support Agreement, at the Closing (i) the Sponsor forfeited 750,000 Learn CW Class B Ordinary Shares (as defined in the Definitive Proxy Statement); (ii) the Sponsor received 1,880,000 At Risk Holdco Shares (as defined in the Sponsor Support Agreement) which are subject to forfeiture to the extent the Additional Funds (as defined in the Sponsor Support Agreement) are less than $50 million (before financing fees and transaction expenses) as further described in the Sponsor Support Agreement as modified by the SSA Side Letter; and (iii) the Sponsor received an additional approximately 344,866 shares of Common Stock at the Closing (the “Sponsor Earnout Shares”), which are subject to vesting and forfeiture conditions following the Closing.</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Sponsor Earnout Shares will vest upon the achievement of the Milestones (as defined in the Sponsor Support Agreement), and will also be deemed vested if, prior to the expiration of the Vesting Period, there is (i) a Change of Control (as defined in the Business Combination Agreement) of the Company or (ii) VWAP Completion Event. If the Sponsor Earnout Shares shall not have vested pursuant to the foregoing prior to the expiration of the Vesting Period, the Sponsor Earnout Shares shall be deemed forfeited by the Sponsor and be cancelled by the Company for no further consideration. Pursuant to the previously disclosed SSA Side Letter, the VWAP Completion Event (as defined in the Sponsor Support Agreement) is deemed to have been satisfied in full with respect to the retained At Risk Sponsor Shares.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Sponsor Support Agreement is qualified in its entirety by reference to the text of the Sponsor Support Agreement, which is included as Exhibit 10.5 to this Current Report on Form 8-K and is incorporated herein by reference.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Member Support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Innventure Members entered into a Member Support Agreement (the “Member Support Agreement”) with Learn CW, HoldCo, and Innventure, pursuant to which such Innventure Members agreed to, among other things, (i) vote in favor of the Business Combination Agreement and the transactions contemplated thereby, (ii) be subject to a 180-day lock-up period following the Closing with respect to any shares of Holdco Common Stock received as consideration in the Transaction and (iii) be bound by certain other covenants and agreements related to the Transactions.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a Waiver and Consent entered into on October 2, 2024, by and among, Learn CW, Holdco and Innventure (the “Waiver and Consent”), each of Learn CW and Holdco agreed to waive the Member Support Agreement lock-up with respect to 10% of the shares of Common Stock received by the Innventure Members (excluding all directors and officers or expected directors and officers of the Company, Innventure or their affiliates).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each of the Member Support Agreement and Waiver and Consent is qualified in its entirety by reference to the text of the Sponsor Support Agreement and Waiver and Consent, which are included as Exhibit 10.6 and Exhibit 10.10 to this Current Report on Form 8-K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Closing, the Company entered into indemnification agreements with each of its directors and executive officers. Each indemnification agreement provides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applicable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indemnification agreements is qualified in its entirety by reference to the text of the indemnification agreements, a form of which is included as Exhibit 10.7 and is incorporated herein by reference.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Innventure, Inc. 2024 Equity and Incentive Compensation Plan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the Extraordinary General Meeting, the shareholders of Learn CW adopted and approved the Innventure, Inc. 2024 Equity and Incentive Compensation Plan (the “Equity Plan”). The purpose of the Equity Plan is to allow the Company to provide cash awards and equity-based compensation in the form of stock options, stock appreciation rights, restricted stock, restricted stock units, performance shares, performance units, dividend equivalents, and certain other awards, including those denominated or payable in, or otherwise based on, shares of Common Stock, for the purpose of providing incentives and rewards for service and/or performance to the Company’s non-employee directors, as well as officers, employees and certain consultants of the Company and its subsidiaries. The material features of the Equity Plan are described in the Form S-4 under the heading “Shareholder Proposal No. 4 – The Equity Plan Proposal” beginning on page 122, and such description is incorporated herein by reference.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summary and the information incorporated herein by reference is qualified in its entirety by reference to the text of the Equity Plan, which is included as Exhibit 10.8 to this Current Report on Form 8-K and is incorporated herein by reference.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Investment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24, 2024, Holdco entered into an investment agreement with Commonwealth Asset Management LP (together with its assignee, “CWAM LP”), pursuant to which Holdco agreed to issue and sell to CWAM LP an aggregate of 750,000 shares of HoldCo’s Series B Preferred Stock, par value $0.0001 per share (the “Series B Preferred Stock”), in a private placement, at a price of $10.00 per share of Series B Preferred Stock, resulting in an aggregate purchase price of approximately $7.5 million before deducting fees and other estimated offering expenses, which sale closed on October 2, 2024. CWAM LP is an affiliate of CWAM LC Sponsor LLC, Learn CW’s Sponsor.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27, 2024, HoldCo entered into an investment agreement, substantially in the same form as the investment agreement entered into with CWAM LP (collectively, the “Series B Investment Agreements”), with certain purchasers (together with CWAM LP, the “Series B Investors”), pursuant to which HoldCo agreed to issue and sell to such purchasers an aggregate of 352,000 shares of Series B Preferred Stock in a private placement, at a price of $10.00 per share of Series B Preferred Stock (together with the financing with CWAM LP, the “Series B Preferred Stock Financing”). The Series B Preferred Stock Financing closed concurrently with the consummation of the Business Combination and Holdco sold, in total, 1,102,000 shares of Series B Preferred Stock providing Holdco with approximately $11.0 million of gross proceeds before deducting fees and other estimated offering expenses.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Series B Investment Agreements contain customary representations, warranties, and covenants by the parties, including certain indemnification obligations of the Series B Investors. The representations, warranties, and covenants contained in the Series B Investment Agreements were made only for purposes of such agreement and as of specific dates, were solely for the benefit of the parties to the Series B Investment Agreements and are subject to limitations agreed upon by contracting parties. Accordingly, the form of the Series B Investment Agreement is incorporated herein by reference only to provide investors with information regarding the terms of the Series B Investment Agreement and not to provide investors with any other factual information regarding Holdco or its business and should be read in conjunction with the disclosures in Holdco’s periodic reports and other filings with the Securities and Exchange Commission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the Series B Investment Agreements, Holdco is required to prepare and file a registration statement with the Commission under the Securities Act of 1933, as amended (the “Securities Act”), covering the resale of the shares of Common Stock issuable upon conversion of Series B Preferred Stock within 120 days from the original issuance date.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Series B Preferred Certificate of Designations (as defined below), the shares of Series B Preferred Stock have a maturity date five years after the Closing Date and accrue a return equal to 8% per annum (the “Return”), payable on the last day of each quarter in-kind. Shares of Series B Preferred Stock are subject to (i) a mandatory conversion on the date that is five years after original issuance (the “Maturity Date”) and (ii) an optional conversion, at the election of the holder, at any time prior to the Maturity Date upon the effectiveness of a registration statement by the Company registering the underlying shares of Common Stock issuable upon conversion. The number of shares of Common Stock that each holder of Series B Preferred Stock will receive upon conversion of all of such holder’s shares of Series B Preferred Stock will be the number of shares equal to the Series B Conversion Rate (as defined below) multiplied by the number of shares of Series B Preferred Stock held by such holder (subject to a threshold amount). No fractional shares shall be issued upon the exercise of any conversion right. Any fractional shares that a holder would otherwise be entitled to will be rounded up to the next whole share. The “Series B Conversion Rate” means a fraction whose numerator is the Original Issue Price, which is $10.00 per share of Series B Preferred Stock, and whose denominator is the lesser of (i) the Reset Conversion Price or (ii) $12.50. The “Reset Conversion Price” means the greater of (a) $5.00 and (b) the 10-trading day volume-weighted average closing price of the Holdco Common Stock.</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Series B Investment Agreements and the Series B Certificate of Designations are subject to and qualified in their entirety by reference to a form of the Series B Investment Agreement, which is filed as Exhibit 10.9, and the Series B Certificate of Designations, which is filed as Exhibit 3.3, to this Current Report on Form 8-K and is incorporated herein by reference.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Current Report on Form 8-K, including the information incorporated herein by reference, contains forward-looking statements within the meaning of Section 27A of the Securities Act of 1933, as amended, and Section 21E of the Securities Exchange Act of 1934, as amended, including statements regarding the parties or the parties’ respective management team’s expectations, hopes, beliefs, intentions, plans, prospects or strategies regarding the future, including the Business Combination, the anticipated benefits of the Business Combination described herein, including revenue growth and financial performance, product expansion and services, and the financial condition, results of operations, earnings outlook and prospects of the Company. Any statements contained herein that are not statements of historical fact are forward-looking statements. In addition, any statements that refer to projections, forecasts or other characterizations of future events or circumstances, including any underlying assumptions, are forward-looking statements. Forward-looking statements are typically identified by words such as “anticipate,” “believe,” “continue,” “could,” “estimate,” “expect,” “forecast,” “intend,” “may,” “might,” “outlook,” “plan,” “possible,” “potential,” “predict,” “project,” “should,” “will,” “would” and other similar words and expressions, but the absence of these words does not mean that a statement is not forward-looking. The forward-looking statements contained in this current report are based on the current expectations and beliefs of the management of the Company in light of their respective experience and their perception of historical trends, current conditions and expected future developments and their potential effects on the Company as well as other factors they believe are appropriate in the circumstances. There can be no assurance that future developments affecting the Company will be those that we have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those discussed and identified in the public filings made or to be made with the SEC by Learn CW, including in the final prospectus relating to Learn CW’s initial public offering, which was filed with the SEC on October 12, 2021 under the heading “Risk Factors,” or made or to be made by the Company, including in the Form S-4, which was filed in connection with the Business Combination and has been declared effective by the SEC, and the Definitive Proxy Statement which was mailed to the Learn CW shareholders and sent to the unitholders of Innventure. These risks and uncertainties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ind w:left="328" w:hanging="328"/>
        <w:spacing w:after="0" w:line="261"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strategies and future financial performance, including its future business plans, expansion and acquisition plans or objectives, prospective performance and opportunities and competitors, revenues, products and services, pricing, operating expenses, product and service acceptance, market trends, liquidity, cash flows and uses of cash, capital expenditures, and the Company’s ability to invest in growth initiatives;</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the Company’s business model and growth strategy;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future capital requirements and sources and uses of cash;</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will have sufficient capital following the completion of the Business Combination to operate as anticipated;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obtain funding for its operations and future growth;</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the Company’s competitors and industry;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the Company in connection with the completion of the Business Combination;</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find future opportunities to license or acquire breakthrough technology solutions from multinational corporations (“MNCs”);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Company may be deemed to be an investment company under the Investment Company Act, which would impose burdensome compliance requirements and restrictions on its activities, which may make it difficult to operate or to execute its growth plans;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satisfy the requirements imposed by MNC partners or to avoid disagreements with those MNC partners;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Company’s subsidiary, AeroFlexx, LLC (“AFX”), to continue to rely on its single facility for all of its operations;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AFX’s suppliers to continue to deliver necessary raw materials or other components of its products in a timely manner and to specification;</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AFX’s target customers, who are subject to cyclical downturns, continuing to achieve success or maintain market share;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AFX’s ability to establish substantial commercial sales of its products;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 ability to meet, and to continue to meet, applicable regulatory requirements for the use of AFX’s products in food grade applications;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Company’s subsidiary, Accelsius Holdings LLC (“Accelsius”), to scale its operations;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adoption, including customers and potential investors, of the viability and benefits of Accelsius’ cooling products;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future regulatory scrutiny associated with Accelsius’ cooling due to their use of working fluid refrigerants that contain fluorine;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266065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8" w:name="page9"/>
    <w:bookmarkEnd w:id="8"/>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sufficiently protect the intellectual property rights of itself and its subsidiaries, and to avoid or resolve in a timely and cost-effective manner any disputes that may arise from time to time relating to its use of the intellectual property of third parties;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cyber-attack or a failure of the Company’s information technology and data security infrastructure occurring that adversely affects the Company’s business and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related to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liquidity and trading of the Company’s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be adversely affected by other economic, business, and/or competitive factors;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related to the Company’s subsidiaries that have limited or no operating history.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Current Report are made as of the date hereof, based on information available to the Company as of the date hereof, and the Company assumes no obligation to update any forward-looking statement, whether as a result of new information, future events or otherwise, except as may be required under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business of the Company after the Business Combination is described in the Form S-4 under the heading “Information About Innventure” beginning on page 164 and that information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risks associated with the Company’s business are described in the Form S-4 under the headings “Summary––Risk Factors” and “Risk Factors” beginning on pages 23 and 25, respectively,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made to the disclosure set forth in Item 9.01 of this Current Report on Form 8-K concerning the financial information of the Company and Learn CW. Reference is further made to the disclosure contained in the Form S-4 in the sections entitled “Management’s Discussion and Analysis of Financial Condition and Results of Operations of Innventure” beginning on page 182, which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2024 and the unaudited pro forma condensed combined statements of operations for the six months ended June 30, 2024 and for the year ended December 31, 2023 are set forth in Exhibit 99.1 hereto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disclosure contained in the Form S-4 under the heading “Management’s Discussion and Analysis of Financial Condition and Results of Operations of Innventure” beginning on page 182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facilities of the Company are described in the Form S-4 in the sections entitled “Information About Innventure––Properties and Corporate Information” beginning on page 171, and such description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Certain Beneficial Owners and Management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shares of Common Stock immediately following the consummation of the Business Combination for:</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the shares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and director of the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is based on 44,602,673 shares of Common Stock outstanding as of October 2, 2024, after giving effect to all the transactions in connection with the Business Combination. In addition, the beneficial ownership presented below: (i) does not include Company Earnout Shares that the Innventure Members have the right to receive upon the achievement of any of the Milestones; and (ii) does not include the Sponsor Earnout Shares that the Sponsor received at Closing, subject to transfer restrictions and eventual forfeit if the Milestones are not achieved within seven years; but does include the At Risk Sponsor Shares that the Sponsor received at Closing, subject to forfeiture if the requisite amount of Additional Funds are not received, as further described in the Sponsor Support Agreement as modified by the SSA Side Letter.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the right to acquire any such power within 60 days. Shares of Common Stock which a person or group has a right to acquire within 60 days following the Closing Date pursuant to the exercise or conversion of options, warrants or other similar convertible or derivative securities are also deemed to be outstanding for the purpose of computing the percentage ownership of such person or group, but are not deemed to be outstanding for the purpose of computing the percentage ownership of any other person shown in the table.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by footnote, (i) the Company believes that all persons named in the table below have sole voting and investment power with respect to all shares of Common Stock beneficially owned by them and (ii) the address of each person is c/o Innventure Inc., 6900 Tavistock Lakes Blvd, Suite 400 Orlando, FL 32827.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 Shares of</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00" w:type="dxa"/>
            <w:vAlign w:val="bottom"/>
          </w:tcPr>
          <w:p>
            <w:pPr>
              <w:spacing w:after="0"/>
              <w:rPr>
                <w:sz w:val="21"/>
                <w:szCs w:val="21"/>
                <w:color w:val="auto"/>
              </w:rPr>
            </w:pPr>
          </w:p>
        </w:tc>
        <w:tc>
          <w:tcPr>
            <w:tcW w:w="2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6"/>
        </w:trPr>
        <w:tc>
          <w:tcPr>
            <w:tcW w:w="6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tc>
        <w:tc>
          <w:tcPr>
            <w:tcW w:w="100" w:type="dxa"/>
            <w:vAlign w:val="bottom"/>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Roland Austrup</w:t>
            </w:r>
          </w:p>
        </w:tc>
        <w:tc>
          <w:tcPr>
            <w:tcW w:w="2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812,482</w:t>
            </w:r>
          </w:p>
        </w:tc>
        <w:tc>
          <w:tcPr>
            <w:tcW w:w="2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r>
      <w:tr>
        <w:trPr>
          <w:trHeight w:val="257"/>
        </w:trPr>
        <w:tc>
          <w:tcPr>
            <w:tcW w:w="64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James O. Donnally</w:t>
            </w:r>
            <w:r>
              <w:rPr>
                <w:rFonts w:ascii="Times New Roman" w:cs="Times New Roman" w:eastAsia="Times New Roman" w:hAnsi="Times New Roman"/>
                <w:sz w:val="29"/>
                <w:szCs w:val="29"/>
                <w:color w:val="auto"/>
                <w:vertAlign w:val="superscript"/>
              </w:rPr>
              <w:t>(1)</w:t>
            </w:r>
          </w:p>
        </w:tc>
        <w:tc>
          <w:tcPr>
            <w:tcW w:w="2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4,670,237</w:t>
            </w:r>
          </w:p>
        </w:tc>
        <w:tc>
          <w:tcPr>
            <w:tcW w:w="2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10.47%</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W. Haskell</w:t>
            </w:r>
          </w:p>
        </w:tc>
        <w:tc>
          <w:tcPr>
            <w:tcW w:w="2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705,655</w:t>
            </w:r>
          </w:p>
        </w:tc>
        <w:tc>
          <w:tcPr>
            <w:tcW w:w="2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Michael Otworth</w:t>
            </w:r>
          </w:p>
        </w:tc>
        <w:tc>
          <w:tcPr>
            <w:tcW w:w="2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2,552,625</w:t>
            </w:r>
          </w:p>
        </w:tc>
        <w:tc>
          <w:tcPr>
            <w:tcW w:w="2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Scott</w:t>
            </w:r>
          </w:p>
        </w:tc>
        <w:tc>
          <w:tcPr>
            <w:tcW w:w="2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1,531,795</w:t>
            </w:r>
          </w:p>
        </w:tc>
        <w:tc>
          <w:tcPr>
            <w:tcW w:w="2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David Yablunosky</w:t>
            </w:r>
          </w:p>
        </w:tc>
        <w:tc>
          <w:tcPr>
            <w:tcW w:w="2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31,630</w:t>
            </w:r>
          </w:p>
        </w:tc>
        <w:tc>
          <w:tcPr>
            <w:tcW w:w="2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Suzanne Niemeyer</w:t>
            </w:r>
          </w:p>
        </w:tc>
        <w:tc>
          <w:tcPr>
            <w:tcW w:w="2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Bruce Brown</w:t>
            </w:r>
          </w:p>
        </w:tc>
        <w:tc>
          <w:tcPr>
            <w:tcW w:w="2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Williams</w:t>
            </w:r>
          </w:p>
        </w:tc>
        <w:tc>
          <w:tcPr>
            <w:tcW w:w="2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Daniel J. Hennessy</w:t>
            </w:r>
          </w:p>
        </w:tc>
        <w:tc>
          <w:tcPr>
            <w:tcW w:w="2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1,170,262</w:t>
            </w:r>
          </w:p>
        </w:tc>
        <w:tc>
          <w:tcPr>
            <w:tcW w:w="2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Amalfitano</w:t>
            </w:r>
          </w:p>
        </w:tc>
        <w:tc>
          <w:tcPr>
            <w:tcW w:w="2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7"/>
        </w:trPr>
        <w:tc>
          <w:tcPr>
            <w:tcW w:w="6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WE-INN LLC</w:t>
            </w:r>
            <w:r>
              <w:rPr>
                <w:rFonts w:ascii="Times New Roman" w:cs="Times New Roman" w:eastAsia="Times New Roman" w:hAnsi="Times New Roman"/>
                <w:sz w:val="29"/>
                <w:szCs w:val="29"/>
                <w:color w:val="auto"/>
                <w:vertAlign w:val="superscript"/>
              </w:rPr>
              <w:t>(2)</w:t>
            </w:r>
          </w:p>
        </w:tc>
        <w:tc>
          <w:tcPr>
            <w:tcW w:w="2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8,697,656</w:t>
            </w:r>
          </w:p>
        </w:tc>
        <w:tc>
          <w:tcPr>
            <w:tcW w:w="2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19.50%</w:t>
            </w:r>
          </w:p>
        </w:tc>
      </w:tr>
      <w:tr>
        <w:trPr>
          <w:trHeight w:val="257"/>
        </w:trPr>
        <w:tc>
          <w:tcPr>
            <w:tcW w:w="64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Ascent X Innventure TC, A Series of Ascent X Innventure, LP</w:t>
            </w:r>
            <w:r>
              <w:rPr>
                <w:rFonts w:ascii="Times New Roman" w:cs="Times New Roman" w:eastAsia="Times New Roman" w:hAnsi="Times New Roman"/>
                <w:sz w:val="29"/>
                <w:szCs w:val="29"/>
                <w:color w:val="auto"/>
                <w:vertAlign w:val="superscript"/>
              </w:rPr>
              <w:t>(3)</w:t>
            </w:r>
          </w:p>
        </w:tc>
        <w:tc>
          <w:tcPr>
            <w:tcW w:w="2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3,167,810</w:t>
            </w:r>
          </w:p>
        </w:tc>
        <w:tc>
          <w:tcPr>
            <w:tcW w:w="2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Executive Officers and Directors of Holdco as a Group (11 Individuals)</w:t>
            </w:r>
          </w:p>
        </w:tc>
        <w:tc>
          <w:tcPr>
            <w:tcW w:w="2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11,474,686</w:t>
            </w:r>
          </w:p>
        </w:tc>
        <w:tc>
          <w:tcPr>
            <w:tcW w:w="2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25.73%</w:t>
            </w:r>
          </w:p>
        </w:tc>
      </w:tr>
      <w:tr>
        <w:trPr>
          <w:trHeight w:val="238"/>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 than one percent.</w:t>
            </w: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1398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39825" cy="17145"/>
                    </a:xfrm>
                    <a:prstGeom prst="rect">
                      <a:avLst/>
                    </a:prstGeom>
                    <a:noFill/>
                  </pic:spPr>
                </pic:pic>
              </a:graphicData>
            </a:graphic>
          </wp:anchor>
        </w:drawing>
      </w:r>
    </w:p>
    <w:p>
      <w:pPr>
        <w:spacing w:after="0" w:line="398" w:lineRule="exact"/>
        <w:rPr>
          <w:sz w:val="20"/>
          <w:szCs w:val="20"/>
          <w:color w:val="auto"/>
        </w:rPr>
      </w:pPr>
    </w:p>
    <w:p>
      <w:pPr>
        <w:jc w:val="both"/>
        <w:ind w:left="340" w:hanging="332"/>
        <w:spacing w:after="0" w:line="253"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1,405,664 shares of Common Stock held by the James O. Donnally Revocable Trust over which Mr. Donnally has sole voting and investment power, (ii) 711,717 shares of Common Stock held by the Glockner Family Venture Fund, LP (the “Glockner Family Venture Fund”) over which Mr. Donnally may be deemed to have shared voting and investment power as managing member of Bellringer Consulting Group LLC, the general partner of Glockner Family Venture Fund, and (iii) 2,552,856 shares of Common Stock that may be deemed to be beneficially owned by Mr. Donnally, which shares are held by certain trusts, including (a) 132,753 shares held by the Barbara G. Glockner Trust, for the benefit of Joseph C. Glockner; (b) 132,753 shares held by the Barbara G. Glockner Trust, for the benefit of Michael P. Glockner; (c) 132,753 shares held by the Barbara G. Glockner Trust, for the benefit of Timothy E. Glockner; (d) 700,822 shares held by the Joseph C. Glockner Revocable Trust; (e) 700,822 shares held by Michael P. Glockner Revocable Trust; (vii) 700,822 shares held by the Timothy E. Glockner Revocable Trust; (f) 3,715 shares held by the Andrew M. Glockner Revocable Trust; and (g) 48,416 shares held by the Barbara G. Glockner Revocable Trust, each of which has three trustees, Timothy Glockner, James Donnally, and Theresa Laxton, Mr. Donnally’s spouse, with shared voting power. Timothy Glockner has a life estate interest in the Barbara G. Glockner Trust fbo Timothy E. Glockner. The beneficiaries of the Barbara G. Glockner Trust fbo Timothy E. Glockner are the issue of Timothy Glockner. The beneficiaries of the Barbara G. Glockner Trust fbo Joseph C. Glockner are the issue of Joseph C. Glockner. The beneficiaries of the Barbara G. Glockner Trust fbo Michael P. Glockner are the issue of Michael P. Glockner.</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 Wasson has voting and investment power over the securities held by WE-INN LLC.</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Ascent X Innventure TC, A Series of Ascent X Innventure, LP is a limited partnership (“Ascent”). Voting and investment power over the shares held by Ascent is exercised by Jonathan Loeffler and Mark Pomeroy Jr. The address for Ascent is 5956 Sherry Lane, 20th Floor, Dallas, Texas 75225.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disclosure contained in the Form S-4 under the heading “Management and Governance of Holdco After the Business Combination” beginning on page 199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disclosure contained in the Form S-4 under the heading “Executive and Director Compensation of Innventure” beginning on page 194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certain relationships and related party transactions of Learn CW and Innventure are described in the Form S-4 under the heading “Certain Relationships and Related Person Transactions” beginning on page 210, and that information is incorporated herein by reference.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above in Item 2.01 of this Current Report entitled “Investment Agreement” is incorporated herein by reference.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 2024, the Company and the Glockner Family Venture Fund amended and restated the Glockner Bridge Note (as defined in the Definite Proxy Statement) (as amended, the “A&amp;R Glockner Bridge Note”). The A&amp;R Glockner Bridge Note was issued in the principal amount of $10,000,000 and such borrowings are due upon the earlier of January 31, 2025 and the first business day following the date on which the Company has sufficient capital to be able to repay all amounts outstanding under such note and otherwise meet its expected working capital needs, as determined by the Company in its reasonable discretion. From and after the issuance date of the A&amp;R Glockner Bridge Note, such note will bear interest at 15.99% per annum, payable in arrears on the first business day of each calendar month, beginning on November 1, 2024. In the event of a failure to pay any amount due under the A&amp;R Glockner Bridge Note, such failure will not constitute an event of default unless certain other conditions are met. The Company agreed to pay, on or around October 1, 2024, the Glockner Family Venture Fund (as defined in the Definitive Proxy Statement) $1,000,000 as a loan fee. As described above, Mr. Donnally serves as the managing member of the Glockner Family Venture Fund’s general partner, Bellringer Consulting Group LLC.</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1, 2024, the Company and Dr. John Scott agreed to amend and restate the Scott Bridge Note (as defined in the Definitive Proxy Statement and, as amended, the “A&amp;R Scott Bridge Note”). The A&amp;R Scott Bridge Note was reissued in the principal amount of $1,000,000 and such borrowings are due at maturity on January 31, 2025. From August 22, 2024 to but excluding October 1, 2024, interest on the A&amp;R Scott Bridge Note accrued at a rate of 11.5% per annum, and from and after October 1, 2024, interest on the A&amp;R Scott Bridge Note accrued at a rate of 13.5% per annum. In the event of a failure to pay any amount due under the A&amp;R Scott Bridge Note, such failure will not constitute an event of default unless certain other conditions are met. The Company agreed to pay, on or around October 1, 2024, Dr. John Scott, the Company’s Chief Strategy Officer, $1,000,000 under the Scott Bridge Note (as defined in the Definitive Proxy Statement).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summaries of the A&amp;R Glockner Bridge Note and the A&amp;R Scott Bridge Note are qualified in their entirety by reference to the text of each of the A&amp;R Glockner Bridge Note and the A&amp;R Scott Bridge Note, which are included as Exhibits 10.11 and 10.12, respectively, to this Current Report on Form 8-K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disclosure regarding legal proceedings in the section of the Form S-4 titled “Information About Innventure––Legal Proceedings” beginning on page 181, and that information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Price of and Dividends on the Registrant’s Common Equity and Related Stockholder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Information</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Company’s shares of Common Stock began trading on Nasdaq under the symbol “INV” on October 3, 2024. While the Company intended for the Warrants to trade on Nasdaq, and expected them to, ultimately there was not a sufficient number of holders to meet the applicable Nasdaq requirements. Each Warrant entitles the holder to purchase one share of Common Stock at a price of $11.50 per share. The Warrants will become exercisable on November 1, 2024 and will expire on October 2, 2029 or earlier upon redemption or liquidation. The public units of Learn CW automatically separated into the component securities upon consummation of the Business Combination and, as a result, no longer trade as a separate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Holders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3, 2024, there were 218 holders of record of shares of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not paid any cash dividends on its shares of Common Stock to date. It is the present intention of the Board to retain future earnings for the development, operation and expansion of its business, and the Board does not anticipate declaring or paying any cash dividends for the foreseeable future. The payment of dividends is within the discretion of the Board and will be contingent upon the Company’s future revenues and earnings, as well as its capital requirements and general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made to the disclosure set forth under Item 3.02 of this Report concerning the issuance of shares of Series B Preferred Stock, par value $0.0001 per share (“Series B Preferred Stock”), of the Company in connection with the Business Combination, which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Registrant’s Securities to be Registered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below, the disclosure contained in the Form S-4 under the heading “Description of Holdco Securities” beginning on page 219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Capital Stock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authorized capital stock consists of 250,000,000 shares of common stock, par value $0.0001 per share, and 25,000,000 shares of preferred stock, par value $0.0001 per share. Of the 25,000,000 shares of preferred stock authorized by the Amended and Restated Certificate of Incorporation, the Company’s Board has designated 3,000,000 shares as “Series B Preferred Stock” on the Closing Date. The Series B Certificate of Designations filed with the Delaware Secretary of State for the Series B Preferred Stock established the following voting powers, designations, preferences and relative, participating, optional or other special rights, and the qualifications, limitations and restrictions of the shares of such Series B Preferred Stock, which are described in more detail under “Series B Preferred Stock”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Board did not designate any shares of “Series A Preferred Stock” on the Closing Date. Should the Company’s Board decide to designate and issue any shares of “Series A Preferred Stock” in the future, it will file a certificate of designations with the Delaware Secretary of State for the Series A Preferred Stock which will establish the voting powers, designations, preferences and relative, participating, optional or other special rights, and the qualifications, limitations and restrictions of the shares of any such Series A Preferred Stock if and when issued.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Ranking</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respect to payment of dividends, the Series B Preferred Stock shall rank senior in priority of payment to all Junior Stock and Parity Stock in any liquidation, dissolution, winding up or distribution of Holdco, and junior to any existing or future secured or unsecured indebtedness and other liabilities (including trade payables) of Holdco. With respect to (a) distribution of assets and (b) all other liquidation, winding up, dissolution, dividend and redemption rights, the Series B Preferred Stock shall rank pari passu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“Junior Stock” means (i) Holdco Common Stock and (ii) any other preferred stock, other than the Series A Preferred Stock, if issued, and any other equity interest of Holdco, in each case which by its terms ranks junior to the Series B Preferred Stock with respect to payment of dividends and/or distribution of assets.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“Parity Stock” means the Series A Preferred Stock, if issued, and any equity interest of Holdco hereinafter created which by its terms ranks pari passu with the Series B Preferred Stock.</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Series B Preferred Stock will carry an annual 8.0% cumulative dividend, which will be paid prior to and in preference over any Junior Stock or Parity Stock. On the last day of the last quarter in each fiscal year of Holdco such dividends will be made as a payment in kind.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 each whole share of Series B Preferred Stock, the holders of Series B Preferred Stock will be entitled to cast the number of votes equal to (i) the Original Issue Price, which is $10.00, divided by (ii) the Minimum Price (which shall have the meaning assigned in Nasdaq Listing Rule 5635(d)) of Holdco Common Stock as of the initial issue date of the Series B Preferred Stock and will vote with the holders of Holdco Common Stock as a single class and on an as-converted basis, except as provided by law or applicable Nasdaq Listing Rules.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Mandatory Conversion at the Company’s Option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the date that is the fifth anniversary of the initial issuance date of the Series B Preferred Stock, all shares of Series B Preferred Stock will be converted into shares of Holdco Common Stock.</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Optional Conversion at the Holder’s Option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Series B Preferred Stock may convert all of their respective shares of Series B Preferred Stock into shares of Holdco Common Stock upon the effectiveness of a registration statement to be filed by Holdco providing for the resale of the shares of Holdco Common Stock issuable upon conversion of shares of Series B Preferred Stock.</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Conversion Rate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number of shares of Holdco Common Stock that each holder of Series B Preferred Stock will receive upon conversion of all of such holder’s shares of Series B Preferred Stock will be the number of shares equal to the Series B Conversion Rate (as defined below) multiplied by the number of shares of Series B Preferred Stock held by such holder (subject to a threshold amount). No fractional shares shall be issued upon the exercise of any conversion right. Any fractional shares that a holder would otherwise be entitled to will be rounded up to the next whole share.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“Series B Conversion Rate” means a fraction whose numerator is the Original Issue Price, which is $10.00 per share of Series B Preferred Stock, and whose denominator is the lesser of (i) the Reset Conversion Price or (ii) $12.50.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“Reset Conversion Price” means the greater of (a) $5.00 and (b) the 10-trading day volume-weighted average closing price of the Holdco Common Stock.</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Series B Preferred Stock will have rights to certain adjustments for stock dividends stock splits and rights in connection with certain subsequent rights offerings.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summary of the Series B Preferred Stock is subject to and qualified in its entirety by reference to the Series B Preferred Stock Certificate of Designations, which is included as Exhibit 3.3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Each indemnification agreement provides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applicable law.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information about the indemnification of the Company’s directors and executive officers is set forth in the Form S-4 in the section titled “Description of Holdco Securities—Limitations on Liability and Indemnification of Officers and Directors” beginning on page 227, and that information is incorporated herein by reference. The information set forth under the heading “Indemnification Agreements” in Item 2.01 of this Current Report on Form 8-K is incorporated by reference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9.01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4.01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9.01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 2024, in connection with the consummation of the Business Combination, the Company issued 1,102,000 shares of Series B Preferred Stock as unregistered securities to the Series B Investors listed on Schedule I of the Investment Agreement for an aggregate purchase price of approximately $11.0 million before deducting fees and other estimated offering expenses.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issued the foregoing securities in transactions not involving an underwriter and not requiring registration under Section 5 of the Securities Act in reliance on the exemption afforded by Section 4(a)(2) thereof or Regulation D promulgated under the Securities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2.01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Extraordinary General Meeting, Learn CW’s shareholders considered and approved, among other things, the proposals set forth in the Definitive Proxy Statement in the section entitled “Shareholder Proposal No .3—The Non-Binding Governance Proposals” beginning on page 118 (the “Governance Proposals”), and that information is incorporated herein by reference.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Business Combination, the Company adopted the Amended and Restated Certificate of Incorporation of Innventure, Inc. (as amended and restated, the “Charter”) and the By-laws of Innventure, Inc. (as amended and restated, the “By-laws”). The Charter became effective upon filing with the Secretary of State of the State of Delaware on October 2, 2024 and includes the amendments proposed by the Governance Proposals. Pursuant to the Waiver and Consent, each of Learn CW and Holdco also agreed to waive the Charter lock-up with respect to 10% of the shares of Common Stock received by the Innventure Members (excluding all directors and officers or expected directors and officers of the Company, Innventure or their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Business Combination, the Company filed a certificate of designations relating to the Series B Preferred Stock (the “Series B Preferred Stock Certificate of Designations”). The Series B Preferred Stock Certificate of Designations became effective upon filing with the Secretary of State of the State of Delaware on October 2, 2024.</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Charter and the Series B Preferred Stock Certificate of Designations, there are 250,000,000 shares of Common Stock and 25,000,000 shares of preferred stock, par value $0.0001 per share, authorized, of which 3,000,000 of the shares of preferred stock are designated as Series B Preferred Stock. The disclosure set forth in the section entitled “Description of Holdco Securities” beginning on page 219 of the Form S-4 is incorporated herein by reference as modified by the information set forth above in the section entitled “Form 10 Information—Description of Registrant’s Securities to be Registered.”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Charter, By-laws, and Series B Preferred Stock Certificate of Designations are subject to and qualified in their entirety by the terms of the Charter, By-laws, and Series B Preferred Stock Certificate of Designations, which are filed hereto as Exhibits 3.1, 3.2, and 3.3, respectively, to this Current Report on Form 8-K and are incorporated herein by reference.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shares of Common Stock are listed for trading on Nasdaq under the symbol “INV.” While the Company intended for the Warrants to trade on Nasdaq, and expected them to, ultimately there was not a sufficient number of holders to meet the applicable Nasdaq requirements. Each Warrant entitles the holder to purchase one share of Common Stock at a price of $11.50 per share. The Warrants will become exercisable on November 1, 2024 and will expire on October 2, 2029 or earlier upon redemption or liquidation. The public units of Learn CW automatically separated into the component securities upon consummation of the Business Combination and, as a result, no longer trade as a separate security.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 2024, in connection with the consummation of the Business Combination, the audit committee of the Board approved the appointment of BDO USA, P.C. (“BDO”) as the Company’s independent registered public accounting firm, subject to satisfactory completion of their client acceptance procedures. BDO served as Innventure’s independent registered public accounting firm prior to the Business Combination. Accordingly, the Company intends to dismiss Marcum, LLP (“Marcum”) following the filing of the Company’s quarterly report on Form 10-Q for the quarter ended September 30, 2023 (the “Effective Time”).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reports of Marcum on Learn CW’s balance sheets as of December 31, 2023 and 2022 and the related statements of operations, changes in stockholders’ equity and cash flows for the years ended December 31, 2023 and 2022 and the related notes (collectively referred to as the “Learn CW financial statements”) did not contain any adverse opinion or a disclaimer of opinion, nor were they qualified or modified as to uncertainty, audit scope, or accounting principles.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reports of Marcum on the Learn CW financial statements contained an explanatory paragraph which noted that there was substantial doubt as to Learn CW’s ability to continue as a going concern as Learn CW had no approved plan in place to extend the business combination deadline and fund operations for any period of time after October 13, 2024, in the event that it was unable to complete a business combination by that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and 2022, and the subsequent interim period through October 2, 2024, there were no (i) disagreements with Marcum on any matter of accounting principles or practices, financial statement disclosure, or auditing scope or procedure, which disagreements if not resolved to their satisfaction, would have caused them to make reference to the subject matter of the disagreement in connection with their report, or (ii) reportable events (as described in Item 304(a)(1)(v) of Regulation S-K).</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2023 and 2022, and the subsequent interim period through October 2, 2024, neither Learn CW nor anyone on its behalf consulted BDO regarding either (i) the application of accounting principles to a specified transaction, either completed or proposed, or the type of audit opinion that might be rendered on Learn CW’s financial statements, and neither a written report nor oral advice was provided to Learn CW that BDO concluded was an important factor considered by Learn CW in reaching a decision as to any accounting, auditing or financial reporting issue, or</w:t>
      </w:r>
    </w:p>
    <w:p>
      <w:pPr>
        <w:spacing w:after="0" w:line="3" w:lineRule="exact"/>
        <w:rPr>
          <w:sz w:val="20"/>
          <w:szCs w:val="20"/>
          <w:color w:val="auto"/>
        </w:rPr>
      </w:pPr>
    </w:p>
    <w:p>
      <w:pPr>
        <w:ind w:firstLine="8"/>
        <w:spacing w:after="0" w:line="260" w:lineRule="auto"/>
        <w:tabs>
          <w:tab w:leader="none" w:pos="2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was either the subject of a “disagreement” or a “reportable event,” each as defined in Regulation S-K Item 304(a)(1)(iv) and 304(a)(1) (v), respectively.</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provided Marcum with a copy of the above disclosures, and Marcum has furnished the Company with a letter addressed to the SEC stating that it agrees with the statements made above. A copy of Marcum’s letter, dated October 8, 2024, is attached as Exhibit 16.1 to this Current Report on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5.01 Changes in Control of Registrant.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made to the disclosure in the Definitive Proxy Statement in the section titled “Proposal No. 1—The Business Combination Proposal,” which is incorporated herein by reference. Reference is made to the information contained in Item 2.01 to this Current Report on Form 8-K, which is incorporated herein by reference.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Immediately after giving effect to the Business Combination, there were 44,602,673 shares of Common Stock outstanding. As of such time, our executive officers and directors and their affiliated entities held approximately 26% of our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820" w:right="26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on October 2, 2024 Robert Hutter ceased to serve as a member of the Board, and each of Gregory W. Haskell, Michael Otworth, David Yablunosky, Suzanne Niemeyer, James O. Donnally, Bruce Brown, Elizabeth Williams, Daniel J. Hennessy, and Michael Amalfitano were appointed to the Board. Following the adoption of the Charter, the Board designated the directors to the classes and to the committees set forth in the Definitive Proxy Statement under the headings “Management and Governance of HoldCo after the Business Combination––Executive Officers and Directors After the Business Combination” beginning on page 199 and “Management and Governance of HoldCo after the Business Combination––Board Committees” beginning on page 203, which disclosure is incorporated herein by reference.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receipt of shareholder approval on September 30, 2024, on October 2, 2024, in connection with the consummation of the Business Combination, the Company adopted the Equity Plan. The information contained in Item 1.01 and Item 2.01 to this Current Report on Form 8-K is incorporated herein by reference.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current directors and officers are described in the Form S-4 under the heading “Management and Governance of Holdco After the Business Combination” beginning on page 199, which disclosure is incorporated by reference herein. The information set forth in Item 2.01 of this Current Report on Form 8-K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3.03 to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5.05 Amendments to the Registrant’s Code of Ethics, or Waiver of a Provision of the Code of Ethics.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Closing, on October 2, 2024, the Board approved and adopted a new code of conduct applicable to all employees, officers and directors of the Company (the “Code of Conduct”). A copy of the Code of Conduct can be found on the Company’s website, ir.innventure.com, under the “Governance” section. The information on the Company’s website does not constitute part of this Current Report on Form 8-K and is not incorporated by reference herein.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Code of Conduct policy is qualified in its entirety by reference to the full text of the Code of Conduct, which is filed as Exhibit 14.1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5.06 Change in Shell Company Status.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2, 2024, as a result of the consummation of the Business Combination, each of Learn CW and Holdco ceased to be a shell company. The material terms of the Business Combination are described in the Form S-4 in the section entitled “Shareholder Proposal No. 1 – The Business Combination Proposal” beginning on page 80, which is incorporated herein by reference. Further, the information set forth in the Introductory Note and under Item 2.01 of this Current Report on Form 8-K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Business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audited financial statements of Learn CW as of and for the years ended December 31, 2023 and 2022, and the related notes thereto are included in the Form S-4, beginning on page F-21 thereof, and are incorporated herein by reference. The audited financial statements of Innventure as of and for the years ended December 31, 2023 and 2022, and the related notes thereto are included in the Form S-4, beginning on page F-57 thereof, and are incorporated herein by reference.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unaudited financial statements of Learn CW as of and for the three and six months ended June 30, 2024 and 2023 and the related notes thereto are included in the Form S-4, beginning on page F-2 thereof, and are incorporated herein by reference. The unaudited financial statements of Innventure as of and for the six months ended June 30, 2024 and 2023 and the related notes thereto are included in the Form S-4, beginning on page F-41 thereof, and are incorporated herein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2024 and the unaudited pro forma condensed combined statements of operations for the six months ended June 30, 2024 and for the year ended December 31, 2023 are set forth in Exhibit 99.1 hereto and are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60" w:type="dxa"/>
            <w:vAlign w:val="bottom"/>
          </w:tcPr>
          <w:p>
            <w:pPr>
              <w:spacing w:after="0"/>
              <w:rPr>
                <w:sz w:val="18"/>
                <w:szCs w:val="18"/>
                <w:color w:val="auto"/>
              </w:rPr>
            </w:pPr>
          </w:p>
        </w:tc>
      </w:tr>
      <w:tr>
        <w:trPr>
          <w:trHeight w:val="220"/>
        </w:trPr>
        <w:tc>
          <w:tcPr>
            <w:tcW w:w="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460" w:type="dxa"/>
            <w:vAlign w:val="bottom"/>
          </w:tcPr>
          <w:p>
            <w:pPr>
              <w:ind w:left="44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520" w:type="dxa"/>
            <w:vAlign w:val="bottom"/>
            <w:gridSpan w:val="3"/>
          </w:tcPr>
          <w:p>
            <w:pPr>
              <w:ind w:left="120"/>
              <w:spacing w:after="0" w:line="194"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Business Combination Agreement, dated as of October 24, 2023, by and among Learn SPAC Holdco, Inc., Learn CW Investment Corporation,</w:t>
            </w:r>
          </w:p>
        </w:tc>
      </w:tr>
      <w:tr>
        <w:trPr>
          <w:trHeight w:val="218"/>
        </w:trPr>
        <w:tc>
          <w:tcPr>
            <w:tcW w:w="1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LCW Merger Sub, Inc., Innventure LLC and Innventure Merger Sub, LLC (incorporated by reference to Annex A to Innventure, Inc.’s</w:t>
            </w:r>
          </w:p>
        </w:tc>
      </w:tr>
      <w:tr>
        <w:trPr>
          <w:trHeight w:val="216"/>
        </w:trPr>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Registration Statement on Form S-4 filed with the SEC on September 6, 2024).</w:t>
            </w:r>
          </w:p>
        </w:tc>
      </w:tr>
      <w:tr>
        <w:trPr>
          <w:trHeight w:val="194"/>
        </w:trPr>
        <w:tc>
          <w:tcPr>
            <w:tcW w:w="44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Amended and Restated Certificate of Incorporation of Innventure, Inc., filed with the Secretary of State of Delaware on October 2, 2024.</w:t>
            </w:r>
          </w:p>
        </w:tc>
      </w:tr>
      <w:tr>
        <w:trPr>
          <w:trHeight w:val="20"/>
        </w:trPr>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r>
      <w:tr>
        <w:trPr>
          <w:trHeight w:val="196"/>
        </w:trPr>
        <w:tc>
          <w:tcPr>
            <w:tcW w:w="4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By-laws of Innventure, Inc.</w:t>
            </w:r>
          </w:p>
        </w:tc>
      </w:tr>
      <w:tr>
        <w:trPr>
          <w:trHeight w:val="20"/>
        </w:trPr>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r>
      <w:tr>
        <w:trPr>
          <w:trHeight w:val="196"/>
        </w:trPr>
        <w:tc>
          <w:tcPr>
            <w:tcW w:w="52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EE"/>
                <w:w w:val="90"/>
              </w:rPr>
              <w:t>3.</w:t>
            </w:r>
            <w:r>
              <w:rPr>
                <w:rFonts w:ascii="Times New Roman" w:cs="Times New Roman" w:eastAsia="Times New Roman" w:hAnsi="Times New Roman"/>
                <w:sz w:val="18"/>
                <w:szCs w:val="18"/>
                <w:u w:val="single" w:color="auto"/>
                <w:color w:val="0000EE"/>
                <w:w w:val="90"/>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Certificate of Designation of Series B Preferred Stock, dated October 2, 2024, of Innventure, Inc.</w:t>
            </w:r>
          </w:p>
        </w:tc>
      </w:tr>
      <w:tr>
        <w:trPr>
          <w:trHeight w:val="20"/>
        </w:trPr>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r>
      <w:tr>
        <w:trPr>
          <w:trHeight w:val="196"/>
        </w:trPr>
        <w:tc>
          <w:tcPr>
            <w:tcW w:w="440" w:type="dxa"/>
            <w:vAlign w:val="bottom"/>
            <w:gridSpan w:val="2"/>
          </w:tcPr>
          <w:p>
            <w:pPr>
              <w:ind w:left="120"/>
              <w:spacing w:after="0" w:line="196" w:lineRule="exact"/>
              <w:rPr>
                <w:rFonts w:ascii="Times New Roman" w:cs="Times New Roman" w:eastAsia="Times New Roman" w:hAnsi="Times New Roman"/>
                <w:sz w:val="18"/>
                <w:szCs w:val="18"/>
                <w:color w:val="0000EE"/>
                <w:w w:val="95"/>
              </w:rPr>
            </w:pPr>
            <w:hyperlink r:id="rId33">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Warrant Agreement, dated October 12, 2021, between Learn CW Investment Corporation and American Stock Transfer &amp; Trust Company,</w:t>
            </w:r>
          </w:p>
        </w:tc>
      </w:tr>
      <w:tr>
        <w:trPr>
          <w:trHeight w:val="218"/>
        </w:trPr>
        <w:tc>
          <w:tcPr>
            <w:tcW w:w="1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LLC, as warrant agent (incorporated by reference to Exhibit 4.1 to Learn CW Investment Corporation’s Current Report on Form 8-K filed with</w:t>
            </w:r>
          </w:p>
        </w:tc>
      </w:tr>
      <w:tr>
        <w:trPr>
          <w:trHeight w:val="216"/>
        </w:trPr>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SEC on October 14, 2021).</w:t>
            </w:r>
          </w:p>
        </w:tc>
      </w:tr>
      <w:tr>
        <w:trPr>
          <w:trHeight w:val="194"/>
        </w:trPr>
        <w:tc>
          <w:tcPr>
            <w:tcW w:w="620" w:type="dxa"/>
            <w:vAlign w:val="bottom"/>
            <w:gridSpan w:val="4"/>
          </w:tcPr>
          <w:p>
            <w:pPr>
              <w:ind w:left="120"/>
              <w:spacing w:after="0" w:line="194"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160" w:type="dxa"/>
            <w:vAlign w:val="bottom"/>
          </w:tcPr>
          <w:p>
            <w:pPr>
              <w:spacing w:after="0"/>
              <w:rPr>
                <w:sz w:val="16"/>
                <w:szCs w:val="16"/>
                <w:color w:val="auto"/>
              </w:rPr>
            </w:pPr>
          </w:p>
        </w:tc>
        <w:tc>
          <w:tcPr>
            <w:tcW w:w="104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w w:val="99"/>
              </w:rPr>
              <w:t>Warrant Assumption Agreement, dated October 2, 2024, by and among Learn CW Investment Corporation, Innventure, Inc. (f/k/a Learn SPAC</w:t>
            </w:r>
          </w:p>
        </w:tc>
      </w:tr>
      <w:tr>
        <w:trPr>
          <w:trHeight w:val="218"/>
        </w:trPr>
        <w:tc>
          <w:tcPr>
            <w:tcW w:w="1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HoldCo, Inc.) and Equiniti Trust Company, LLC (f/k/a American Stock Transfer &amp; Stock Company, LLC), as warrant agent.</w:t>
            </w:r>
          </w:p>
        </w:tc>
      </w:tr>
      <w:tr>
        <w:trPr>
          <w:trHeight w:val="194"/>
        </w:trPr>
        <w:tc>
          <w:tcPr>
            <w:tcW w:w="620" w:type="dxa"/>
            <w:vAlign w:val="bottom"/>
            <w:gridSpan w:val="4"/>
          </w:tcPr>
          <w:p>
            <w:pPr>
              <w:ind w:left="120"/>
              <w:spacing w:after="0" w:line="194"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p>
        </w:tc>
        <w:tc>
          <w:tcPr>
            <w:tcW w:w="160" w:type="dxa"/>
            <w:vAlign w:val="bottom"/>
          </w:tcPr>
          <w:p>
            <w:pPr>
              <w:spacing w:after="0"/>
              <w:rPr>
                <w:sz w:val="16"/>
                <w:szCs w:val="16"/>
                <w:color w:val="auto"/>
              </w:rPr>
            </w:pPr>
          </w:p>
        </w:tc>
        <w:tc>
          <w:tcPr>
            <w:tcW w:w="104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Amended and Restated Registration Rights Agreement, dated October 2, 2024, by and among Innventure, Inc., Learn CW Investment</w:t>
            </w:r>
          </w:p>
        </w:tc>
      </w:tr>
      <w:tr>
        <w:trPr>
          <w:trHeight w:val="218"/>
        </w:trPr>
        <w:tc>
          <w:tcPr>
            <w:tcW w:w="1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Corporation, CWAM LC Sponsor LLC and the undersigned parties listed thereto.</w:t>
            </w:r>
          </w:p>
        </w:tc>
      </w:tr>
      <w:tr>
        <w:trPr>
          <w:trHeight w:val="194"/>
        </w:trPr>
        <w:tc>
          <w:tcPr>
            <w:tcW w:w="620" w:type="dxa"/>
            <w:vAlign w:val="bottom"/>
            <w:gridSpan w:val="4"/>
          </w:tcPr>
          <w:p>
            <w:pPr>
              <w:ind w:left="120"/>
              <w:spacing w:after="0" w:line="194"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p>
        </w:tc>
        <w:tc>
          <w:tcPr>
            <w:tcW w:w="160" w:type="dxa"/>
            <w:vAlign w:val="bottom"/>
          </w:tcPr>
          <w:p>
            <w:pPr>
              <w:spacing w:after="0"/>
              <w:rPr>
                <w:sz w:val="16"/>
                <w:szCs w:val="16"/>
                <w:color w:val="auto"/>
              </w:rPr>
            </w:pPr>
          </w:p>
        </w:tc>
        <w:tc>
          <w:tcPr>
            <w:tcW w:w="104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Amended &amp; Restated Investor Rights Agreement, dated October 2, 2024, by and among Innventure, Inc., and the undersigned parties listed</w:t>
            </w:r>
          </w:p>
        </w:tc>
      </w:tr>
      <w:tr>
        <w:trPr>
          <w:trHeight w:val="218"/>
        </w:trPr>
        <w:tc>
          <w:tcPr>
            <w:tcW w:w="1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thereto.</w:t>
            </w:r>
          </w:p>
        </w:tc>
      </w:tr>
      <w:tr>
        <w:trPr>
          <w:trHeight w:val="194"/>
        </w:trPr>
        <w:tc>
          <w:tcPr>
            <w:tcW w:w="440" w:type="dxa"/>
            <w:vAlign w:val="bottom"/>
            <w:gridSpan w:val="2"/>
          </w:tcPr>
          <w:p>
            <w:pPr>
              <w:ind w:left="120"/>
              <w:spacing w:after="0" w:line="194" w:lineRule="exact"/>
              <w:rPr>
                <w:rFonts w:ascii="Times New Roman" w:cs="Times New Roman" w:eastAsia="Times New Roman" w:hAnsi="Times New Roman"/>
                <w:sz w:val="18"/>
                <w:szCs w:val="18"/>
                <w:color w:val="0000EE"/>
                <w:w w:val="95"/>
              </w:rPr>
            </w:pPr>
            <w:hyperlink r:id="rId34">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5</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Sponsor Support Agreement, dated October 24, 2023, by and between Learn CW Investment Corporation, Innventure LLC and CWAM LC</w:t>
            </w:r>
          </w:p>
        </w:tc>
      </w:tr>
      <w:tr>
        <w:trPr>
          <w:trHeight w:val="218"/>
        </w:trPr>
        <w:tc>
          <w:tcPr>
            <w:tcW w:w="1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Sponsor LLC (incorporated by reference to Annex C to Innventure, Inc.’s Registration Statement on Form S-4 filed with the SEC on</w:t>
            </w:r>
          </w:p>
        </w:tc>
      </w:tr>
      <w:tr>
        <w:trPr>
          <w:trHeight w:val="216"/>
        </w:trPr>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6, 2024).</w:t>
            </w:r>
          </w:p>
        </w:tc>
      </w:tr>
      <w:tr>
        <w:trPr>
          <w:trHeight w:val="194"/>
        </w:trPr>
        <w:tc>
          <w:tcPr>
            <w:tcW w:w="440" w:type="dxa"/>
            <w:vAlign w:val="bottom"/>
            <w:gridSpan w:val="2"/>
          </w:tcPr>
          <w:p>
            <w:pPr>
              <w:ind w:left="120"/>
              <w:spacing w:after="0" w:line="194" w:lineRule="exact"/>
              <w:rPr>
                <w:rFonts w:ascii="Times New Roman" w:cs="Times New Roman" w:eastAsia="Times New Roman" w:hAnsi="Times New Roman"/>
                <w:sz w:val="18"/>
                <w:szCs w:val="18"/>
                <w:color w:val="0000EE"/>
                <w:w w:val="95"/>
              </w:rPr>
            </w:pPr>
            <w:hyperlink r:id="rId35">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6</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w w:val="99"/>
              </w:rPr>
              <w:t>Member Support Agreement, dated October 24, 2023, by and among Learn CW Investment Corporation, Learn SPAC Holdco, Inc., Innventure</w:t>
            </w:r>
          </w:p>
        </w:tc>
      </w:tr>
      <w:tr>
        <w:trPr>
          <w:trHeight w:val="218"/>
        </w:trPr>
        <w:tc>
          <w:tcPr>
            <w:tcW w:w="1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LLC and the Innventure Members party thereto (incorporated by reference to Annex D to Innventure, Inc.’s Registration Statement on Form S-</w:t>
            </w:r>
          </w:p>
        </w:tc>
      </w:tr>
      <w:tr>
        <w:trPr>
          <w:trHeight w:val="216"/>
        </w:trPr>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 filed with the SEC on September 6, 2024).</w:t>
            </w:r>
          </w:p>
        </w:tc>
      </w:tr>
      <w:tr>
        <w:trPr>
          <w:trHeight w:val="194"/>
        </w:trPr>
        <w:tc>
          <w:tcPr>
            <w:tcW w:w="780" w:type="dxa"/>
            <w:vAlign w:val="bottom"/>
            <w:gridSpan w:val="5"/>
          </w:tcPr>
          <w:p>
            <w:pPr>
              <w:ind w:left="120"/>
              <w:spacing w:after="0" w:line="194"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p>
        </w:tc>
        <w:tc>
          <w:tcPr>
            <w:tcW w:w="104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Form of Indemnification Agreement.</w:t>
            </w:r>
          </w:p>
        </w:tc>
      </w:tr>
      <w:tr>
        <w:trPr>
          <w:trHeight w:val="20"/>
        </w:trPr>
        <w:tc>
          <w:tcPr>
            <w:tcW w:w="120" w:type="dxa"/>
            <w:vAlign w:val="bottom"/>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r>
      <w:tr>
        <w:trPr>
          <w:trHeight w:val="196"/>
        </w:trPr>
        <w:tc>
          <w:tcPr>
            <w:tcW w:w="620" w:type="dxa"/>
            <w:vAlign w:val="bottom"/>
            <w:gridSpan w:val="4"/>
          </w:tcPr>
          <w:p>
            <w:pPr>
              <w:ind w:left="120"/>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160" w:type="dxa"/>
            <w:vAlign w:val="bottom"/>
          </w:tcPr>
          <w:p>
            <w:pPr>
              <w:spacing w:after="0"/>
              <w:rPr>
                <w:sz w:val="17"/>
                <w:szCs w:val="17"/>
                <w:color w:val="auto"/>
              </w:rPr>
            </w:pPr>
          </w:p>
        </w:tc>
        <w:tc>
          <w:tcPr>
            <w:tcW w:w="104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Innventure, Inc. 2024 Equity and Incentive Compensation Plan (incorporated by reference to Annex K to Innventure, Inc.’s Registration</w:t>
            </w:r>
          </w:p>
        </w:tc>
      </w:tr>
      <w:tr>
        <w:trPr>
          <w:trHeight w:val="218"/>
        </w:trPr>
        <w:tc>
          <w:tcPr>
            <w:tcW w:w="1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Statement on Form S-4 filed with the SEC on September 6, 2024).</w:t>
            </w:r>
          </w:p>
        </w:tc>
      </w:tr>
      <w:tr>
        <w:trPr>
          <w:trHeight w:val="194"/>
        </w:trPr>
        <w:tc>
          <w:tcPr>
            <w:tcW w:w="620" w:type="dxa"/>
            <w:vAlign w:val="bottom"/>
            <w:gridSpan w:val="4"/>
          </w:tcPr>
          <w:p>
            <w:pPr>
              <w:ind w:left="120"/>
              <w:spacing w:after="0" w:line="194" w:lineRule="exact"/>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9*^</w:t>
            </w:r>
          </w:p>
        </w:tc>
        <w:tc>
          <w:tcPr>
            <w:tcW w:w="160" w:type="dxa"/>
            <w:vAlign w:val="bottom"/>
          </w:tcPr>
          <w:p>
            <w:pPr>
              <w:spacing w:after="0"/>
              <w:rPr>
                <w:sz w:val="16"/>
                <w:szCs w:val="16"/>
                <w:color w:val="auto"/>
              </w:rPr>
            </w:pPr>
          </w:p>
        </w:tc>
        <w:tc>
          <w:tcPr>
            <w:tcW w:w="104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Form of Investment Agreement by and among Innventure, Inc. and the purchasers listed on Schedule I thereto.</w:t>
            </w:r>
          </w:p>
        </w:tc>
      </w:tr>
      <w:tr>
        <w:trPr>
          <w:trHeight w:val="419"/>
        </w:trPr>
        <w:tc>
          <w:tcPr>
            <w:tcW w:w="1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ind w:left="2"/>
        <w:spacing w:after="0"/>
        <w:tabs>
          <w:tab w:leader="none" w:pos="762" w:val="left"/>
        </w:tabs>
        <w:rPr>
          <w:sz w:val="20"/>
          <w:szCs w:val="20"/>
          <w:color w:val="auto"/>
        </w:rPr>
      </w:pPr>
      <w:r>
        <w:rPr>
          <w:rFonts w:ascii="Times New Roman" w:cs="Times New Roman" w:eastAsia="Times New Roman" w:hAnsi="Times New Roman"/>
          <w:sz w:val="18"/>
          <w:szCs w:val="18"/>
          <w:u w:val="single" w:color="auto"/>
          <w:color w:val="0000EE"/>
        </w:rPr>
        <w:t>10.10*</w:t>
      </w:r>
      <w:r>
        <w:rPr>
          <w:sz w:val="20"/>
          <w:szCs w:val="20"/>
          <w:color w:val="auto"/>
        </w:rPr>
        <w:tab/>
      </w:r>
      <w:r>
        <w:rPr>
          <w:rFonts w:ascii="Times New Roman" w:cs="Times New Roman" w:eastAsia="Times New Roman" w:hAnsi="Times New Roman"/>
          <w:sz w:val="17"/>
          <w:szCs w:val="17"/>
          <w:color w:val="auto"/>
        </w:rPr>
        <w:t>Waiver and Consent entered into on October 2, 2024, by and among, Learn CW, Holdco and Innventure</w:t>
      </w:r>
    </w:p>
    <w:p>
      <w:pPr>
        <w:spacing w:after="0" w:line="27" w:lineRule="exact"/>
        <w:rPr>
          <w:sz w:val="20"/>
          <w:szCs w:val="20"/>
          <w:color w:val="auto"/>
        </w:rPr>
      </w:pPr>
    </w:p>
    <w:p>
      <w:pPr>
        <w:ind w:left="2"/>
        <w:spacing w:after="0"/>
        <w:tabs>
          <w:tab w:leader="none" w:pos="762" w:val="left"/>
        </w:tabs>
        <w:rPr>
          <w:sz w:val="20"/>
          <w:szCs w:val="20"/>
          <w:color w:val="auto"/>
        </w:rPr>
      </w:pPr>
      <w:r>
        <w:rPr>
          <w:rFonts w:ascii="Times New Roman" w:cs="Times New Roman" w:eastAsia="Times New Roman" w:hAnsi="Times New Roman"/>
          <w:sz w:val="18"/>
          <w:szCs w:val="18"/>
          <w:u w:val="single" w:color="auto"/>
          <w:color w:val="0000EE"/>
        </w:rPr>
        <w:t>10.11*</w:t>
      </w:r>
      <w:r>
        <w:rPr>
          <w:sz w:val="20"/>
          <w:szCs w:val="20"/>
          <w:color w:val="auto"/>
        </w:rPr>
        <w:tab/>
      </w:r>
      <w:r>
        <w:rPr>
          <w:rFonts w:ascii="Times New Roman" w:cs="Times New Roman" w:eastAsia="Times New Roman" w:hAnsi="Times New Roman"/>
          <w:sz w:val="17"/>
          <w:szCs w:val="17"/>
          <w:color w:val="auto"/>
        </w:rPr>
        <w:t>A&amp;R Glockner Bridge Note, dated October 1, 2024, by and between Innventure, LLC and the Glockner Family Venture Fund, LP</w:t>
      </w:r>
    </w:p>
    <w:p>
      <w:pPr>
        <w:spacing w:after="0" w:line="9" w:lineRule="exact"/>
        <w:rPr>
          <w:sz w:val="20"/>
          <w:szCs w:val="20"/>
          <w:color w:val="auto"/>
        </w:rPr>
      </w:pPr>
    </w:p>
    <w:p>
      <w:pPr>
        <w:ind w:left="2"/>
        <w:spacing w:after="0"/>
        <w:tabs>
          <w:tab w:leader="none" w:pos="762" w:val="left"/>
        </w:tabs>
        <w:rPr>
          <w:sz w:val="20"/>
          <w:szCs w:val="20"/>
          <w:color w:val="auto"/>
        </w:rPr>
      </w:pPr>
      <w:r>
        <w:rPr>
          <w:rFonts w:ascii="Times New Roman" w:cs="Times New Roman" w:eastAsia="Times New Roman" w:hAnsi="Times New Roman"/>
          <w:sz w:val="18"/>
          <w:szCs w:val="18"/>
          <w:u w:val="single" w:color="auto"/>
          <w:color w:val="0000EE"/>
        </w:rPr>
        <w:t>10.12*</w:t>
      </w:r>
      <w:r>
        <w:rPr>
          <w:sz w:val="20"/>
          <w:szCs w:val="20"/>
          <w:color w:val="auto"/>
        </w:rPr>
        <w:tab/>
      </w:r>
      <w:r>
        <w:rPr>
          <w:rFonts w:ascii="Times New Roman" w:cs="Times New Roman" w:eastAsia="Times New Roman" w:hAnsi="Times New Roman"/>
          <w:sz w:val="17"/>
          <w:szCs w:val="17"/>
          <w:color w:val="auto"/>
        </w:rPr>
        <w:t>A&amp;R Scott Bridge Note, dated October 1, 2024, by and between Innventure, LLC and John Scott</w:t>
      </w:r>
    </w:p>
    <w:p>
      <w:pPr>
        <w:spacing w:after="0" w:line="9" w:lineRule="exact"/>
        <w:rPr>
          <w:sz w:val="20"/>
          <w:szCs w:val="20"/>
          <w:color w:val="auto"/>
        </w:rPr>
      </w:pPr>
    </w:p>
    <w:p>
      <w:pPr>
        <w:ind w:left="2"/>
        <w:spacing w:after="0"/>
        <w:tabs>
          <w:tab w:leader="none" w:pos="762" w:val="left"/>
        </w:tabs>
        <w:rPr>
          <w:sz w:val="20"/>
          <w:szCs w:val="20"/>
          <w:color w:val="auto"/>
        </w:rPr>
      </w:pPr>
      <w:r>
        <w:rPr>
          <w:rFonts w:ascii="Times New Roman" w:cs="Times New Roman" w:eastAsia="Times New Roman" w:hAnsi="Times New Roman"/>
          <w:sz w:val="18"/>
          <w:szCs w:val="18"/>
          <w:u w:val="single" w:color="auto"/>
          <w:color w:val="0000EE"/>
        </w:rPr>
        <w:t>14.1*</w:t>
      </w:r>
      <w:r>
        <w:rPr>
          <w:sz w:val="20"/>
          <w:szCs w:val="20"/>
          <w:color w:val="auto"/>
        </w:rPr>
        <w:tab/>
      </w:r>
      <w:r>
        <w:rPr>
          <w:rFonts w:ascii="Times New Roman" w:cs="Times New Roman" w:eastAsia="Times New Roman" w:hAnsi="Times New Roman"/>
          <w:sz w:val="18"/>
          <w:szCs w:val="18"/>
          <w:color w:val="auto"/>
        </w:rPr>
        <w:t>Code of Conduct.</w:t>
      </w:r>
    </w:p>
    <w:p>
      <w:pPr>
        <w:spacing w:after="0" w:line="9" w:lineRule="exact"/>
        <w:rPr>
          <w:sz w:val="20"/>
          <w:szCs w:val="20"/>
          <w:color w:val="auto"/>
        </w:rPr>
      </w:pPr>
    </w:p>
    <w:p>
      <w:pPr>
        <w:ind w:left="2"/>
        <w:spacing w:after="0"/>
        <w:tabs>
          <w:tab w:leader="none" w:pos="762" w:val="left"/>
        </w:tabs>
        <w:rPr>
          <w:sz w:val="20"/>
          <w:szCs w:val="20"/>
          <w:color w:val="auto"/>
        </w:rPr>
      </w:pPr>
      <w:r>
        <w:rPr>
          <w:rFonts w:ascii="Times New Roman" w:cs="Times New Roman" w:eastAsia="Times New Roman" w:hAnsi="Times New Roman"/>
          <w:sz w:val="18"/>
          <w:szCs w:val="18"/>
          <w:u w:val="single" w:color="auto"/>
          <w:color w:val="0000EE"/>
        </w:rPr>
        <w:t>16.1*</w:t>
      </w:r>
      <w:r>
        <w:rPr>
          <w:sz w:val="20"/>
          <w:szCs w:val="20"/>
          <w:color w:val="auto"/>
        </w:rPr>
        <w:tab/>
      </w:r>
      <w:r>
        <w:rPr>
          <w:rFonts w:ascii="Times New Roman" w:cs="Times New Roman" w:eastAsia="Times New Roman" w:hAnsi="Times New Roman"/>
          <w:sz w:val="17"/>
          <w:szCs w:val="17"/>
          <w:color w:val="auto"/>
        </w:rPr>
        <w:t>Letter of Marcum LLP.</w:t>
      </w:r>
    </w:p>
    <w:p>
      <w:pPr>
        <w:spacing w:after="0" w:line="9" w:lineRule="exact"/>
        <w:rPr>
          <w:sz w:val="20"/>
          <w:szCs w:val="20"/>
          <w:color w:val="auto"/>
        </w:rPr>
      </w:pPr>
    </w:p>
    <w:p>
      <w:pPr>
        <w:ind w:left="2"/>
        <w:spacing w:after="0"/>
        <w:tabs>
          <w:tab w:leader="none" w:pos="762" w:val="left"/>
        </w:tabs>
        <w:rPr>
          <w:sz w:val="20"/>
          <w:szCs w:val="20"/>
          <w:color w:val="auto"/>
        </w:rPr>
      </w:pPr>
      <w:r>
        <w:rPr>
          <w:rFonts w:ascii="Times New Roman" w:cs="Times New Roman" w:eastAsia="Times New Roman" w:hAnsi="Times New Roman"/>
          <w:sz w:val="18"/>
          <w:szCs w:val="18"/>
          <w:u w:val="single" w:color="auto"/>
          <w:color w:val="0000EE"/>
        </w:rPr>
        <w:t>21.1*</w:t>
      </w:r>
      <w:r>
        <w:rPr>
          <w:sz w:val="20"/>
          <w:szCs w:val="20"/>
          <w:color w:val="auto"/>
        </w:rPr>
        <w:tab/>
      </w:r>
      <w:r>
        <w:rPr>
          <w:rFonts w:ascii="Times New Roman" w:cs="Times New Roman" w:eastAsia="Times New Roman" w:hAnsi="Times New Roman"/>
          <w:sz w:val="17"/>
          <w:szCs w:val="17"/>
          <w:color w:val="auto"/>
        </w:rPr>
        <w:t>List of Subsidiaries.</w:t>
      </w:r>
    </w:p>
    <w:p>
      <w:pPr>
        <w:spacing w:after="0" w:line="9" w:lineRule="exact"/>
        <w:rPr>
          <w:sz w:val="20"/>
          <w:szCs w:val="20"/>
          <w:color w:val="auto"/>
        </w:rPr>
      </w:pPr>
    </w:p>
    <w:p>
      <w:pPr>
        <w:ind w:left="782" w:hanging="780"/>
        <w:spacing w:after="0" w:line="250" w:lineRule="auto"/>
        <w:tabs>
          <w:tab w:leader="none" w:pos="762"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Unaudited pro forma condensed combined balance sheet as of June 30, 2024 and the unaudited pro forma condensed combined statements of operations for the six months ended June 30, 2024 and for the year ended December 31, 2023.</w:t>
      </w:r>
    </w:p>
    <w:p>
      <w:pPr>
        <w:spacing w:after="0" w:line="1" w:lineRule="exact"/>
        <w:rPr>
          <w:sz w:val="20"/>
          <w:szCs w:val="20"/>
          <w:color w:val="auto"/>
        </w:rPr>
      </w:pPr>
    </w:p>
    <w:p>
      <w:pPr>
        <w:ind w:left="2"/>
        <w:spacing w:after="0"/>
        <w:tabs>
          <w:tab w:leader="none" w:pos="762"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142875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782" w:right="40" w:hanging="782"/>
        <w:spacing w:after="0" w:line="261" w:lineRule="auto"/>
        <w:tabs>
          <w:tab w:leader="none" w:pos="7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601(b)(2) of Regulation S-K. Innventure, Inc. agrees to furnish supplementally a copy of any omitted schedule or exhibit to the SEC upon request.</w:t>
      </w:r>
    </w:p>
    <w:p>
      <w:pPr>
        <w:ind w:left="782" w:hanging="782"/>
        <w:spacing w:after="0"/>
        <w:tabs>
          <w:tab w:leader="none" w:pos="7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782" w:right="120" w:hanging="782"/>
        <w:spacing w:after="0" w:line="250" w:lineRule="auto"/>
        <w:tabs>
          <w:tab w:leader="none" w:pos="7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601(a)(5) of Regulation S-K. Innventure, Inc. agrees to furnish a copy of any omitted schedule to the SEC upon request.</w:t>
      </w:r>
    </w:p>
    <w:p>
      <w:pPr>
        <w:spacing w:after="0" w:line="1" w:lineRule="exact"/>
        <w:rPr>
          <w:sz w:val="20"/>
          <w:szCs w:val="20"/>
          <w:color w:val="auto"/>
        </w:rPr>
      </w:pPr>
    </w:p>
    <w:p>
      <w:pPr>
        <w:ind w:left="782" w:hanging="782"/>
        <w:spacing w:after="0"/>
        <w:tabs>
          <w:tab w:leader="none" w:pos="7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254635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2"/>
          </w:cols>
          <w:pgMar w:left="438" w:top="121" w:right="519" w:bottom="1440" w:gutter="0" w:footer="0" w:header="0"/>
        </w:sectPr>
      </w:pPr>
    </w:p>
    <w:bookmarkStart w:id="19" w:name="page20"/>
    <w:bookmarkEnd w:id="19"/>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tabs>
          <w:tab w:leader="none" w:pos="6180" w:val="left"/>
          <w:tab w:leader="none" w:pos="6740" w:val="left"/>
        </w:tabs>
        <w:rPr>
          <w:sz w:val="20"/>
          <w:szCs w:val="20"/>
          <w:color w:val="auto"/>
        </w:rPr>
      </w:pPr>
      <w:r>
        <w:rPr>
          <w:rFonts w:ascii="Times New Roman" w:cs="Times New Roman" w:eastAsia="Times New Roman" w:hAnsi="Times New Roman"/>
          <w:sz w:val="18"/>
          <w:szCs w:val="18"/>
          <w:color w:val="auto"/>
        </w:rPr>
        <w:t>October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Suzanne Niemeyer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Suzanne Niemeyer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Innventure Inc., (f/k/a Learn SPAC HoldCo, Inc.), a corporation organized and existing under the laws of the State of Delaware, hereby certifies 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jc w:val="both"/>
        <w:ind w:firstLine="656"/>
        <w:spacing w:after="0" w:line="268" w:lineRule="auto"/>
        <w:tabs>
          <w:tab w:leader="none" w:pos="12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Innventure,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The Corporation was originally incorporated under the name Learn SPAC HoldCo, Inc. The Corporation’s original certificate of incorporation was filed with the office of the Secretary of State of the State of Delaware on October 9, 2023.</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2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(this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was duly adopted in accordance with Sections 242 and 245 of the General Corporation Law of the State of Delaware, as it now exists or may hereafter be amended and supplemented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restates and amends the provisions of the Corporation’s certificate of incorporation and has been duly approved by the written consent of the stockholders of the Corporation in accordance with Section 228 of the DGCL.</w:t>
      </w:r>
    </w:p>
    <w:p>
      <w:pPr>
        <w:spacing w:after="0" w:line="180"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certificate of incorporation of this Corporation is hereby amended and restated to read in its entirety as follows:</w:t>
      </w:r>
    </w:p>
    <w:p>
      <w:pPr>
        <w:spacing w:after="0" w:line="221" w:lineRule="exact"/>
        <w:rPr>
          <w:rFonts w:ascii="Times New Roman" w:cs="Times New Roman" w:eastAsia="Times New Roman" w:hAnsi="Times New Roman"/>
          <w:sz w:val="18"/>
          <w:szCs w:val="18"/>
          <w:color w:val="auto"/>
        </w:rPr>
      </w:pPr>
    </w:p>
    <w:p>
      <w:pPr>
        <w:ind w:left="5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Innventure,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 Wilmington, New Castle County, Delaware 19808. The name of its registered agent at such address is Corporation Service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 Without limiting the generality of the foregoing, those activities include: (i) investing in securities of Innventure LLC, a Delaware limited liability company, or any successor entities thereto (“</w:t>
      </w:r>
      <w:r>
        <w:rPr>
          <w:rFonts w:ascii="Times New Roman" w:cs="Times New Roman" w:eastAsia="Times New Roman" w:hAnsi="Times New Roman"/>
          <w:sz w:val="18"/>
          <w:szCs w:val="18"/>
          <w:b w:val="1"/>
          <w:bCs w:val="1"/>
          <w:i w:val="1"/>
          <w:iCs w:val="1"/>
          <w:color w:val="auto"/>
        </w:rPr>
        <w:t>Innventure</w:t>
      </w:r>
      <w:r>
        <w:rPr>
          <w:rFonts w:ascii="Times New Roman" w:cs="Times New Roman" w:eastAsia="Times New Roman" w:hAnsi="Times New Roman"/>
          <w:sz w:val="18"/>
          <w:szCs w:val="18"/>
          <w:color w:val="auto"/>
        </w:rPr>
        <w:t>”), and any of its subsidiaries; (ii) exercising all rights, powers, privileges and other incidents of ownership or possession with respect to the Corporation’s assets, including managing, holding, selling and disposing of such assets; and (iii) engaging in any other activities incidental or ancillary thereto.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Authorized Stock</w:t>
      </w:r>
      <w:r>
        <w:rPr>
          <w:rFonts w:ascii="Times New Roman" w:cs="Times New Roman" w:eastAsia="Times New Roman" w:hAnsi="Times New Roman"/>
          <w:sz w:val="18"/>
          <w:szCs w:val="18"/>
          <w:color w:val="auto"/>
        </w:rPr>
        <w:t>. The total number of shares of all classes of stock that the Corporation is authorized to issue is 275,000,000 shares, consisting of 250,000,000 shares of common stock, with a par value of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25,000,000 shares of preferred stock, with a par value of $0.0001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1" w:name="page22"/>
    <w:bookmarkEnd w:id="2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Number of Authorized Shares</w:t>
      </w:r>
      <w:r>
        <w:rPr>
          <w:rFonts w:ascii="Times New Roman" w:cs="Times New Roman" w:eastAsia="Times New Roman" w:hAnsi="Times New Roman"/>
          <w:sz w:val="18"/>
          <w:szCs w:val="18"/>
          <w:color w:val="auto"/>
        </w:rPr>
        <w:t>. The number of authorized shares of any of the Common Stock or Preferred Stock may be increased or decreased (but not below the number of shares thereof then outstanding) by the affirmative vote of the holders of a majority of all of the outstanding shares of capital stock of the Corporation entitled to vote on such increase or decrease, voting together as a single class, irrespective of the provisions of Section 242(b)(2) of the DGCL, unless a separate vote of holders of the Common Stock or Preferred Stock is required pursuant to the terms of any Preferred Stock Designation (as defined below). Notwithstanding the immediately preceding sentence, the number of authorized shares of the Common Stock may not be decreased below the number of shares of Common Stock then outstanding plus the number of shares of Common Stock issuable in connection with the exercise of all outstanding options, warrants, exchange rights, conversion rights or similar rights for Common Stock.</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Subject to any limitations prescribed by law, the board of directors of the Corporation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is authorized to provide, out of the unissued shares of Preferred Stock, for the issuance of shares of Preferred Stock in one or more series, including “blank check” preferred stock. The issuance of Preferred Stock as set forth in the preceding sentence shall be accomplished by filing a certificate pursuant to the applicable law of the State of Delaware (such certificate shall be referred to as a “</w:t>
      </w:r>
      <w:r>
        <w:rPr>
          <w:rFonts w:ascii="Times New Roman" w:cs="Times New Roman" w:eastAsia="Times New Roman" w:hAnsi="Times New Roman"/>
          <w:sz w:val="18"/>
          <w:szCs w:val="18"/>
          <w:b w:val="1"/>
          <w:bCs w:val="1"/>
          <w:i w:val="1"/>
          <w:iCs w:val="1"/>
          <w:color w:val="auto"/>
        </w:rPr>
        <w:t>Preferred Stock Designation</w:t>
      </w:r>
      <w:r>
        <w:rPr>
          <w:rFonts w:ascii="Times New Roman" w:cs="Times New Roman" w:eastAsia="Times New Roman" w:hAnsi="Times New Roman"/>
          <w:sz w:val="18"/>
          <w:szCs w:val="18"/>
          <w:color w:val="auto"/>
        </w:rPr>
        <w:t>”), to: (i) establish from time to time the number of shares to be included in each such series; and (ii) fix the powers, designations, preferences and relative, participating, optional or other special rights, and qualifications, limitations or restrictions of such preferred shares. Without limitation, those rights, designations and preferences shall include the authority to fix the dividend rights, dividend rates, conversion rights, exchange rights, voting rights, rights and terms of redemption (including sinking and purchase fund provisions), the redemption price or prices, restrictions on the issuance of shares of such series, the dissolution preferences and the rights in respect of any distribution of assets of any wholly unissued series of Preferred Stock, or any of them and to increase or decrease the number of shares of any series so created (except where otherwise provided in the Preferred Stock Designation), subsequent to the issue of that series but not below the number of shares of such series then outstanding. In case the authorized number of shares of any series shall be so decreased, the shares constituting such decrease shall resume the status which they had prior to the adoption of the resolution originally fixing the number of shares of such series (except where otherwise provided in the Preferred Stock Designation). There shall be no limitation or restriction on any variation between any of the different series of Preferred Stock as to the designations, preferences and relative, participating, optional or other special rights, and the qualifications, limitations or restrictions thereof. The several series of Preferred Stock may vary in any and all respects as fixed and determined by the resolution or resolutions of the Board of Directors or by a duly authorized committee of the Board of Directors, providing for the issuance of the various series of Preferred Stock.</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powers, preferences and rights of the Common Stock and the qualifications, limitations or restrictions thereof are as follows:</w:t>
      </w:r>
    </w:p>
    <w:p>
      <w:pPr>
        <w:spacing w:after="0" w:line="160" w:lineRule="exact"/>
        <w:rPr>
          <w:sz w:val="20"/>
          <w:szCs w:val="20"/>
          <w:color w:val="auto"/>
        </w:rPr>
      </w:pPr>
    </w:p>
    <w:p>
      <w:pPr>
        <w:ind w:right="620" w:firstLine="1304"/>
        <w:spacing w:after="0" w:line="284" w:lineRule="auto"/>
        <w:tabs>
          <w:tab w:leader="none" w:pos="1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Except as otherwise required by law: Each share of Common Stock shall entitle the record holder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record date to one (1) vote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per share in person or by proxy on all matters submitted to a vote of the holders of Common Stock. The holders of shares of Common Stock shall not have cumulative voting rights. Except as otherwise required by law or this Certificate of Incorporation, and subject to the rights of the holders of shares of Preferred Stock, if any, at any annual or special meeting of the stockholders of the Corporation, the holders of shares of Common Stock shall have the right to vote for the election of directors and on all other matters properly submitted to a vote of the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shares of Common Stock shall not be entitled to vote on any amendment to this Certificate of Incorporation that relates solely to the terms, number of shares, powers, designations, preferences or relative, participating, optional or other special rights (including, without limitation, voting rights), or to qualifications, limitations or restrictions thereof, of one or more outstanding series of Preferred Stock if the holders of such affected series are entitled, either separately or together with the holders of one or more other such series, to vote thereon pursuant to this Certificate of Incorporation or pursuant to the DGCL. Except as otherwise required by law or this Certificate of Incorporation, the holders of shares of Common Stock shall vote together as a single class with such holders of Preferred Stock if any holders of shares of Preferred Stock are entitled to vote together with the holders of Common Stock.</w:t>
      </w:r>
    </w:p>
    <w:p>
      <w:pPr>
        <w:spacing w:after="0" w:line="190" w:lineRule="exact"/>
        <w:rPr>
          <w:sz w:val="20"/>
          <w:szCs w:val="20"/>
          <w:color w:val="auto"/>
        </w:rPr>
      </w:pPr>
    </w:p>
    <w:p>
      <w:pPr>
        <w:jc w:val="both"/>
        <w:ind w:firstLine="1304"/>
        <w:spacing w:after="0" w:line="258" w:lineRule="auto"/>
        <w:tabs>
          <w:tab w:leader="none" w:pos="19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Distributions</w:t>
      </w:r>
      <w:r>
        <w:rPr>
          <w:rFonts w:ascii="Times New Roman" w:cs="Times New Roman" w:eastAsia="Times New Roman" w:hAnsi="Times New Roman"/>
          <w:sz w:val="18"/>
          <w:szCs w:val="18"/>
          <w:color w:val="auto"/>
        </w:rPr>
        <w:t>. Subject to applicable law and the rights, if any, of the holders of any outstanding series of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any class or series of stock having a preference senior to or the right to participate with the Common Stock with respect to the payment of dividends (and other distributions of cash, stock or property), such holders of Common Stock shall be entitled to the payment of dividends (and other distributions of cash, stock or property) ratably in proportion to the number of shares held by each such stockholder when, as and if declared by the Board of Directors in its discretion from time to time in accordance with applicable law.</w:t>
      </w:r>
    </w:p>
    <w:p>
      <w:pPr>
        <w:spacing w:after="0" w:line="183" w:lineRule="exact"/>
        <w:rPr>
          <w:rFonts w:ascii="Times New Roman" w:cs="Times New Roman" w:eastAsia="Times New Roman" w:hAnsi="Times New Roman"/>
          <w:sz w:val="18"/>
          <w:szCs w:val="18"/>
          <w:color w:val="auto"/>
        </w:rPr>
      </w:pPr>
    </w:p>
    <w:p>
      <w:pPr>
        <w:jc w:val="both"/>
        <w:ind w:firstLine="1304"/>
        <w:spacing w:after="0" w:line="257" w:lineRule="auto"/>
        <w:tabs>
          <w:tab w:leader="none" w:pos="18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In the event of liquidation, dissolution or winding up of the affairs of the Corporation, whether voluntary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involuntary, after payment or provision for payment of the debts and other liabilities of the Corporation and after making provisions for preferential and other amounts, if any, to which the holders of Preferred Stock or any class or series of stock having a preference over or the right to participate with the Common Stock with respect to payments in liquidation shall be entitled, the remaining assets and funds of the Corporation available for distribution shall be divided among and paid ratably to the holders of all outstanding shares of Common Stock in proportion to the number of shares held by each such stockholder.</w:t>
      </w:r>
    </w:p>
    <w:p>
      <w:pPr>
        <w:spacing w:after="0" w:line="182" w:lineRule="exact"/>
        <w:rPr>
          <w:rFonts w:ascii="Times New Roman" w:cs="Times New Roman" w:eastAsia="Times New Roman" w:hAnsi="Times New Roman"/>
          <w:sz w:val="18"/>
          <w:szCs w:val="18"/>
          <w:color w:val="auto"/>
        </w:rPr>
      </w:pPr>
    </w:p>
    <w:p>
      <w:pPr>
        <w:jc w:val="both"/>
        <w:ind w:firstLine="1304"/>
        <w:spacing w:after="0" w:line="267" w:lineRule="auto"/>
        <w:tabs>
          <w:tab w:leader="none" w:pos="186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w:t>
      </w:r>
      <w:r>
        <w:rPr>
          <w:rFonts w:ascii="Times New Roman" w:cs="Times New Roman" w:eastAsia="Times New Roman" w:hAnsi="Times New Roman"/>
          <w:sz w:val="18"/>
          <w:szCs w:val="18"/>
          <w:color w:val="auto"/>
        </w:rPr>
        <w:t>. Subject to applicable law and any transfer restrictions set forth in the By-laws of the Corporation, as may be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or this Certificate of Incorporation, shares of Common Stock and the rights and obligations associated therewith shall be fully transferable.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The Corporation shall at all times reserve and keep available out of its authorized but unissued shares or other securities at least as many shares of Common Stock or other securities equal to: (i) the number of shares of Common Stock issuable upon the conversion of the then-outstanding shares of convertible preferred stock of the Corporation, if any.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4.6</w:t>
      </w:r>
      <w:r>
        <w:rPr>
          <w:sz w:val="20"/>
          <w:szCs w:val="20"/>
          <w:color w:val="auto"/>
        </w:rPr>
        <w:tab/>
      </w:r>
      <w:r>
        <w:rPr>
          <w:rFonts w:ascii="Times New Roman" w:cs="Times New Roman" w:eastAsia="Times New Roman" w:hAnsi="Times New Roman"/>
          <w:sz w:val="17"/>
          <w:szCs w:val="17"/>
          <w:u w:val="single" w:color="auto"/>
          <w:color w:val="auto"/>
        </w:rPr>
        <w:t>Lock-Up</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firstLine="1304"/>
        <w:spacing w:after="0" w:line="255" w:lineRule="auto"/>
        <w:tabs>
          <w:tab w:leader="none" w:pos="18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the holders (the “</w:t>
      </w:r>
      <w:r>
        <w:rPr>
          <w:rFonts w:ascii="Times New Roman" w:cs="Times New Roman" w:eastAsia="Times New Roman" w:hAnsi="Times New Roman"/>
          <w:sz w:val="18"/>
          <w:szCs w:val="18"/>
          <w:b w:val="1"/>
          <w:bCs w:val="1"/>
          <w:i w:val="1"/>
          <w:iCs w:val="1"/>
          <w:color w:val="auto"/>
        </w:rPr>
        <w:t>Lock-up Holders</w:t>
      </w:r>
      <w:r>
        <w:rPr>
          <w:rFonts w:ascii="Times New Roman" w:cs="Times New Roman" w:eastAsia="Times New Roman" w:hAnsi="Times New Roman"/>
          <w:sz w:val="18"/>
          <w:szCs w:val="18"/>
          <w:color w:val="auto"/>
        </w:rPr>
        <w:t>”) of Common Stock (the “</w:t>
      </w:r>
      <w:r>
        <w:rPr>
          <w:rFonts w:ascii="Times New Roman" w:cs="Times New Roman" w:eastAsia="Times New Roman" w:hAnsi="Times New Roman"/>
          <w:sz w:val="18"/>
          <w:szCs w:val="18"/>
          <w:b w:val="1"/>
          <w:bCs w:val="1"/>
          <w:i w:val="1"/>
          <w:iCs w:val="1"/>
          <w:color w:val="auto"/>
        </w:rPr>
        <w:t>Lock-up Shares</w:t>
      </w:r>
      <w:r>
        <w:rPr>
          <w:rFonts w:ascii="Times New Roman" w:cs="Times New Roman" w:eastAsia="Times New Roman" w:hAnsi="Times New Roman"/>
          <w:sz w:val="18"/>
          <w:szCs w:val="18"/>
          <w:color w:val="auto"/>
        </w:rPr>
        <w:t>”) issued as consideration (including any Earnout Shares, as defined in the Business Combination Agreement (as defined below)) to former holders of membership interests, warrants or other equity interests of Innventure LLC, a Delaware limited liability company (“</w:t>
      </w:r>
      <w:r>
        <w:rPr>
          <w:rFonts w:ascii="Times New Roman" w:cs="Times New Roman" w:eastAsia="Times New Roman" w:hAnsi="Times New Roman"/>
          <w:sz w:val="18"/>
          <w:szCs w:val="18"/>
          <w:b w:val="1"/>
          <w:bCs w:val="1"/>
          <w:i w:val="1"/>
          <w:iCs w:val="1"/>
          <w:color w:val="auto"/>
        </w:rPr>
        <w:t>Innventure</w:t>
      </w:r>
      <w:r>
        <w:rPr>
          <w:rFonts w:ascii="Times New Roman" w:cs="Times New Roman" w:eastAsia="Times New Roman" w:hAnsi="Times New Roman"/>
          <w:sz w:val="18"/>
          <w:szCs w:val="18"/>
          <w:color w:val="auto"/>
        </w:rPr>
        <w:t>”), may not Transfer any Lock-up Shares until the end of the period beginning on the date of the closing of the Transactions (as defined below) and ending on the date of the opening of the first trading window at least 180 days after the closing date of the Transactions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As used in this Certificate of Incorporation, (i)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the Business Combination Agreement, dated as of October 24, 2023, by and among Learn CW Investment Corporation, a Cayman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Islands exempted company (the “</w:t>
      </w:r>
      <w:r>
        <w:rPr>
          <w:rFonts w:ascii="Times New Roman" w:cs="Times New Roman" w:eastAsia="Times New Roman" w:hAnsi="Times New Roman"/>
          <w:sz w:val="18"/>
          <w:szCs w:val="18"/>
          <w:b w:val="1"/>
          <w:bCs w:val="1"/>
          <w:i w:val="1"/>
          <w:iCs w:val="1"/>
          <w:color w:val="auto"/>
        </w:rPr>
        <w:t>SPAC</w:t>
      </w:r>
      <w:r>
        <w:rPr>
          <w:rFonts w:ascii="Times New Roman" w:cs="Times New Roman" w:eastAsia="Times New Roman" w:hAnsi="Times New Roman"/>
          <w:sz w:val="18"/>
          <w:szCs w:val="18"/>
          <w:color w:val="auto"/>
        </w:rPr>
        <w:t>”), Innventure, the Corporation, LCW Merger Sub, Inc., a Delaware corporation, Innventure Merger Sub, LLC, a Delaware limited liability and (ii)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means the transactions contemplated by the Business Combination Agreement.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set forth in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the Lock-up Holders may Transfer the Lock-up Shares during the Lock-up Period (i) in the case of an individual, (A) by gift to any person related to the Lock-up Holder by blood, marriage, or domestic relationship (“</w:t>
      </w:r>
      <w:r>
        <w:rPr>
          <w:rFonts w:ascii="Times New Roman" w:cs="Times New Roman" w:eastAsia="Times New Roman" w:hAnsi="Times New Roman"/>
          <w:sz w:val="18"/>
          <w:szCs w:val="18"/>
          <w:b w:val="1"/>
          <w:bCs w:val="1"/>
          <w:i w:val="1"/>
          <w:iCs w:val="1"/>
          <w:color w:val="auto"/>
        </w:rPr>
        <w:t>immediate family</w:t>
      </w:r>
      <w:r>
        <w:rPr>
          <w:rFonts w:ascii="Times New Roman" w:cs="Times New Roman" w:eastAsia="Times New Roman" w:hAnsi="Times New Roman"/>
          <w:sz w:val="18"/>
          <w:szCs w:val="18"/>
          <w:color w:val="auto"/>
        </w:rPr>
        <w:t xml:space="preserve">”), a charitable organization or a trust or other entity formed for estate planning purposes for the benefit of an immediate family member, (B) by will, intestacy or by virtue of laws of descent and distribution upon the death of such individual, or (C) pursuant to a qualified domestic relations order, (ii) in the case of a corporation, limited liability company, partnership, trust or other entity, to any stockholder, member, partner or trust beneficiary as part of a distribution, or to any corporation, partnership or other entity that is an affiliate (as defined in Rule 405 of the Securities Act) of the Lock-up Holder, (iii) in the event of a liquidation, merger, stock or unit exchange or other similar transaction which results in all of the Lock-up Holders having the right to exchange their shares of Common Stock for cash, securities or other property, or (iv) to the Corporation in connection with the “net” or “cashless” exercise of options or other rights to purchase shares of Common Stock held by such Lock-up Holder in satisfaction of any tax withholding or exercise price obligations through cashless surrender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shares of Common Stock issued upon exercise of such option or other rights shall remain subject to the terms of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clauses (ii) and (iii), such transferees shall enter into a written agreement agreeing to be bound by the transfer restrictions set forth herein in form and substance reasonably satisfactory to the Corporation;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 respect to clauses (ii) and (iii), that any such transfer shall not involve a disposition for value.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other provisions set forth in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or any other provision contained herein, the Corporation may, with the prior written consent of the SPAC given prior to the closing of the Transactions, determine to waive, amend, or repeal the Lock-up obligations set forth in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whether in whole or in part.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right="40" w:firstLine="1304"/>
        <w:spacing w:after="0" w:line="282" w:lineRule="auto"/>
        <w:tabs>
          <w:tab w:leader="none" w:pos="19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Shares shall carry appropriate legends indicating the restrictions on Transfer imposed by this Section 4.6, including as required by Section 151(f) of the DGCL in respect to uncertificated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by statute, the Board of Directors is expressly authorized to adopt, amend or repeal the By-laws. In addition to any vote of the holders of any class or series of stock of the Corporation required by applicable law or by this Certificate of Incorporation (including any Preferred Stock Designation in respect of one or more series of Preferred Stock) or the By-laws, the adoption, amendment or repeal of the By-laws by the stockholders of the Corporation shall require the affirmative vote of the holders of at least two-thirds of the voting power of all of the then outstanding shares of capital stock of the Corporation entitled to vote generally in an election of directors, voting together as a single class.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Except as otherwise expressly provided by the DGCL or this Certificate of Incorporation, the business and affairs of the Corporation shall be managed by or under the direction of the Board of Directors.</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Ballot</w:t>
      </w:r>
      <w:r>
        <w:rPr>
          <w:rFonts w:ascii="Times New Roman" w:cs="Times New Roman" w:eastAsia="Times New Roman" w:hAnsi="Times New Roman"/>
          <w:sz w:val="18"/>
          <w:szCs w:val="18"/>
          <w:color w:val="auto"/>
        </w:rPr>
        <w:t>. Elections of directors (each such director, in such capacity, a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need not be by written ballot unless the By-laws shall so provide.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Number and Terms of the Board of Directors</w:t>
      </w:r>
      <w:r>
        <w:rPr>
          <w:rFonts w:ascii="Times New Roman" w:cs="Times New Roman" w:eastAsia="Times New Roman" w:hAnsi="Times New Roman"/>
          <w:sz w:val="18"/>
          <w:szCs w:val="18"/>
          <w:color w:val="auto"/>
        </w:rPr>
        <w:t>. Subject to the rights of the holders of any series of Preferred Stock to elect directors under specified circumstances, if any, the number of directors which shall constitute the whole Board of Directors shall not be less than seven (7). Within such limit, the number of members of the entire Board of Directors shall be fixed exclusively by one or more resolutions adopted from time to time by the Board of Directors in accordance with the By-laws.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Except as otherwise required by law and the separate rights of the holders of any series of Preferred Stock then outstanding, unless the Board of Directors otherwise determines, newly created directorships resulting from any increase in the authorized number of directors or any vacancies on the Board of Directors resulting from the death, resignation, disqualification, removal from office or other cause shall be filled exclusively by the affirmative vote of a majority of the Directors then in office, even though less than a quorum, or by a sole remaining Director, and not by the stockholders. Any Director so chosen shall hold office until the next election of the class for which such Director shall have been chosen and until his successor shall be elected and qualified or until such Director’s earlier death, resignation, retirement, disqualification, or removal.</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of the holders of any series of Preferred Stock then outstanding, for as long as this Certificate of Incorporation provides for a classified Board of Directors, any Director, or the entire Board of Directors, may otherwise be removed only for cause by an affirmative vote of at least two-thirds of the total voting power of all the outstanding shares of capital stock of the Corporation entitled to vote generally in the election of directors, voting together as a single class, at a meeting duly called for that purpose.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Classified Board</w:t>
      </w:r>
      <w:r>
        <w:rPr>
          <w:rFonts w:ascii="Times New Roman" w:cs="Times New Roman" w:eastAsia="Times New Roman" w:hAnsi="Times New Roman"/>
          <w:sz w:val="18"/>
          <w:szCs w:val="18"/>
          <w:color w:val="auto"/>
        </w:rPr>
        <w:t>. Subject to the rights of the holders of any series of Preferred Stock then outstanding, the Directors shall be divided into three classes, with each Director then in office to be designated as a Class I Director, a Class II Director or a Class III Director, with each class to be apportioned as nearly equal in number as practicable. Directors shall be assigned to each class in accordance with a resolution or resolutions adopted by the Board of Directors. The initial Class I Directors shall serve for a term expiring at the first annual meeting of stockholders of the Corporation following the effectiveness of this Article VI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the initial Class II Directors shall serve for a term expiring at the second annual meeting of stockholders following the Effective Time; and the initial Class III Directors shall serve for a term expiring at the third annual meeting of stockholders following the Effective Time. At each annual meeting of stockholders beginning with the first annual meeting of stockholders following the Effective Time, the successors of the class of Directors whose term expires at that meeting shall be elected to hold office for a term expiring at the third annual meeting of stockholders to be held following their election. Each Director in each such class shall hold office until such Director’s successor is duly elected and qualified, subject to such Director’s earlier death, resignation or removal in accordance with this Certificate of Incorporation. The Board of Directors is authorized to assign each Director already in office at the Effective Time, as well as each Director elected or appointed to a newly created directorship due to an increase in the size of the Board of Directors, to Class I, Class II or Class III. However, if the number of directors is changed, any increase or decrease shall be apportioned among the classes so as to maintain the number of directors in each class as nearly equal as possible. Any such additional director of any class elected or appointed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6.7 Notwithstanding any of the other provisions of this Article VI, whenever the holders of any one or more series of Preferred Stock issued by the Corporation shall have the right, voting separately by series, to elect Directors at an annual or special meeting of stockholders, the election, term of office, filling of vacancies and other features of such directorships shall be governed by the terms of the Preferred Stock Designation, and such Directors so elected shall not be divided into classes pursuant to this Article VI unless expressly provided by such terms. During any period when the holders of any series of Preferred Stock have the right to elect additional Directors as provided for or fixed pursuant to the provisions of this Article VI,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such provisions, and (ii) each such additional Director shall serve until such Director’s successor shall have been duly elected and qualified, or until such Director’s right to hold such office terminates pursuant to such provisions, whichever occurs earlier, subject to such Director’s earlier death, resignation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series of stock, the terms of office of all such additional directors elected by the holders of such stock, or elected to fill any vacancies resulting from the death, resignation or removal of such additional directors, shall forthwith terminate, and the total authorized number of Directors of the Corporation shall be reduced accordingly.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Any action required or permitted to be taken by the stockholders of the Corporation must be effected at a duly called annual or special meeting of the stockholders of the Corporation (and may not be taken by consent of the stockholders in lieu of a meeting). In addition to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Preferred Stock Designation relating to such series of Preferred Stock. To be valid, any such consent or consents shall: (i) be in writing; (ii) set forth the action to be taken; (iii) be signed by the holders of outstanding shares of the relevant series of Preferred Stock having not less than the minimum number of votes that would be necessary to authorize or take such action at a meeting at which all shares entitled to vote on the action were present and voted; and (iv) be delivered to the Corporation in accordance with the applicable provisions of the DGCL.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Subject to the special rights of the holders of one or more series of Preferred Stock, special meetings of the stockholders of the Corporation may be called, for any purpose or purposes, at any time only by or at the direction of the Board of Directors, the Chairperson of the Board of Directors, the Chief Executive Officer or President. Except as set forth in the preceding sentence, special meetings shall not be called by any other Person.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Advance notice of stockholder nominations for the election of directors and of other business proposed to be brought by stockholders before any meeting of the stockholders of the Corporation shall be given in the manner provided in the By-laws. Any business transacted at any special meeting of stockholders shall be limited to matters relating to the purpose or purposes identified in the notice of meeting (or any supplement to such notice of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 other provision of this Certificate of Incorporation, and in addition to any other vote that may be required by law, applicable stock exchange rule or the terms of any series of Preferred Stock, the affirmative vote of at least two-thirds of the outstanding shares entitled to vote generally in the election of directors, voting together as a single class, is required to amend, alter, change or repeal any provision contained in this Certificate of Incorporation. Notwithstanding the foregoing, the affirmative vote of at least a majority of the then outstanding shares entitled to vote generally in the election of directors, voting together as a single class, is required to amend, alter, change or repeal any provision contained in Articles I, Article II, and Article III of this Certificate of Incorporation.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amendment, repeal or modification of this Article IX, or the adoption of any provision of this Certificate of Incorporation inconsistent with this Article IX, shall not adversely affect any right or protection of a director or officer of the Corporation with respect to any act or omission occurring prior to such amendment, repeal, modification or adoption. If the DGCL is amended after approval by the stockholders of this Article IX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Unless a majority of the Board of Directors, acting on behalf of the Corporation consents in writing to the selection of an alternative forum: (a) the Court of Chancery (the “</w:t>
      </w:r>
      <w:r>
        <w:rPr>
          <w:rFonts w:ascii="Times New Roman" w:cs="Times New Roman" w:eastAsia="Times New Roman" w:hAnsi="Times New Roman"/>
          <w:sz w:val="18"/>
          <w:szCs w:val="18"/>
          <w:b w:val="1"/>
          <w:bCs w:val="1"/>
          <w:i w:val="1"/>
          <w:iCs w:val="1"/>
          <w:color w:val="auto"/>
        </w:rPr>
        <w:t>Chancery Court</w:t>
      </w:r>
      <w:r>
        <w:rPr>
          <w:rFonts w:ascii="Times New Roman" w:cs="Times New Roman" w:eastAsia="Times New Roman" w:hAnsi="Times New Roman"/>
          <w:sz w:val="18"/>
          <w:szCs w:val="18"/>
          <w:color w:val="auto"/>
        </w:rPr>
        <w:t>”)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bylaws of the Corporation or this Restated Certificate (as either may be amended from time to time) or (iv) any action, suit or proceeding asserting a claim against the Corporation governed by the internal affairs doctrine; and (b) subject to the preceding provisions of this Article XI, the federal district courts of the United States of America shall be the exclusive forum for the resolution of any complaint asserting a cause or causes of action arising under the Securities Act, including all causes of action asserted against any defendant to such complaint. If any action the subject matter of which is within the scope of clause (a) of the immediately preceding sentence is filed in a court other than the Chancery Court in the State of Delaware (a “</w:t>
      </w:r>
      <w:r>
        <w:rPr>
          <w:rFonts w:ascii="Times New Roman" w:cs="Times New Roman" w:eastAsia="Times New Roman" w:hAnsi="Times New Roman"/>
          <w:sz w:val="18"/>
          <w:szCs w:val="18"/>
          <w:b w:val="1"/>
          <w:bCs w:val="1"/>
          <w:i w:val="1"/>
          <w:iCs w:val="1"/>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Person purchasing or otherwise acquiring any interest in any security of the Corporation shall be deemed to have notice of and consented to this Article XI. This Article XI is intended to benefit and may be enforced by the Corporation, its officers and directors, the underwriters to any offering giving rise to such complaint, and any other professional or entity whose profession gives authority to a statement made by that Person and who has prepared or certified any part of the documents underlying the offering. Notwithstanding the foregoing, the provisions of this Article XI shall not apply to suits brought to enforce any liability or duty created by the Securities Act or Exchange Act, or any other claim for which the federal courts of the United States have exclusive jurisdiction.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each portion of any sentence of this Certificate of Incorporation containing any such provision held to be invalid, illegal or unenforceable that is not itself held to be invalid, illegal or unenforceable) shall not in any way be affected or impaired thereby and (ii) to the fullest extent possible and without limiting any other provisions of this Certificate of Incorporation (or any other provision of the By-laws or any agreement entered into by the Corporation), the provisions of this Certificate of Incorporation (including,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fullest extent permitted by law, each and every Person purchasing or otherwise acquiring any interest (of any nature whatsoever) in any shares of the capital stock of the Corporation shall be deemed, by reason of and from and after the time of such purchase or other acquisition, to have notice of and to have consented to all of the provisions of (a) this Certificate of Incorporation, (b) the By-laws and (c) any amendment to this Certificate of Incorporation or the By-laws enacted or adopted in accordance with this Certificate of Incorporation, the By-laws and applicable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13.1 In recognition and anticipation that (i) certain directors, managers, principals, officers, employees and/or other representatives of the Principal Stockholders and their Affiliates may serve as directors, officers or agents of the Corporation, (ii) the Principal Stockholders and their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members of the Board of Directors who are not employees of the Corporation or a majority owned subsidiary thereof (“</w:t>
      </w:r>
      <w:r>
        <w:rPr>
          <w:rFonts w:ascii="Times New Roman" w:cs="Times New Roman" w:eastAsia="Times New Roman" w:hAnsi="Times New Roman"/>
          <w:sz w:val="18"/>
          <w:szCs w:val="18"/>
          <w:b w:val="1"/>
          <w:bCs w:val="1"/>
          <w:i w:val="1"/>
          <w:iCs w:val="1"/>
          <w:color w:val="auto"/>
        </w:rPr>
        <w:t>Non-Employee Directors</w:t>
      </w:r>
      <w:r>
        <w:rPr>
          <w:rFonts w:ascii="Times New Roman" w:cs="Times New Roman" w:eastAsia="Times New Roman" w:hAnsi="Times New Roman"/>
          <w:sz w:val="18"/>
          <w:szCs w:val="18"/>
          <w:color w:val="auto"/>
        </w:rPr>
        <w:t>”) and their respective Affiliates may now engage and may continue to engage in the same or similar activities or related lines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as those in which the Corporation, directly or indirectly, may engage and/or other business activities that overlap with or compete with those in which the Corporation, directly or indirectly, may engage, the provisions of this Article XIII are set forth to regulate and define the conduct of certain affairs of the Corporation with respect to certain classes or categories of business opportunities as they may involve any of the Principal Stockholders, the Non-Employee Directors or their respective Affiliates and the powers, rights, duties and liabilities of the Corporation and its directors, officers and stockholders in connection therewith.</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13.2 To the fullest extent permitted by law, none of (i) the Principal Stockholders or any of their Affiliates or (ii) any Non-Employee Director (including any Non-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both"/>
        <w:spacing w:after="0" w:line="252" w:lineRule="auto"/>
        <w:rPr>
          <w:sz w:val="20"/>
          <w:szCs w:val="20"/>
          <w:color w:val="auto"/>
        </w:rPr>
      </w:pPr>
      <w:r>
        <w:rPr>
          <w:rFonts w:ascii="Times New Roman" w:cs="Times New Roman" w:eastAsia="Times New Roman" w:hAnsi="Times New Roman"/>
          <w:sz w:val="18"/>
          <w:szCs w:val="18"/>
          <w:color w:val="auto"/>
        </w:rPr>
        <w:t>Employee Director who serves as an officer of the Corporation in both such Director’s director and officer capacities) or such Director’s Affiliates (the Persons identified in (i) and (ii) above being referred to, collectively, as “</w:t>
      </w:r>
      <w:r>
        <w:rPr>
          <w:rFonts w:ascii="Times New Roman" w:cs="Times New Roman" w:eastAsia="Times New Roman" w:hAnsi="Times New Roman"/>
          <w:sz w:val="18"/>
          <w:szCs w:val="18"/>
          <w:b w:val="1"/>
          <w:bCs w:val="1"/>
          <w:i w:val="1"/>
          <w:iCs w:val="1"/>
          <w:color w:val="auto"/>
        </w:rPr>
        <w:t>Identified Persons</w:t>
      </w:r>
      <w:r>
        <w:rPr>
          <w:rFonts w:ascii="Times New Roman" w:cs="Times New Roman" w:eastAsia="Times New Roman" w:hAnsi="Times New Roman"/>
          <w:sz w:val="18"/>
          <w:szCs w:val="18"/>
          <w:color w:val="auto"/>
        </w:rPr>
        <w:t>” and, individually, as an “</w:t>
      </w:r>
      <w:r>
        <w:rPr>
          <w:rFonts w:ascii="Times New Roman" w:cs="Times New Roman" w:eastAsia="Times New Roman" w:hAnsi="Times New Roman"/>
          <w:sz w:val="18"/>
          <w:szCs w:val="18"/>
          <w:b w:val="1"/>
          <w:bCs w:val="1"/>
          <w:i w:val="1"/>
          <w:iCs w:val="1"/>
          <w:color w:val="auto"/>
        </w:rPr>
        <w:t>Identified Person</w:t>
      </w:r>
      <w:r>
        <w:rPr>
          <w:rFonts w:ascii="Times New Roman" w:cs="Times New Roman" w:eastAsia="Times New Roman" w:hAnsi="Times New Roman"/>
          <w:sz w:val="18"/>
          <w:szCs w:val="18"/>
          <w:color w:val="auto"/>
        </w:rPr>
        <w:t>”) shall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renounces any interest or expectancy in, or right to be offered an opportunity to participate in, any business opportunity which may be a corporate opportunity for an Identified Person and the Corporation or any of its Affiliates, except as provided in Section 13.3. Subject to Section 13.3 and to the fullest extent permitted by law, in the event that any Identified Person acquires knowledge of a potential transaction or other business opportunity which may be a corporate opportunity for itself, herself or himself and the Corporation or any of its Affiliates, such Identified Person shall have no duty to communicate or offer such transaction or other business opportunity to the Corporation or any of its Affiliates and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offers or directs such corporate opportunity to another Person, or does not communicate information regarding such corporate opportunity to the Corporation or any Affiliate of the Corporation.</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13.3 The Corporation does not renounce its interest in any corporate opportunity offered to any Non-Employee Director (including any Non-Employee Director who serves as an officer of the Corporation in both his or her director and officer capacities) if such opportunity is expressly offered to such Person solely in his or her capacity as a director or officer of the Corporation, and the provisions of Section 13.2 shall not apply to any such corporate opportunity.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13.4 In addition to and notwithstanding the foregoing provisions of this Article XIII, a corporate opportunity shall not be deemed to be a potential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13.5 Solely for purposes of this Article XIII,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in respect of any Principal Stockholder, any Person that, directly or indirectly, is controlled by such Principal Stockholder, controls such Principal Stockholder or is under common control with such Principal Stockholder. Affiliate shall include: (a) any principal, member, director, manager, partner, stockholder, officer, employee or other representative of any of the foregoing (other than the Corporation and any entity that is controlled by the Corporation); and (b) any funds or vehicles advised by Affiliates of such Principal Stockholder. Solely for purposes of this Article XIII, (x) in respect of a Non-Employee Director, the term “Affiliate” shall include any Person that, directly or indirectly, is controlled by such Non-Employee Director (other than the Corporation and any entity that is controlled by the Corporation); and (y) in respect of the Corporation, the term “Affiliate” shall include any Person that, directly or indirectly, is controlled by the Corporation.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13.6 To the fullest extent permitted by law, any Person purchasing or otherwise acquiring or holding any interest in any shares of capital stock of the Corporation shall be deemed to have notice of and to have consented to the provisions of this Article XIII.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9"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14.1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As used in this Certificate of Incorporation, the following terms shall have the following meaning:</w:t>
      </w:r>
    </w:p>
    <w:p>
      <w:pPr>
        <w:spacing w:after="0" w:line="221" w:lineRule="exact"/>
        <w:rPr>
          <w:sz w:val="20"/>
          <w:szCs w:val="20"/>
          <w:color w:val="auto"/>
        </w:rPr>
      </w:pPr>
    </w:p>
    <w:p>
      <w:pPr>
        <w:ind w:firstLine="1304"/>
        <w:spacing w:after="0" w:line="286" w:lineRule="auto"/>
        <w:tabs>
          <w:tab w:leader="none" w:pos="18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(other than for purposes of Article XIII) means a Person that directly, or indirectly through one or more intermediaries, controls, or is controlled by, or is under common control with, another Person, whether through one or more intermediaries or otherwise.</w:t>
      </w:r>
    </w:p>
    <w:p>
      <w:pPr>
        <w:spacing w:after="0" w:line="15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under common control with</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 A Person who is the owner of ten percent (10%) or more of the outstanding voting power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as an agent, bank, broker, nominee, custodian or trustee for one or more owners who do not individually or as a group have control of such entity.</w:t>
      </w:r>
    </w:p>
    <w:p>
      <w:pPr>
        <w:spacing w:after="0" w:line="182" w:lineRule="exact"/>
        <w:rPr>
          <w:rFonts w:ascii="Times New Roman" w:cs="Times New Roman" w:eastAsia="Times New Roman" w:hAnsi="Times New Roman"/>
          <w:sz w:val="18"/>
          <w:szCs w:val="18"/>
          <w:color w:val="auto"/>
        </w:rPr>
      </w:pPr>
    </w:p>
    <w:p>
      <w:pPr>
        <w:ind w:firstLine="1304"/>
        <w:spacing w:after="0" w:line="286" w:lineRule="auto"/>
        <w:tabs>
          <w:tab w:leader="none" w:pos="20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any applicable rules and regulations promulgated thereunder, and any successor to such statute, rules or regulations.</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8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when used with respect to any stock, means a Person that individually or with or through any of its Affiliates:</w:t>
      </w:r>
    </w:p>
    <w:p>
      <w:pPr>
        <w:spacing w:after="0" w:line="158"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such stock, directly or indirectly; or</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58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the right to acquire such stock (whether such right is exercisable immediately or only after the passage of time) pursuant to any agreement, arrangement or understanding, or upon the exercise of conversion rights, exchange rights, warrants or options, or otherwise. Notwithstanding the foregoing, a Person shall not be deemed the owner of stock tendered pursuant to a tender or exchange offer made by such Person or any of such Person’s Affiliates until such tendered stock is accepted for purchase or exchange; or (b) the right to vote such stock pursuant to any agreement, arrangement or understanding. Notwithstanding the foregoing,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5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agreement, arrangement or understanding, for the purpose of acquiring, holding, voting (except voting pursuant to a revocable proxy or consent as described in item (b) of subsection (ii) above), or disposing such stock, with any other Person that beneficially owns, or whose Affiliates beneficially own, directly or indirectly, such stock.</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2080" w:hanging="776"/>
        <w:spacing w:after="0"/>
        <w:tabs>
          <w:tab w:leader="none" w:pos="2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company, partnership, limited liability company, unincorporated association or</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entity or organization.</w:t>
      </w:r>
    </w:p>
    <w:p>
      <w:pPr>
        <w:spacing w:after="0" w:line="202" w:lineRule="exact"/>
        <w:rPr>
          <w:rFonts w:ascii="Times New Roman" w:cs="Times New Roman" w:eastAsia="Times New Roman" w:hAnsi="Times New Roman"/>
          <w:sz w:val="18"/>
          <w:szCs w:val="18"/>
          <w:color w:val="auto"/>
        </w:rPr>
      </w:pPr>
    </w:p>
    <w:p>
      <w:pPr>
        <w:ind w:firstLine="1304"/>
        <w:spacing w:after="0" w:line="286" w:lineRule="auto"/>
        <w:tabs>
          <w:tab w:leader="none" w:pos="21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Stockholder</w:t>
      </w:r>
      <w:r>
        <w:rPr>
          <w:rFonts w:ascii="Times New Roman" w:cs="Times New Roman" w:eastAsia="Times New Roman" w:hAnsi="Times New Roman"/>
          <w:sz w:val="18"/>
          <w:szCs w:val="18"/>
          <w:color w:val="auto"/>
        </w:rPr>
        <w:t>” means any stockholder who owns or has the right, directly or indirectly, through any contract, arrangement understanding relationship or otherwise, to vote 10% or more of the shares of capital stock of the Corporation.</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218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 and applicable rules and regulations promulgated thereunder, and any successor to such statute, rules or regulations.</w:t>
      </w:r>
    </w:p>
    <w:p>
      <w:pPr>
        <w:spacing w:after="0" w:line="154"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with respect to any corporation means, capital stock and, with respect to any other entity, any equity interest.</w:t>
      </w:r>
    </w:p>
    <w:p>
      <w:pPr>
        <w:spacing w:after="0" w:line="225" w:lineRule="exact"/>
        <w:rPr>
          <w:rFonts w:ascii="Times New Roman" w:cs="Times New Roman" w:eastAsia="Times New Roman" w:hAnsi="Times New Roman"/>
          <w:sz w:val="18"/>
          <w:szCs w:val="18"/>
          <w:color w:val="auto"/>
        </w:rPr>
      </w:pPr>
    </w:p>
    <w:p>
      <w:pPr>
        <w:jc w:val="both"/>
        <w:ind w:firstLine="1304"/>
        <w:spacing w:after="0" w:line="257" w:lineRule="auto"/>
        <w:tabs>
          <w:tab w:leader="none" w:pos="18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means the (i) sale or assignment of, offer to sell, contract or agreement to sell, gift,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the foregoing clause (i) or (ii).</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19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stock</w:t>
      </w:r>
      <w:r>
        <w:rPr>
          <w:rFonts w:ascii="Times New Roman" w:cs="Times New Roman" w:eastAsia="Times New Roman" w:hAnsi="Times New Roman"/>
          <w:sz w:val="18"/>
          <w:szCs w:val="18"/>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ind w:firstLine="972"/>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Amended and Restated Certificate of Incorporation to be signed by a duly authorized officer of the Corporation on this 2nd day of October, 2024.</w:t>
      </w:r>
    </w:p>
    <w:p>
      <w:pPr>
        <w:spacing w:after="0" w:line="16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26035</wp:posOffset>
            </wp:positionV>
            <wp:extent cx="213423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By: Robert Hutter</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Its: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Certificate of Incorporation of Innventure,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38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32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OFFICERS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1.01</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Registered Office</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1.02</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Offices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720" w:type="dxa"/>
            <w:vAlign w:val="bottom"/>
            <w:gridSpan w:val="2"/>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w:t>
            </w:r>
          </w:p>
        </w:tc>
        <w:tc>
          <w:tcPr>
            <w:tcW w:w="7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MEETINGS OF STOCKHOLDERS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2.01</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Place of Meetings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2.02</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Annual Meetings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2.03</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Special Meetings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2.04</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Notice of Meetings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2.05</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Adjournments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2.06</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Quorum</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2.07</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Organization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2.08</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Voting; Proxies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2.09</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Fixing Date for Determination of Stockholders of Record</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2.10</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2.11</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Inspectors of Election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2.12</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Conduct of Meetings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2.13</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Advance Notice Procedures for Business Brought before a Meeting</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2.14</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Advance Notice Procedures for Nominations of Directors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2.15</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Delivery to the Corporation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720" w:type="dxa"/>
            <w:vAlign w:val="bottom"/>
            <w:gridSpan w:val="2"/>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w:t>
            </w:r>
          </w:p>
        </w:tc>
        <w:tc>
          <w:tcPr>
            <w:tcW w:w="7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BOARD OF DIRECTORS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3.01</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Powers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3.02</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Number; Tenure; Qualifications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3.03</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3.04</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3.05</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Regular Meetings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3.06</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Special Meetings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3.07</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Place of Meetings; Telephonic Meetings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3.08</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Quorum; Vote Required for Action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3.09</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Organization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3.10</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Action by Unanimous Consent of Directors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3.11</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3.12</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Chairperson</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7060" w:type="dxa"/>
            <w:vAlign w:val="bottom"/>
            <w:gridSpan w:val="2"/>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w:t>
            </w:r>
          </w:p>
        </w:tc>
        <w:tc>
          <w:tcPr>
            <w:tcW w:w="7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COMMITTEES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4.01</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Committees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4.02</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Committee Minutes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4.03</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Committee Rules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7060" w:type="dxa"/>
            <w:vAlign w:val="bottom"/>
            <w:gridSpan w:val="2"/>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w:t>
            </w:r>
          </w:p>
        </w:tc>
        <w:tc>
          <w:tcPr>
            <w:tcW w:w="7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OFFICERS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5.01</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Officers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5.02</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Appointment of Officers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5.03</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Subordinate Officer</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5.04</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5.05</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Vacancies in Offices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5.06</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Representation of Shares of Other Entities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5.07</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5.08</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Compensation</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7060" w:type="dxa"/>
            <w:vAlign w:val="bottom"/>
            <w:gridSpan w:val="2"/>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w:t>
            </w:r>
          </w:p>
        </w:tc>
        <w:tc>
          <w:tcPr>
            <w:tcW w:w="7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RECORDS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6.01</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Records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7060" w:type="dxa"/>
            <w:vAlign w:val="bottom"/>
            <w:gridSpan w:val="2"/>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MATTERS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7.01</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7.02</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 Certificates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7.03</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Special Designation of Certificates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7.04</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Lost Certificates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7.05</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Shares Without Certificates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7.06</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Construction; Definitions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7.07</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Dividends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7.08</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Fiscal Year</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7.09</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Seal</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7.10</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Transfer of Stock</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7.11</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7.12</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Stockholders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7.13</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Waiver of Notice</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NOTICE</w:t>
            </w:r>
          </w:p>
        </w:tc>
        <w:tc>
          <w:tcPr>
            <w:tcW w:w="6380" w:type="dxa"/>
            <w:vAlign w:val="bottom"/>
            <w:shd w:val="clear" w:color="auto" w:fill="CCEEFF"/>
          </w:tcPr>
          <w:p>
            <w:pPr>
              <w:spacing w:after="0"/>
              <w:rPr>
                <w:sz w:val="18"/>
                <w:szCs w:val="18"/>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8.01</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of Notice; Notice by Electronic Transmission</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180" w:type="dxa"/>
            <w:vAlign w:val="bottom"/>
            <w:gridSpan w:val="2"/>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w:t>
            </w:r>
          </w:p>
        </w:tc>
        <w:tc>
          <w:tcPr>
            <w:tcW w:w="7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9.01</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9.02</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Indemnification of Others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9.03</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of Expenses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9.04</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Determination; Claim</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9.05</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Non-Exclusivity of Rights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9.06</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9.07</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Indemnification</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9.08</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Continuation of Indemnification</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9.09</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 or Repeal; Interpretation</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180" w:type="dxa"/>
            <w:vAlign w:val="bottom"/>
            <w:gridSpan w:val="2"/>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w:t>
            </w:r>
          </w:p>
        </w:tc>
        <w:tc>
          <w:tcPr>
            <w:tcW w:w="7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AMENDMENTS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180" w:type="dxa"/>
            <w:vAlign w:val="bottom"/>
            <w:gridSpan w:val="2"/>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w:t>
            </w:r>
          </w:p>
        </w:tc>
        <w:tc>
          <w:tcPr>
            <w:tcW w:w="7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OFFICERS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address of the registered office of Innventure Holdings, Inc., a Delaware corporation (the “Corporation”), in the State of Delaware, and the name of its registered agent at such address, shall be as set forth in the Corporation’s certificate of incorporation, as the same may be amended, restated or otherwise modified from time to time (the “Certificate of Incorporation”).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have additional offices at any place or places, within or outside the State of Delaware, as the Corporation’s board of directors (the “Board of Directors”) may from time to time establish or as the business of the Corporation may require.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Meetings of stockholders of the Corporation (the “Stockholders”), may be held at any place, within or without the State of Delaware, as may be designated by or in the manner determined by the Board of Directors. In the absence of such designation, meetings of Stockholders shall be held at the principal executive office of the Corporation. In its sole discretion, the Board of Directors may, determine that a meeting of Stockholders shall not be held at any place, but may instead be held solely by means of remote communication authorized by and in accordance with Section 211(a) of the General Corporation Law of the State of Delaware (the “DGCL”).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The annual meeting of Stockholders shall be held for the election of members of the Board of Directors (the “Directors”) at such date and time as may be designated by or in the manner determined by resolution of the Board of Directors from time to time. Any other business as may be properly brought before the annual meeting of Stockholders may be transacted at the annual meeting of Stockholders. The Board of Directors may postpone, reschedule or cancel any annual meeting of Stockholders previously scheduled by the Board of Directors.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Stockholders may be called only by such persons and only in such manner as set forth in the Certificate of Incorporation. Special meetings of Stockholders validly called in accordance with this Section 2.03 of these By-laws (as the same may be amended, restated or otherwise modified from time to time, these “By-laws”) may be held at such date and time as specified in the applicable notice of such meeting. No business may be transacted at any special meeting of Stockholders other than the business specified in the notice of such meeting. Except in the case of a special meeting of Stockholders called at the request of the Stockholders pursuant to the express terms of the Certificate of Incorporation, the Board of Directors may postpone, reschedule or cancel any previously scheduled special meeting of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Whenever Stockholders are required or permitted to take any action at a meeting of Stockholders, a notice of the meeting shall be given. The notice shall state: (i) the place, if any, date and hour of the meeting; (ii) the means of remote communications, if any, by which Stockholders and proxy holders may be deemed to be present in person and vote at such meeting; (iii) the record date for determining the Stockholders entitled to vote at the meeting (if such date is different from the record date for Stockholders entitled to notice of the meeting); and (iv) in the case of a special meeting of the Stockholders, the purpose or purposes for which the meeting is called. Unless otherwise required by applicable law, the Certificate of Incorporation or these By-laws, the notice of any meeting of Stockholders shall be given not less than ten nor more than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 In addition, if Stockholders have consented to receive notices by a form of electronic transmission, then such notice shall be deemed to be given when directed to an electronic mail address, respectively, at which the Stockholder has consented to receive notice. If such notice is transmitted by a posting on an electronic network together with separate notice to the Stockholder of such specific posting, such notice shall be deemed to be given upon the later of (i) such posting, and (ii) the giving of such separate notice. If such notice is transmitted by any other form of electronic transmission, such notice shall be deemed to be given when directed to the Stockholder. Notice shall be deemed to have been given to all Stockholders of record who share an address if notice is given in accordance with the “householding” rules set forth in the rules of the Securities and Exchange Commission under the Securities Exchange Act of 1934 (the “Exchange Act”) and Section 233 of the DGCL.</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Adjournments</w:t>
      </w:r>
      <w:r>
        <w:rPr>
          <w:rFonts w:ascii="Times New Roman" w:cs="Times New Roman" w:eastAsia="Times New Roman" w:hAnsi="Times New Roman"/>
          <w:sz w:val="18"/>
          <w:szCs w:val="18"/>
          <w:color w:val="auto"/>
        </w:rPr>
        <w:t>. Any meeting of Stockholders, annual or special, may be adjourned from time to time by the chairperson of the meeting (or by the Stockholders in accordance with Section 2.06) to reconvene at the same or some other place, if any, and the same or some other time. Notice need not be given to the Stockholders of any such adjourned meeting if the time and place, if any, of such meeting, and the means of remote communications, if any, by which Stockholders and proxy holders may be deemed to be present in person and vote at such adjourned meeting are announced at the meeting at which the adjournment is taken. At the adjourned meeting of Stockholders, the Corporation may transact any business that might have been transacted at the original meeting of Stockholders. If the adjournment is for more than 30 days, a notice of the adjourned meeting of Stockholders shall be given to each Stockholder of record entitled to vote at the adjourned meeting of Stockholders. If after the adjournment a new record date for determination of Stockholders entitled to vote is fixed for the adjourned meeting of Stockholders. The Board of Directors shall fix a new record date for determining Stockholders entitled to notice of such adjourned meeting of Stockholders in accordance with Section 2.09(a) of these By-laws, and shall give notice of the adjourned meeting of Stockholders to each Stockholder of record entitled to vote at such adjourned meeting of Stockholders as of the record date fixed for notice of such adjourned meeting of Stockholders. If mailed, such notice shall be deemed to be given when deposited in the United States mail, postage prepaid, directed to the Stockholder at such Stockholder’s address as it appears on the records of the Corporation.</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Stockholders, the holders of a majority of the voting power of the issued and outstanding shares of capital stock of the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both"/>
        <w:spacing w:after="0" w:line="257" w:lineRule="auto"/>
        <w:rPr>
          <w:sz w:val="20"/>
          <w:szCs w:val="20"/>
          <w:color w:val="auto"/>
        </w:rPr>
      </w:pPr>
      <w:r>
        <w:rPr>
          <w:rFonts w:ascii="Times New Roman" w:cs="Times New Roman" w:eastAsia="Times New Roman" w:hAnsi="Times New Roman"/>
          <w:sz w:val="18"/>
          <w:szCs w:val="18"/>
          <w:color w:val="auto"/>
        </w:rPr>
        <w:t>Corporation (“Stock”) entitled to vote at the meeting, present in person, or by remote communication, if applicable, or represented by proxy, shall constitute a quorum for all purposes, unless or except to the extent that the presence of a larger number may be required by applicable law, the rules of any stock exchange upon which the Corporation’s securities are listed, the Certificate of Incorporation or these By-laws. In the absence of a quorum, then either</w:t>
      </w:r>
    </w:p>
    <w:p>
      <w:pPr>
        <w:spacing w:after="0" w:line="1" w:lineRule="exact"/>
        <w:rPr>
          <w:sz w:val="20"/>
          <w:szCs w:val="20"/>
          <w:color w:val="auto"/>
        </w:rPr>
      </w:pPr>
    </w:p>
    <w:p>
      <w:pPr>
        <w:jc w:val="both"/>
        <w:ind w:firstLine="8"/>
        <w:spacing w:after="0" w:line="251" w:lineRule="auto"/>
        <w:tabs>
          <w:tab w:leader="none" w:pos="2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meeting or (ii) the Stockholders by the affirmative vote of a majority of the voting power of the outstanding shares of Stock entitled to vote thereon, present in person, or by remote communication, if applicable, or represented by proxy, shall have the power to recess or adjourn the meeting of Stockholders from time to time in the manner provided in Section 2.05 of these By-laws until a quorum is present or represented. At any such recessed or adjourned meeting at which a quorum is present or represented, any business may be transacted that might have been transacted at the meeting as originally noticed. Where a separate vote by a class or classes or series of Stock is required by applicable law or the Certificate of Incorporation, the holders of a majority of voting power of the shares of such class or classes or series of Stock issued and outstanding and entitled to vote on such matter, present in person, or by remote communication, if applicable, or represented by proxy, shall constitute a quorum entitled to take action with respect to the vote on such matter. A quorum, once established at a meeting, shall not be broken by the withdrawal of enough votes to leave less than a quorum.</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Meetings of Stockholders shall be presided over by the Chairperson or by such other officer of the Corporation or Director as designated by the Board of Directors or the Chairperson. In the absence of such person or designation, then the chairperson for the meeting shall be chosen by the affirmative vote of a majority of the voting power of the outstanding shares of Stock present or represented at the meeting and entitled to vote at the meeting (provided there is a quorum). The Secretary of the Corporation (“Secretary”) shall act as secretary of the meeting, but in such person’s absence, the chairperson of the meeting may appoint any person to act as secretary of the meeting.</w:t>
      </w:r>
    </w:p>
    <w:p>
      <w:pPr>
        <w:spacing w:after="0" w:line="18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7"/>
          <w:szCs w:val="17"/>
          <w:u w:val="single" w:color="auto"/>
          <w:color w:val="auto"/>
        </w:rPr>
        <w:t>Voting; Proxies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9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entitled to vote at any meeting of Stockholders shall be entitled to the number of votes, if any, for each share of Stock held of record by such Stockholder that has voting power upon the matter in question as set forth in the Certificate of Incorporation or, if such voting power is not set forth in the Certificate of Incorporation, one vote per share. Voting at meetings of Stockholders need not be by written ballot. Unless otherwise provided in the Certificate of Incorporation, at all meetings of Stockholders for the election of Directors at which a quorum is present, a plurality of the votes cast shall be sufficient to elect Directors. No holder of shares of Stock shall have the right to cumulate votes. All other elections and questions presented to the Stockholders at a meeting at which a quorum is present shall be decided by the affirmative vote of the holders of a majority of votes cast (excluding abstentions and broker non-votes) on such matter, unless a different or minimum vote is required by the Certificate of Incorporation, these By-laws, the rules or regulations of any stock exchange applicable to the Corporation, or applicable law or pursuant to any regulation applicable to the Corporation or its securities, in which case such different or minimum vote shall be the applicable vote on the matter.</w:t>
      </w:r>
    </w:p>
    <w:p>
      <w:pPr>
        <w:spacing w:after="0" w:line="188"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entitled to vote at a meeting of Stockholders or express consent to corporate action in writing without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(if permitted by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both"/>
        <w:spacing w:after="0" w:line="255" w:lineRule="auto"/>
        <w:rPr>
          <w:sz w:val="20"/>
          <w:szCs w:val="20"/>
          <w:color w:val="auto"/>
        </w:rPr>
      </w:pPr>
      <w:r>
        <w:rPr>
          <w:rFonts w:ascii="Times New Roman" w:cs="Times New Roman" w:eastAsia="Times New Roman" w:hAnsi="Times New Roman"/>
          <w:sz w:val="18"/>
          <w:szCs w:val="18"/>
          <w:color w:val="auto"/>
        </w:rPr>
        <w:t>Certificate of Incorporation) may authorize another person or persons to act for such Stockholder by proxy authorized by an instrument in writing or by a transmission permitted by law, including Rule 14a-19 promulgated under the Exchange Act, filed in accordance with the procedure established for the meeting. No such proxy shall be voted or acted upon after three years from its date, unless the proxy provides for a longer period. The revocability of a proxy that states on its face that it is irrevocable shall be governed by the provisions of Section 212 of the DGCL. A Stockholder may revoke any proxy that is not irrevocable by attending the meeting and voting in person (or by means of remote communication, if applicable) or by delivering to the Secretary a revocation of the proxy or a new proxy bearing a later date. A proxy may be in the form of an electronic transmission that sets forth or is submitted with information from which it can be determined that the transmission was authorized by the Stockholder.</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8"/>
          <w:szCs w:val="18"/>
          <w:u w:val="single" w:color="auto"/>
          <w:color w:val="auto"/>
        </w:rPr>
        <w:t>Fixing Date for Determination of Stockholders of Record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22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of such meeting, the Board of Directors may fix a record date, which record date shall not precede the date upon which the resolution fixing the record date is adopted by the Board of Directors. Unless otherwise required by applicable law, any such record date shall not be more than 60 nor less than ten days before the date of such meeting. If the Board of Directors so fixes a date, such date shall also be the record date for determining the Stockholders entitled to vote at such meeting. Notwithstanding the foregoing, at the time it fixes such record date, the Board of Directors may determine,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shall apply to any adjournment of the meeting. The Board of Directors may, however, fix a new record date for determination of Stockholders entitled to vote at the adjourned meeting. In such event the Board of Directors shall also fix as the record date for Stockholders entitled to notice of such adjourned meeting the same or an earlier date as that fixed for determination of Stockholders entitled to vote in accordance with the foregoing provisions of this Section 2.09(a) at the adjourned meeting.</w:t>
      </w:r>
    </w:p>
    <w:p>
      <w:pPr>
        <w:spacing w:after="0" w:line="189"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Any such record date shall not be more than 60 days prior to such action. If no such record date is fixed, the record date for determining Stockholders for any such purpose shall be at the close of business on the day on which the Board of Directors adopts the resolution relating to such record date.</w:t>
      </w:r>
    </w:p>
    <w:p>
      <w:pPr>
        <w:spacing w:after="0" w:line="187"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restricted by the Certificate of Incorporation,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by the Board of Directors. Any such record date shall not be more than ten days after the date upon which the resolution fixing the record date is adopted by the Board of Directors. If no record date for determining Stockholders entitled to consent to corporate action in writing without a meeting is fixed by the Board of Directors, (i) when no prior action of the Board of Directors is required by applicable law or the Certificate of Incorporation, the record date for such purpose shall be the first date on which a signed written consent setting forth the action taken or proposed to be taken is delivered to the Corporation in accordance with applicable law and (ii) if prior action by the Board of Directors is required by applicable law or the Certificate of Incorporation, the record date for such purpose shall be at the close of business on the day on which the Board of Directors adopts the resolution taking such prior action.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 At least ten days before every meeting of Stockholders, the Corporation shall prepare a complete list of the Stockholders entitled to vote at the meeting arranged in alphabetical order and showing the address of each Stockholder and the number of shares registered in the name of each Stockholder as of the record date (or such other date). In the event the record date for determining the Stockholders entitled to vote is less than ten days before the date of the meeting, the list referenced in the preceding sentence shall reflect the Stockholders entitled to vote as of the tenth day before the meeting date). The Corporation shall not be required to include electronic mail addresses or other electronic contact information on such list. Such list shall be open to the examination of any Stockholder, for any purpose germane to the meeting at least ten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Such list shall presumptively determine the identity of the Stockholders entitled to vote at the meeting and the number of shares held by each of them. Except as otherwise provided by law, the “stock ledger” shall be the only evidence as to the Stockholders entitled to examine the list of Stockholders required by this Section 2.10 or to vote in person or by proxy at any meeting of Stockholders. For purposes of these By-laws, the term “stock ledger” means one or more records administered by or on behalf of the Corporation in which the names of all of the Corporation’s Stockholders of record, the address and number of shares registered in the name of each such Stockholder and all issuances and transfers of Stock are recorded.</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 In advance of any meeting of Stockholders, the Corporation may, and shall if required by law, appoint one or more inspectors of election, who may be employees of the Corporation, to act at the meeting or any adjournment of such meeting and to make a written report of such meeting. The Corporation may designate one or more persons as alternate inspectors to replace any inspector who fails to act. In the event that no inspector so appointed or designated is able to act at a meeting of Stockholders, the person presiding at the meeting may, and to the extent required by law, shall appoint one or more inspectors to act at the meeting. Each inspector, before entering upon the discharge of his or her duties, shall take and sign an oath to execute faithfully the duties of inspector with strict impartiality and according to the best of such person’s ability. Any report or certificate made by the inspectors of election is prima facie evidence of the facts stated in any such report or certificate. The inspector or inspectors of election may appoint such persons to assist them in performing their duties as they determine.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both"/>
        <w:spacing w:after="0" w:line="254" w:lineRule="auto"/>
        <w:rPr>
          <w:sz w:val="20"/>
          <w:szCs w:val="20"/>
          <w:color w:val="auto"/>
        </w:rPr>
      </w:pPr>
      <w:r>
        <w:rPr>
          <w:rFonts w:ascii="Times New Roman" w:cs="Times New Roman" w:eastAsia="Times New Roman" w:hAnsi="Times New Roman"/>
          <w:sz w:val="18"/>
          <w:szCs w:val="18"/>
          <w:color w:val="auto"/>
        </w:rPr>
        <w:t>The inspector or inspectors so appointed or designated shall: (i) ascertain the number of shares of Stock outstanding and the voting power of each such share; (ii) determine the number of shares of Stock represented at the applicable meeting of the Stockholders and the validity of proxies and ballots; (iii) count and tabulate all votes and ballots; (iv) determine and retain for a reasonable period a record of the disposition of any challenges made to any determination by the inspectors; and (v) certify their determination of the number of shares of Stock represented at the meeting and such inspectors’ count of all votes and ballots. Any certification and report shall specify such other information as may be required by applicable law. In determining the validity and counting of proxies and ballots cast at any meeting of Stockholders, the inspectors may consider any information permitted by applicable law. No person who is a candidate for an office at an election may serve as an inspector at such election. The inspectors may appoint or retain other persons to assist them in the performance of their duties.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Conduct of Meetings</w:t>
      </w:r>
      <w:r>
        <w:rPr>
          <w:rFonts w:ascii="Times New Roman" w:cs="Times New Roman" w:eastAsia="Times New Roman" w:hAnsi="Times New Roman"/>
          <w:sz w:val="18"/>
          <w:szCs w:val="18"/>
          <w:color w:val="auto"/>
        </w:rPr>
        <w:t>. The date and time of the opening and the closing of the polls for each matter upon which the Stockholders will vote at a meeting of the Stockholders shall be announced at the meeting by the person presiding over the meeting designated in accordance with Section 2.07. After the polls close, no ballots, proxies or votes or any revocations or changes may be accepted. The Board of Directors may adopt by resolution such rules and regulations for the conduct of the meeting of Stockholders as it deems appropriate. Except to the extent inconsistent with any rules and regulations adopted by the Board of Directors, the person presiding over any meeting of Stockholders shall have the right and authority to: (i) convene and (for any or no reason) to recess and/or adjourn the meeting; and (ii)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of the meeting; and (v) limitations on the time allotted to questions or comments by participants. In addition to making any other determinations that may be appropriate to the conduct of the meeting, the presiding person at any meeting of Stockholders, shall, if the facts warrant, determine that a matter or business was not properly brought before the meeting. In the event of any such determination, the presiding person shall announce their determination to the meeting and any such matter or business not properly brought before the meeting shall not be transacted or considered. Unless and to the extent determined by the Board of Directors or the person presiding over the applicable meeting of Stockholders, meetings of Stockholders shall not be required to be held in accordance with the rules of parliamentary procedure.</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Advance Notice Procedures for Business Brought before a Meeting</w:t>
      </w:r>
      <w:r>
        <w:rPr>
          <w:rFonts w:ascii="Times New Roman" w:cs="Times New Roman" w:eastAsia="Times New Roman" w:hAnsi="Times New Roman"/>
          <w:sz w:val="18"/>
          <w:szCs w:val="18"/>
          <w:color w:val="auto"/>
        </w:rPr>
        <w:t>. This Section 2.13 shall apply to any business that may be brought before an annual meeting of Stockholders other than nominations for election to the Board of Directors at such a meeting, which shall be governed by Section 2.14. Stockholders seeking to nominate persons for election to the Board of Directors must comply with Section 2.14. This Section 2.13 shall not be applicable to nominations for election to the Board of Directors except as expressly provided in Section 2.14.</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both"/>
        <w:ind w:firstLine="1304"/>
        <w:spacing w:after="0" w:line="252" w:lineRule="auto"/>
        <w:tabs>
          <w:tab w:leader="none" w:pos="204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of the Stockholders, the only business that shall be conducted is such business that has been properly brought before the meeting. To be properly brought before an annual meeting of the Stockholders, business must be: (a) specified in a notice of meeting of the Stockholders (or any supplement or amendment thereto) given by or at the direction of the Board of Directors or a duly authorized committee of the Board; (b) if not specified in a notice of meeting of the Stockholders, otherwise brought before the meeting by the Board of Directors or the chairperson of the meeting; or (c) otherwise properly brought before the meeting by a Stockholder present in person, or by remote communication. To properly bring a matter for consideration at an annual meeting, a Stockholder must: (A) (i) be a Stockholder of record of the Corporation both at the time of giving the notice provided for in this Section 2.13 and at the time of the meeting; (ii) be entitled to vote at the meeting; and (iii) be in compliance with this Section 2.13 in all respects; or (B) have properly made such proposal in accordance with Rule 14a-8 under the Exchange Act, which proposal has been included in the proxy statement for such annual meeting of the Stockholders. The foregoing clause (c) shall be the exclusive means for a Stockholder to propose business to be brought before an annual meeting of the Stockholders. The only matters that may be brought before a special meeting of the Stockholders are the matters specified in the Corporation’s notice of meeting of the Stockholders given by or at the direction of the person calling the meeting pursuant to the Certificate of Incorporation and Section 2.03. For purposes of this Section 2.13 and Section 2.14, “present in person” shall mean that the Stockholder proposing that the business be brought before the annual meeting or special meeting of the Stockholders, as applicable. If the proposing Stockholder is not an individual, then a qualified representative of such proposing Stockholder may appear in person at such annual or special meeting of the Stockholders. For purposes of this Section 2.13, a “qualified representative” of such proposing Stockholder shall be, if such proposing Stockholder is (x) a general or limited partnership, any general partner or person who functions as a general partner of the general or limited partnership or who controls the general or limited partnership; (y) a corporation or a limited liability company, any officer or person who functions as an officer of the corporation or limited liability company or any officer, director, general partner or person who functions as an officer, director or general partner of any entity ultimately in control of the corporation or limited liability company; or (z) a trust, any trustee of such trust.</w:t>
      </w:r>
    </w:p>
    <w:p>
      <w:pPr>
        <w:spacing w:after="0" w:line="190"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8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properly bring a matter for consideration at an annual meeting of the Stockholders, a Stockholder must: (a) provide Timely Notice in writing and in proper form to the Secretary; and (b) provide any updates or supplements to such notice at the times and in the forms required by this Section 2.13. To be timely, a Stockholder’s notice must be delivered to, or mailed and received at, the principal executive offices of the Corporation not less than 90 days nor more than 120 days prior to the one-year anniversary of the immediately preceding year’s annual meeting. With respect to the first annual meeting of Stockholders following the Effective Time (as defined in the Certificate of Incorporation), the date for timely notice shall be February 7, 2025. In the event that the date of the annual meeting of the Stockholders is more than 30 days before or more than 60 days after such anniversary date, to be timely, notice by a Stockholder must be delivered, or mailed and received, not later than the later of (A) the 90th day prior to such annual meeting and</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29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10th day following the day on which public disclosure of the date of such annual meeting was first made (such notice within such time periods, “Timely Notice”). In no event shall any adjournment or postponement of an annual meeting or the announcement thereof commence a new time period for the giving of Timely Notice as described above.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1344" w:hanging="696"/>
        <w:spacing w:after="0"/>
        <w:tabs>
          <w:tab w:leader="none" w:pos="13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2.13, a Stockholder’s notice to the Secretary shall set forth:</w:t>
      </w:r>
    </w:p>
    <w:p>
      <w:pPr>
        <w:spacing w:after="0" w:line="225" w:lineRule="exact"/>
        <w:rPr>
          <w:rFonts w:ascii="Times New Roman" w:cs="Times New Roman" w:eastAsia="Times New Roman" w:hAnsi="Times New Roman"/>
          <w:sz w:val="18"/>
          <w:szCs w:val="18"/>
          <w:color w:val="auto"/>
        </w:rPr>
      </w:pPr>
    </w:p>
    <w:p>
      <w:pPr>
        <w:jc w:val="both"/>
        <w:ind w:left="4" w:firstLine="1292"/>
        <w:spacing w:after="0" w:line="256" w:lineRule="auto"/>
        <w:tabs>
          <w:tab w:leader="none" w:pos="2011"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 the name and address of such Proposing Person (including, if applicable, the name and address that appear on the Corporation’s books and records); and (B) the number of shares of each class or series of Stock of the Corporation that are, directly or indirectly, owned of record or beneficially owned (within the meaning of Rule 13d-3 under the Exchange Act) by such Proposing Person. A Proposing Person shall in all events be deemed to beneficially own any shares of any class or series of Stock of the Corporation as to which such Proposing Person has a right to acquire beneficial ownership at any time in the future (the disclosures to be made pursuant to the foregoing clauses (A) and (B) are referred to as “Stockholder Information”);</w:t>
      </w:r>
    </w:p>
    <w:p>
      <w:pPr>
        <w:spacing w:after="0" w:line="187" w:lineRule="exact"/>
        <w:rPr>
          <w:rFonts w:ascii="Times New Roman" w:cs="Times New Roman" w:eastAsia="Times New Roman" w:hAnsi="Times New Roman"/>
          <w:sz w:val="18"/>
          <w:szCs w:val="18"/>
          <w:color w:val="auto"/>
        </w:rPr>
      </w:pPr>
    </w:p>
    <w:p>
      <w:pPr>
        <w:jc w:val="both"/>
        <w:ind w:left="4" w:firstLine="1292"/>
        <w:spacing w:after="0" w:line="251" w:lineRule="auto"/>
        <w:tabs>
          <w:tab w:leader="none" w:pos="2163"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the full notional amount of any securities that, directly or indirectly, underlie any “derivative security” (as such term is defined in Rule 16a-1(c) under the Exchange Act) that constitutes a “call equivalent position” (as such term is defined in Rule 16a-1(b) under the Exchange Act) (“Synthetic Equity Position”) and that is, directly or indirectly, held or maintained by such Proposing Person with respect to any shares of any class or series of Stock of the Corporation.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For the avoidance of doubt,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The notice for each Proposing Person shall also set forth: (A) any rights to dividends on the shares of any class or series of Stock of the Corporation owned beneficially by such Proposing Person that are separated or separable from the underlying shares of the Corporation; (B) any material pending or threatened legal proceeding in which such Proposing Person is a party or material participant involving the Corporation or any of its officers or Directors, or any affiliate of the Corporation; (C) any other material relationship between such Proposing Person, on the one hand, and the Corporation or any affiliate of the Corporation, on the other hand,</w:t>
      </w:r>
    </w:p>
    <w:p>
      <w:pPr>
        <w:spacing w:after="0" w:line="10"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material interest in any material contract or agreement of such Proposing Person with the Corporation or any affiliate of the Corporation (including, in any such case, any employment agreement, collective bargaining agreement or consulting agreement); and (D) any other information relating to such Proposing Person that would be required to be disclosed in a proxy statement or other filing required to be made in connection with solicitations of proxies or</w:t>
      </w:r>
    </w:p>
    <w:p>
      <w:pPr>
        <w:spacing w:after="0" w:line="36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5" w:name="page46"/>
    <w:bookmarkEnd w:id="45"/>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consents by such Proposing Person in support of the business proposed to be brought before the applicable meeting of the Stockholders pursuant to Section 14(a) of the Exchange Act. The disclosures to be made pursuant to this Section 2.13(c)(ii) are referred to as “Disclosable Interests”);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83" w:lineRule="exact"/>
        <w:rPr>
          <w:sz w:val="20"/>
          <w:szCs w:val="20"/>
          <w:color w:val="auto"/>
        </w:rPr>
      </w:pPr>
    </w:p>
    <w:p>
      <w:pPr>
        <w:jc w:val="both"/>
        <w:ind w:left="660" w:firstLine="1292"/>
        <w:spacing w:after="0" w:line="253" w:lineRule="auto"/>
        <w:tabs>
          <w:tab w:leader="none" w:pos="273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item of business that the Stockholder proposes to bring before the annual meeting of the Stockholders: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the text of any proposed amendment to these By-laws);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The disclosures required by this Section 2.13(c)(iii) shall not include, however,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“Proposing Person” shall mean (a) the Stockholder providing the notice of business proposed to be brought before an annual meeting of the Stockholders, (b) the beneficial owner or beneficial owners, if different, on whose behalf the notice of the business proposed to be brought before the annual meeting of the Stockholders is made, and (c) any participant (as defined in paragraphs (a)(ii)-(vi) of Instruction 3 to Item 4 of Schedule 14A) with such Stockholder in such solicitation.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1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Proposing Person shall update and supplement its notice to the Corporation of its intent to propose business at an annual meeting of the Stockholders, if necessary, so that the information provided or required to be provided in such notice pursuant to this Section 2.13 shall be true and correct as of the record date for notice of the meeting and as of the date that is 10 business days prior to the meeting or any adjournment or postponement of the meeting. Any such update and supplement shall be delivered to, or mailed and received by, the Secretary at the principal executive offices of the Corporation not later than five business days after the record date for notice of the meeting. In the case of the update and supplement required to be made as of the record date), any update and supplement shall be delivered to, or mailed and received by, the Secretary at the principal executive offices of the Corporation not later than eight business days prior to the date for the meeting or, if practicable, any adjournment or postponement of the meeting. If delivery as set forth in the preceding sentence is not practicable, delivery shall be effected on the first practicable date prior to the date to which the meeting has been adjourned or postponed) (in the case of the update and supplement required to be made as of ten business days prior to the meeting or any adjournment or postponement thereof).</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both"/>
        <w:ind w:firstLine="1304"/>
        <w:spacing w:after="0" w:line="261" w:lineRule="auto"/>
        <w:tabs>
          <w:tab w:leader="none" w:pos="22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shall be conducted at an annual meeting of the Stockholders that is not properly brought before the meeting in accordance with this Section 2.13. If the facts warrant, the presiding officer of the meeting shall determine that the business was not properly brought before the meeting in accordance with this Section 2.13. The presiding person shall announce any such determination to the meeting and any such business not properly brought before the meeting shall not be transacted.</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8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2.13 with respect to any business proposed to be brought before an annual meeting of the Stockholders, each Proposing Person shall comply with all applicable requirements of the Exchange Act with respect to any such business. Nothing in this Section 2.13 shall be deemed to affect the rights of Stockholders to request inclusion of proposals in the Corporation’s proxy statement pursuant to Rule 14a-8 under the Exchange Act.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disclosure” means disclosure in a press release reported by a national news service or in a document publicly filed by the Corporation with the Securities and Exchange Commission pursuant to Sections 13, 14 or 15(d) of the Exchange Act.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8"/>
          <w:szCs w:val="18"/>
          <w:u w:val="single" w:color="auto"/>
          <w:color w:val="auto"/>
        </w:rPr>
        <w:t>Advance Notice Procedures for Nominations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90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any person for election to the Board of Directors at an annual meeting or at a special meeting of the Stockholders may be made at such meeting only: (a) by or at the direction of the Board of Directors, including by any committee or persons authorized to do so by the Board of Directors or these By-laws; or (b) by a Stockholder present in person (as defined in Section 2.13) (1) who was a Stockholder of record of the Corporation both at the time of giving the notice provided for in this Section 2.14 and at the time of the meeting, (2) is entitled to vote at the meeting and</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complied with this Section 2.14 as to such notice and nomination. Nominations of any person for election to the Board can only occur if the election of Directors is a matter specified in the notice of meeting given by or at the direction of the person calling such special meeting of the Stockholders. This Section 2.14 shall be the exclusive means for a Stockholder to make any nomination of a person or persons for election to the Board of Directors at any annual meeting or special meeting of the Stockholders.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jc w:val="both"/>
        <w:ind w:left="660" w:firstLine="1292"/>
        <w:spacing w:after="0" w:line="258" w:lineRule="auto"/>
        <w:tabs>
          <w:tab w:leader="none" w:pos="2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Stockholder to make any nomination of a person or persons for election to the Board of Directors at an annual meeting of the Stockholders, the Stockholder must (a) provide Timely Notice (as defined in Section 2.13(b)) in writing and in proper form to the Secretary at the principal executive offices of the Corporation; (b) provide the information, agreements and questionnaires with respect to such Stockholder and such Stockholder’s candidate for nomination as required by this Section 2.14; and (c) provide any updates or supplements to such notice at the times and in the forms required by this Section 2.14.</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both"/>
        <w:ind w:left="-460" w:firstLine="1292"/>
        <w:spacing w:after="0" w:line="254" w:lineRule="auto"/>
        <w:tabs>
          <w:tab w:leader="none" w:pos="165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election of Directors is a matter specified in the notice of meeting given by or at the direction of the person calling a special meeting of the Stockholders, then for a Stockholder to make any nomination of a person or persons for election to the Board of Directors at a special meeting of the Stockholders, the Stockholder must: (a) provide timely notice in writing and in proper form to the Secretary at the principal executive offices of the Corporation; (b) provide the information, agreements and questionnaires with respect to such Stockholder and its candidate for nomination required by this Section 2.14; and (c) provide any updates or supplements to such notice at the times and in the forms required by this Section 2.14. To be timely for purposes of this Section 2.14(b)(ii), a Stockholder’s notice for nominations to be made at a special meeting of the Stockholders must be delivered to, or mailed to and received by the Secretary not earlier than the 120th day prior to such special meeting and not later than the 90th day prior to such special meeting or, if later, the tenth day following the day on which public disclosure (as defined in Section 2.13(h)) of the date of such special meeting was first made.</w:t>
      </w:r>
    </w:p>
    <w:p>
      <w:pPr>
        <w:spacing w:after="0" w:line="188" w:lineRule="exact"/>
        <w:rPr>
          <w:rFonts w:ascii="Times New Roman" w:cs="Times New Roman" w:eastAsia="Times New Roman" w:hAnsi="Times New Roman"/>
          <w:sz w:val="18"/>
          <w:szCs w:val="18"/>
          <w:color w:val="auto"/>
        </w:rPr>
      </w:pPr>
    </w:p>
    <w:p>
      <w:pPr>
        <w:ind w:left="-460" w:right="20" w:firstLine="1292"/>
        <w:spacing w:after="0" w:line="282" w:lineRule="auto"/>
        <w:tabs>
          <w:tab w:leader="none" w:pos="141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or postponement of an annual meeting or special meeting of the Stockholders, or the announcement of such adjournment or postponement, commence a new time period for the giving of a Stockholder’s notice as described above.</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58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 Nominating Person provide notice under this Section 2.14 or otherwise with respect to a greater number of Director candidates than are subject to election by Stockholders at the applicable meeting. If, subsequent to such notice, the Corporation shall increase the number of Directors subject to election at the meeting, any notice as to any additional nominees shall be due on the later of: (i) the conclusion of the time period for Timely Notice (with respect to an annual meeting of the Stockholders); (ii) the date set forth in Section 2.14(b)(ii) (with respect to a special meeting); or (iii) the tenth day following the date of public disclosure (as defined in Section 2.13(h)) of such increase.</w:t>
      </w:r>
    </w:p>
    <w:p>
      <w:pPr>
        <w:spacing w:after="0" w:line="187"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2.14, a Stockholder’s notice to the Secretary shall set forth:</w:t>
      </w:r>
    </w:p>
    <w:p>
      <w:pPr>
        <w:spacing w:after="0" w:line="225" w:lineRule="exact"/>
        <w:rPr>
          <w:rFonts w:ascii="Times New Roman" w:cs="Times New Roman" w:eastAsia="Times New Roman" w:hAnsi="Times New Roman"/>
          <w:sz w:val="18"/>
          <w:szCs w:val="18"/>
          <w:color w:val="auto"/>
        </w:rPr>
      </w:pPr>
    </w:p>
    <w:p>
      <w:pPr>
        <w:ind w:left="-460" w:firstLine="1292"/>
        <w:spacing w:after="0" w:line="282" w:lineRule="auto"/>
        <w:tabs>
          <w:tab w:leader="none" w:pos="159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the Stockholder Information (as defined in Section 2.13(c)(i)) except that the term “Nominating Person” shall be substituted for the term “Proposing Person” in all places it appears in Section 2.13(c)(i);</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60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any Disclosable Interests (as defined in Section 2.13(c)(ii), except that the term “Nominating Person” shall be substituted for the term “Proposing Person” in all places it appears in Section 2.13(c)(ii) and the disclosure with respect to the business to be brought before the meeting of the Stockholders in Section 2.13(c)(iii) shall be made with respect to nomination of each person for election as a Director at such meeting); and</w:t>
      </w:r>
    </w:p>
    <w:p>
      <w:pPr>
        <w:spacing w:after="0" w:line="3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8" w:name="page49"/>
    <w:bookmarkEnd w:id="48"/>
    <w:p>
      <w:pPr>
        <w:jc w:val="both"/>
        <w:ind w:left="660" w:firstLine="1292"/>
        <w:spacing w:after="0" w:line="253" w:lineRule="auto"/>
        <w:tabs>
          <w:tab w:leader="none" w:pos="265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candidate whom a Nominating Person proposes to nominate for election as a Director, (A) all information with respect to such candidate for nomination that would be required to be set forth in a Stockholder’s notice pursuant to this Section 2.14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and to serving as a Director if elected); (C) a description of any direct or indirect material interest in any material contract or agreement between or among any Nominating Person, on the one hand, and each candidate for nomination or any other participants in such solicitation, on the other hand, including all information that would be required to be disclosed pursuant to Item 404 under Regulation S-K if such Nominating Person were the “registrant” for purposes of such rule and the candidate for nomination were a Director or executive officer of such registrant; and (D) a completed and signed questionnaire, representation and agreement as provided in Section 2.14(f).</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“Nominating Person” means (a) the Stockholder providing the notice of the nomination proposed to be made at the meeting of the Stockholders; (b) the beneficial owner or beneficial owners, if different, on whose behalf the notice of the nomination proposed to be made at the meeting is made; and (c) any other participant in such solicitation.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notice of any nomination proposed to be made at a meeting of the Stockholders shall further update and supplement such notice, if necessary, so that the information provided or required to be provided in such notice pursuant to this Section 2.14 shall be true and correct as of the record date for notice of the meeting and as of the date that is ten business days prior to the meeting or any adjournment or postponement of the meeting. Any such update and supplement shall be delivered to, or mailed and received by, the Secretary at the principal executive offices of the Corporation not later than five business days after the record date for notice of the meeting (in the case of the update and supplement required to be made as of such record date), and not later than eight business days prior to the date for the meeting or, if practicable, any adjournment or postponement of the meeting. In the event such delivery is not practicable, delivery shall be effected on the first practicable date prior to the date to which the meeting has been adjourned or postponed) (in the case of the update and supplement required to be made as of ten business days prior to the meeting or any adjournment or postponement thereof).</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candidate for election as a Director at an annual or special meeting of the Stockholders, a candidate must be nominated in the manner prescribed in this Section 2.14. Whether nominated by the Board of Directors or by a Stockholder of record, any candidate must have previously delivered (in accordance with the time period prescribed for delivery in a notice to such candidate given by or on behalf of the Board of Directors), to the Secretary at the principal executive offices of the Corporation: (a) a completed written questionnaire (in the form provided by the Corporation) with respect to the background, qualifications, stock ownership and independence of such candidate for nomination; and (b) a written representation and agreement (in the form provided by the Corporation) that such candidate for nomination (A) is not, and will not become a party to, any agreement, arrangement or understanding with any person or entity other than the Corporation with respect to any direct or indirect compensation or reimbursement for service as a</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18"/>
          <w:szCs w:val="18"/>
          <w:color w:val="auto"/>
        </w:rPr>
        <w:t>Director that has not been disclosed in such written questionnaire and (B) if elected as a Director, will comply with all applicable corporate governance, conflict of interest, confidentiality, stock ownership and trading and other policies and guidelines of the Corporation applicable to all Directors and in effect during such person’s term in office as a Director (and, if requested by any candidate for nomination, the Secretary shall provide to such candidate for nomination all such policies and guidelines then in effect).</w:t>
      </w:r>
    </w:p>
    <w:p>
      <w:pPr>
        <w:spacing w:after="0" w:line="180" w:lineRule="exact"/>
        <w:rPr>
          <w:sz w:val="20"/>
          <w:szCs w:val="20"/>
          <w:color w:val="auto"/>
        </w:rPr>
      </w:pPr>
    </w:p>
    <w:p>
      <w:pPr>
        <w:jc w:val="both"/>
        <w:ind w:firstLine="1304"/>
        <w:spacing w:after="0" w:line="261" w:lineRule="auto"/>
        <w:tabs>
          <w:tab w:leader="none" w:pos="186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in order for the Board of Directors to determine the eligibility of such candidate for nomination to be an independent Director in accordance with the Corporation’s Corporate Governance Guidelines.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0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2.14 with respect to any nomination proposed to be made at a meeting, each Proposing Person shall comply with all applicable requirements of the Exchange Act with respect to any such nominations.</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4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candidate shall be eligible for nomination as a Director unless such candidate for nomination and the Nominating Person seeking to place such candidate’s name in nomination has complied with this Section 2.14. If the facts warrant, the presiding officer at the meeting shall determine that a nomination was not properly made in accordance with this Section 2.14. In the event of any such determination, the presiding person shall announce their determination to the meeting and the defective nomination shall be disregarded. Any ballots cast for the candidate in question (but in the case of any form of ballot listing other qualified nominees, only the ballots case for the nominee in question) shall be void and of no force or effect.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11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these By-laws, no candidate for nomination shall be eligible to be seated as a Director unless nominated and elected in accordance with this Section 2.14.</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2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2.14, unless otherwise required by law, if any Nominating Person provides notice pursuant to Rule 14a-19(b) promulgated under the Exchange Act and subsequently fails to comply with the requirements of Rule 14a-19(a)</w:t>
      </w:r>
    </w:p>
    <w:p>
      <w:pPr>
        <w:jc w:val="both"/>
        <w:ind w:firstLine="8"/>
        <w:spacing w:after="0" w:line="253" w:lineRule="auto"/>
        <w:tabs>
          <w:tab w:leader="none" w:pos="2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Rule 14a-19(a)(3) promulgated under the Exchange Act, then the Corporation shall disregard any proxies or votes solicited for the Nominating Person’s nominee. Upon request by the Corporation, if any Nominating Person provides notice pursuant to Rule 14a-19(b) promulgated under the Exchange Act, such Nominating Person shall deliver to the Corporation, no later than five business days prior to the applicable meeting, reasonable evidence that it has met the requirements of Rule 14a-19(a)(3) promulgated under the Exchange Act.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Delivery to the Corporation</w:t>
      </w:r>
      <w:r>
        <w:rPr>
          <w:rFonts w:ascii="Times New Roman" w:cs="Times New Roman" w:eastAsia="Times New Roman" w:hAnsi="Times New Roman"/>
          <w:sz w:val="18"/>
          <w:szCs w:val="18"/>
          <w:color w:val="auto"/>
        </w:rPr>
        <w:t>. Whenever this Article II requires one or more persons (including a record or beneficial owner of Stock) to deliver a document or information to the Corporation or any officer, employee or agent of the Corporation, such document or information shall be in writing exclusively (and not in an electronic transmission) and shall be delivered exclusively by hand (including, without limitation, overnight courier service) or by certified or registered mail, return receipt requested. Without limiting the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generality of the foregoing, the requirements set forth in the preceding sentence shall apply to any notice, request, questionnaire, revocation, representation or other document or agreement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Except as otherwise provided by the Certificate of Incorporation or the DGCL, the business and affairs of the Corporation shall be managed by or under the direction of the Board of Directors.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Number; Tenure; Qualifications</w:t>
      </w:r>
      <w:r>
        <w:rPr>
          <w:rFonts w:ascii="Times New Roman" w:cs="Times New Roman" w:eastAsia="Times New Roman" w:hAnsi="Times New Roman"/>
          <w:sz w:val="18"/>
          <w:szCs w:val="18"/>
          <w:color w:val="auto"/>
        </w:rPr>
        <w:t>. Subject to the Certificate of Incorporation and the rights of holders of any series of preferred Stock to elect Directors, the total number of Directors constituting the entire Board of Directors shall be fixed from time to time exclusively by resolution of the Board of Directors, each of whom shall be a natural person. No reduction of the authorized number of directors shall have the effect of removing any director before that director’s term of office expires. The Directors shall be classified in the manner provided in the Certificate of Incorporation. Each Director shall hold office until such time as provided in the Certificate of Incorporation. Directors need not be Stockholders to be qualified for election or service as a Director.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Election, Qualification and Term of Office of Directors</w:t>
      </w:r>
      <w:r>
        <w:rPr>
          <w:rFonts w:ascii="Times New Roman" w:cs="Times New Roman" w:eastAsia="Times New Roman" w:hAnsi="Times New Roman"/>
          <w:sz w:val="18"/>
          <w:szCs w:val="18"/>
          <w:color w:val="auto"/>
        </w:rPr>
        <w:t>. Except as provided in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spacing w:after="0" w:line="18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u w:val="single" w:color="auto"/>
          <w:color w:val="auto"/>
        </w:rPr>
        <w:t>Resignation and Vacancies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21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Corporation. The resignation shall take effect at the time specified in such writing or electronic transmission or upon the happening of an event specified in such notice or electronic transmission,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appointment of the newly elected directors shall take effect upon the resignation or resignations of such resigning Directors and each Director so chosen shall hold office as provided in Section 3.03.</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of Directors may be held at such places, if any, within or without the State of Delaware. Such regular meetings shall be held at times designated by the Board of Directors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 of Directors.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by the Chairperson, the Chief Executive Officer, the President, the Secretary or a majority of the Directors then in office. Any such special meetings shall be held at such time, date and place, if any, within or without the State of Delaware as they shall fix. Notice to Directors of the date, place and time of any special meeting of the Board of Directors shall be given to each Director by the Secretary or by the officer or one of the Directors calling the meeting. Such notice may be given in person, by United States first-class mail, or by e-mail, telephone, telecopier, facsimile or other means of electronic transmission. If the notice is delivered in person, by e-mail, telephone, telecopier, facsimile or other means of electronic transmission, it shall be delivered or sent at least 24 hours before the time of holding of the meeting. If the notice is sent by mail, it shall be deposited in the United States mail at least four days before the time of the holding of the meeting. The notice need not specify the place of the meeting if the meeting is to be held at the Corporation’s principal executive office nor the purpose of the meeting.</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Place of Meetings; Telephonic Meetings</w:t>
      </w:r>
      <w:r>
        <w:rPr>
          <w:rFonts w:ascii="Times New Roman" w:cs="Times New Roman" w:eastAsia="Times New Roman" w:hAnsi="Times New Roman"/>
          <w:sz w:val="18"/>
          <w:szCs w:val="18"/>
          <w:color w:val="auto"/>
        </w:rPr>
        <w:t>. The Board of Directors may hold meetings, both regular and special, either within or outside the State of Delaware. Unless otherwise restricted by the Certificate of Incorporation or these By-laws, Directors may participate in any meetings of the Board of Directors or a committee thereof by means of conference telephone or other communications equipment by means of which all persons participating in the meeting can hear each other. Participation in a meeting of the Board of Directors pursuant to this Section 3.07 shall constitute presence in person at such meeting.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Quorum; Vote Required for Action</w:t>
      </w:r>
      <w:r>
        <w:rPr>
          <w:rFonts w:ascii="Times New Roman" w:cs="Times New Roman" w:eastAsia="Times New Roman" w:hAnsi="Times New Roman"/>
          <w:sz w:val="18"/>
          <w:szCs w:val="18"/>
          <w:color w:val="auto"/>
        </w:rPr>
        <w:t>. Unless otherwise provided by the Certificate of Incorporation, at all meetings of the Board of Directors a majority of the total number of Directors shall constitute a quorum for the transaction of business. Notwithstanding the foregoing and solely for the purposes of filling vacancies pursuant to Section 3.04, a meeting of the Board of Directors may be held if a majority of the Directors then in office participate in such meeting. The affirmative vote of a majority of the Directors present at any meeting of the Board of Directors at which a quorum is present shall be the act of the Board of Directors, except as may be otherwise specifically required by applicable law, the Certificate of Incorporation or these By-laws. If a quorum is not present at any meeting of the Board of Directors, then the Directors present at the meeting may adjourn the meeting from time to time, without notice other than announcement at the meeting, until a quorum is present.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Meetings of the Board of Directors shall be presided over by the Chairperson, or in such person’s absence by the person whom the Chairperson shall designate, or in the absence of the foregoing persons by a chairperson chosen at the meeting by the affirmative vote of a majority of the Directors present at the meeting. The Secretary shall act as secretary of the meeting, but in such person’s absence, the chairperson of the meeting may appoint any person to act as secretary of the meeting.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Action by Unanimous Consent of Directors</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of Directors, or of any committee thereof, may be taken without a meeting of the Board of Directors if all members of the Board of Directors or such committee consent in writing or by electronic transmission. Thereafter, the writing or writings or electronic transmissions shall be filed with the minutes of proceedings of the Board of Directors or such committee in accordance with applicable law. Such filing shall be in paper form if the minutes are maintained in paper form and shall be in electronic form if the minutes are maintained in electronic form. Such action by written consent or consent by electronic transmission shall have the same force and effect as a unanimous vote of the Board of Directors.</w:t>
      </w:r>
    </w:p>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Unless otherwise restricted by the Certificate of Incorporation or these By-laws, the Board of Directors shall have the authority to fix the compensation, including fees and reimbursements of expenses and equity compensation, of Directors for services to the Corporation in any capacity. No such payment shall preclude any Director from serving the Corporation in any other capacity and receiving compensation from the Corporation for such service. Any Director may decline any or all such compensation payable to such Director in such person’s discretion.</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Chairperson</w:t>
      </w:r>
      <w:r>
        <w:rPr>
          <w:rFonts w:ascii="Times New Roman" w:cs="Times New Roman" w:eastAsia="Times New Roman" w:hAnsi="Times New Roman"/>
          <w:sz w:val="18"/>
          <w:szCs w:val="18"/>
          <w:color w:val="auto"/>
        </w:rPr>
        <w:t>. The Board of Directors may appoint from its members a chairperson (the “Chairperson”). The Board of Directors may, in its sole discretion, from time to time appoint one or more vice chairpersons (each, a “Vice Chairperson”), each of whom in such capacity shall report directly to the Chairperson.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designate one or more committees, each committee to consist of one or more of the Directors. The Board of Directors may designate one or more Directors as alternate members of any committee, who may replace any absent or disqualified member at any meeting of such committee. In the absence or disqualification of a member of any committee, the member or members present at any meeting and not disqualified from voting, whether or not he, she or they constitute a quorum and may unanimously appoint another member of the Board of Directors to act at the meeting in place of any such absent or disqualified member. To the extent permitted by applicable law and to the extent provided in a resolution of the Board of Directors, any such committee may exercise all of the powers and authority of the Board of Directors in the management of the business and affairs of the Corporation, and may authorize the seal of the Corporation (if one is adopted) to be affixed to all papers that may require it. No such committee shall have the power or authority, however, to: (i) approve or adopt, or recommend to the Stockholders, any action or matter expressly required by the DGCL to be submitted to Stockholders for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18"/>
          <w:szCs w:val="18"/>
          <w:color w:val="auto"/>
        </w:rPr>
        <w:t>approval; or (ii) adopt, amend or repeal any bylaw of the Corporation. Except as otherwise provided in the Certificate of Incorporation, these By-laws, or the resolution of the Board of Directors designating the committee, a committee may create one (1) or more subcommittees, each subcommittee to consist of one or more members of the committee, and delegate to a subcommittee any or all of the powers and authority of the committee. Except as otherwise provided in the Certificate of Incorporation, these By-laws, or the resolution of the Board of Directors designating the committee (or resolution of the committee designating the subcommittee, if applicable), a majority of the Directors then serving on a committee or subcommittee shall constitute a quorum for the transaction of business. The vote of a majority of the members of the committee or subcommittee present at a meeting at which a quorum is present shall be the act of the committee or subcommittee. Meetings of any committee of the Board of Directors may be held at any time or place, if any, within or without the State of Delaware whenever called by the Chairperson or a majority of the members of such committee.</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Committee Minutes</w:t>
      </w:r>
      <w:r>
        <w:rPr>
          <w:rFonts w:ascii="Times New Roman" w:cs="Times New Roman" w:eastAsia="Times New Roman" w:hAnsi="Times New Roman"/>
          <w:sz w:val="18"/>
          <w:szCs w:val="18"/>
          <w:color w:val="auto"/>
        </w:rPr>
        <w:t>. Each committee of the Board of Directors shall keep regular minutes of its meetings and report the same to the Board of Directors when required.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Committee Rules</w:t>
      </w:r>
      <w:r>
        <w:rPr>
          <w:rFonts w:ascii="Times New Roman" w:cs="Times New Roman" w:eastAsia="Times New Roman" w:hAnsi="Times New Roman"/>
          <w:sz w:val="18"/>
          <w:szCs w:val="18"/>
          <w:color w:val="auto"/>
        </w:rPr>
        <w:t>. Unless the Board of Directors otherwise provides, each committee designated by the Board of Directors may make, alter and repeal rules for the conduct of its business. In the absence of such rules, each such committee shall conduct its business in the same manner as the Board of Directors conducts its business pursuant to Article III.</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officers of the Corporation shall include a Chief Executive Officer, a President and a Secretary. The Corporation may also have, at the discretion of the Board of Directors, a Chairperson, a Vice Chairperson, a Chief Financial Officer, a Treasurer, one or more Vice Presidents, one or more Assistant Vice Presidents, one or more Assistant Treasurers, one or more Assistant Secretaries, and any such other officers as may be appointed in accordance with the provisions of these By-laws. Each officer of the Corporation shall hold office for such term as may be prescribed by the Board of Directors and until such person’s successor is duly elected and qualified or until such person’s earlier death, resignation or removal. No officer need be a Stockholder or Director.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Appointment of Officers</w:t>
      </w:r>
      <w:r>
        <w:rPr>
          <w:rFonts w:ascii="Times New Roman" w:cs="Times New Roman" w:eastAsia="Times New Roman" w:hAnsi="Times New Roman"/>
          <w:sz w:val="18"/>
          <w:szCs w:val="18"/>
          <w:color w:val="auto"/>
        </w:rPr>
        <w:t>. The Board of Directors shall appoint the officers of the Corporation, except such officers as may be appointed in accordance with the provisions of Section 5.03.</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Subordinate Officer</w:t>
      </w:r>
      <w:r>
        <w:rPr>
          <w:rFonts w:ascii="Times New Roman" w:cs="Times New Roman" w:eastAsia="Times New Roman" w:hAnsi="Times New Roman"/>
          <w:sz w:val="18"/>
          <w:szCs w:val="18"/>
          <w:color w:val="auto"/>
        </w:rPr>
        <w:t>. The Board of Directors may appoint or empower the Chief Executive Officer of the Corporation or, in the absence of a Chief Executive Officer of the Corporation, the President of the Corporation, to appoint, such other officers and agents as the business of the Corporation may require. Each of such officers and agents shall hold office for such period, have such authority, and perform such duties as are provided in these By-laws or as the Board of Directors may determine from time to time.</w:t>
      </w:r>
    </w:p>
    <w:p>
      <w:pPr>
        <w:spacing w:after="0" w:line="35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Removal and Resignation of Officers</w:t>
      </w:r>
      <w:r>
        <w:rPr>
          <w:rFonts w:ascii="Times New Roman" w:cs="Times New Roman" w:eastAsia="Times New Roman" w:hAnsi="Times New Roman"/>
          <w:sz w:val="18"/>
          <w:szCs w:val="18"/>
          <w:color w:val="auto"/>
        </w:rPr>
        <w:t>. Subject to the rights, if any, of an officer under any contract of employment, any officer may be removed, either with or without cause, by the Board of Directors or, except in the case of an officer chosen by the Board of Directors, by any officer upon whom such power of removal may be conferred by the Board of Directors. 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resignation shall not be necessary to make it effective. If a resignation is made effective at a later date and the Corporation accepts the future effective date, the Board of Directors may fill the pending vacancy before the effective date if the Board of Directors provides that the successor shall not take office until the effective date. Any resignation is without prejudice to the rights, if any, of the Corporation under any contract to which the officer is a party.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Vacancies in Offices</w:t>
      </w:r>
      <w:r>
        <w:rPr>
          <w:rFonts w:ascii="Times New Roman" w:cs="Times New Roman" w:eastAsia="Times New Roman" w:hAnsi="Times New Roman"/>
          <w:sz w:val="18"/>
          <w:szCs w:val="18"/>
          <w:color w:val="auto"/>
        </w:rPr>
        <w:t>. Any vacancy occurring in any office of the Corporation shall be filled by the Board of Directors or as provided in Section 5.02.</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Representation of Shares of Other Entities</w:t>
      </w:r>
      <w:r>
        <w:rPr>
          <w:rFonts w:ascii="Times New Roman" w:cs="Times New Roman" w:eastAsia="Times New Roman" w:hAnsi="Times New Roman"/>
          <w:sz w:val="18"/>
          <w:szCs w:val="18"/>
          <w:color w:val="auto"/>
        </w:rPr>
        <w:t>. Unless otherwise directed by the Board of Directors, the Chairperson, the Chief Executive Officer, or the President of this Corporation, or any other person authorized by the Board of Directors,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by this Section 5.06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Authority and Duties of Officers</w:t>
      </w:r>
      <w:r>
        <w:rPr>
          <w:rFonts w:ascii="Times New Roman" w:cs="Times New Roman" w:eastAsia="Times New Roman" w:hAnsi="Times New Roman"/>
          <w:sz w:val="18"/>
          <w:szCs w:val="18"/>
          <w:color w:val="auto"/>
        </w:rPr>
        <w:t>. All officers of the Corporation shall respectively have such authority and perform such duties in the management of the business of the Corporation as may be provided in these By-laws or designated from time to time by the Board of Directors and, to the extent not so provided, as generally pertain to their respective offices, subject to the control of the Board of Directors.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compensation of the officers of the Corporation for their services as such shall be fixed from time to time by or at the direction of the Board of Directors. An officer of the Corporation shall not be prevented from receiving compensation by reason of the fact that such Officer is also a Director.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A stock ledger consisting of one or more records in which the names of all of the Stockholders of record, the address and number of shares registered in the name of each such Stockholder, and all issuances and transfers of Stock are recorded in accordance with Section 224 of the DGCL shall be administered by or on behalf of the Corporation. Any records administered by or on behalf of the Corporation in the regular course of its business, including its stock ledger, books of account, and minute books, may be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Execution of Corporate Contracts and Instruments</w:t>
      </w:r>
      <w:r>
        <w:rPr>
          <w:rFonts w:ascii="Times New Roman" w:cs="Times New Roman" w:eastAsia="Times New Roman" w:hAnsi="Times New Roman"/>
          <w:sz w:val="18"/>
          <w:szCs w:val="18"/>
          <w:color w:val="auto"/>
        </w:rPr>
        <w:t>. Except as otherwise provided in these By-laws, the Board of Directors may authorize any officer or officers, or agent or agents to enter into any contract or execute any instrument in the name of and on behalf of the Corporation; such authority may be general or confined to specific instances.</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7"/>
          <w:szCs w:val="17"/>
          <w:u w:val="single" w:color="auto"/>
          <w:color w:val="auto"/>
        </w:rPr>
        <w:t>Stock Certificates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20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shall be represented by certificates, provided that the Board of Directors by resolution may provide that some or all of the shares of any class or series of Stock shall be uncertificated. Any such resolution shall not apply to shares represented by a certificate previously issued until such certificate is surrendered to the Corporation. Certificates for the shares of Stock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Chief Executive Officer,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they were such officer, transfer agent or registrar at the date of issue.</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7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issue the whole or any part of its shares of Stock as partly paid and subject to call for the remainder of the consideration to be paid for such shares. Upon the face or back of each stock certificate issued to represent any such partly paid shares, or upon the books and records of the Corporation in the case of uncertificated partly paid shares, the total amount of the consideration to be paid and the amount paid shall be stated. Upon the declaration of any dividend on fully paid shares, the Corporation shall declare a dividend upon partly paid shares of the same class, but only upon the basis of the percentage of the consideration actually paid.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Special Designation of Certificates</w:t>
      </w:r>
      <w:r>
        <w:rPr>
          <w:rFonts w:ascii="Times New Roman" w:cs="Times New Roman" w:eastAsia="Times New Roman" w:hAnsi="Times New Roman"/>
          <w:sz w:val="18"/>
          <w:szCs w:val="18"/>
          <w:color w:val="auto"/>
        </w:rPr>
        <w:t>. If the Corporation is authorized to issue more than one class of Stock or more than one series of any class, then the powers, the designations, the preferences and the relative, participating, optional or other special rights of each class of Stock or series of Stock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Except as provided in this Section 7.04, no new certificates for shares of Stock shall be issued to replace a previously issued certificate unless the latter is surrendered to the Corporation and cancelled at the same time. The Corporation may issue a new certificate of Stock or uncertificated shares in place of any certificate theretofore issued by it, alleged to have been lost, stolen or destroyed.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Shares Without Certificates</w:t>
      </w:r>
      <w:r>
        <w:rPr>
          <w:rFonts w:ascii="Times New Roman" w:cs="Times New Roman" w:eastAsia="Times New Roman" w:hAnsi="Times New Roman"/>
          <w:sz w:val="18"/>
          <w:szCs w:val="18"/>
          <w:color w:val="auto"/>
        </w:rPr>
        <w:t>. 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Construction; Definitions</w:t>
      </w:r>
      <w:r>
        <w:rPr>
          <w:rFonts w:ascii="Times New Roman" w:cs="Times New Roman" w:eastAsia="Times New Roman" w:hAnsi="Times New Roman"/>
          <w:sz w:val="18"/>
          <w:szCs w:val="18"/>
          <w:color w:val="auto"/>
        </w:rPr>
        <w:t>. Unless the context requires otherwise, the general provisions, rules of construction and definitions in the DGCL shall govern the construction of these By-laws. Without limiting this provision, the singular number includes the plural and the plural number includes the singular.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any restrictions contained in either (i) the DGCL or (ii) the Certificate of Incorporation, the Board of Directors may declare and pay dividends upon the shares of its Stock. Dividends may be paid in cash, in property or in shares of Stock. 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fixed by resolution of the Board of Directors and may be changed by the Board of Directors.</w:t>
      </w:r>
    </w:p>
    <w:p>
      <w:pPr>
        <w:spacing w:after="0" w:line="16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7.09</w:t>
      </w:r>
      <w:r>
        <w:rPr>
          <w:sz w:val="20"/>
          <w:szCs w:val="20"/>
          <w:color w:val="auto"/>
        </w:rPr>
        <w:tab/>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Corporation may adopt a corporate seal, which shall be adopted and which may be altered by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may use the corporate seal by causing it or a facsimile of such seal to be impressed or affixed or in any other manner reproduced.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Transfer of Stock</w:t>
      </w:r>
      <w:r>
        <w:rPr>
          <w:rFonts w:ascii="Times New Roman" w:cs="Times New Roman" w:eastAsia="Times New Roman" w:hAnsi="Times New Roman"/>
          <w:sz w:val="18"/>
          <w:szCs w:val="18"/>
          <w:color w:val="auto"/>
        </w:rPr>
        <w:t>. Shares of Stock shall be transferable in the manner prescribed by law and in these By-laws. Shares of Stock shall be transferred on the books of the Corporation only by the holder of record or by such holder’s attorney duly authorized in writing, upon surrender to the Corporation of the certificate or certificates representing such shares endorsed by the appropriate person or persons (or by delivery of duly executed instructions with respect to uncertificated shares). Any transfer of Shares shall be accompanied by such evidence of the authenticity of such endorsement or execution, transfer, authorization and other matters as the Corporation may reasonably require, along with all necessary stock transfer stamps. No transfer of Stock shall be valid as against the Corporation for any purpose until it shall have been entered in the stock records of the Corporation by an entry showing the names of the persons from and to whom it was transferred. Notwithstanding anything to the contrary in these By-laws, at all times that the Corporation’s stock is listed on a stock exchange, the Shares of Stock of the Corporation shall comply with all direct registration system eligibility requirements established by such exchange, including any requirement that shares of the Corporation’s stock be eligible for issue in uncertificated or book-entry form. All issuances and transfers of Shares of Stock shall be entered on the books of the Corporation with all information necessary to comply with such direct registration system eligibility requirements, including the name and address of the person to whom the Shares of Stock are issued, the number of Shares of Stock issued and the date of issue. The Board of Directors shall have the power and authority to make such rules and regulations as it may deem necessary or proper concerning the issue, transfer and registration of Shares of Stock of the Corporation in both the certificated and uncertificated form.</w:t>
      </w:r>
    </w:p>
    <w:p>
      <w:pPr>
        <w:spacing w:after="0" w:line="19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Stock Transfer Agreements</w:t>
      </w:r>
      <w:r>
        <w:rPr>
          <w:rFonts w:ascii="Times New Roman" w:cs="Times New Roman" w:eastAsia="Times New Roman" w:hAnsi="Times New Roman"/>
          <w:sz w:val="18"/>
          <w:szCs w:val="18"/>
          <w:color w:val="auto"/>
        </w:rPr>
        <w:t>. The Corporation shall have power to enter into and perform any agreement with any number of Stockholders of any one or more classes or series of Stock to restrict the transfer of shares of Stock of any one or more classes owned by such Stockholders in any manner not prohibited by the DGCL.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 The Corporation shall: (i) be entitled to recognize the exclusive right of a person registered on its books as the owner of shares of Stock to receive dividends and to vote as such owner; and (ii) not be bound to recognize any equitable or other claim to or interest in such share or shares of Stock on the part of another person, whether or not it shall have express or other notice of such claim to or interest in such share or shares of Stock, except as otherwise provided by the laws of the State of Delaware.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8"/>
          <w:szCs w:val="18"/>
          <w:u w:val="single" w:color="auto"/>
          <w:color w:val="auto"/>
        </w:rPr>
        <w:t>Delivery of Notice; Notice by Electronic Transmission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20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All such notices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5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Section 8.01(a) without obtaining the consent required by this Section 8.01(b).</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pursuant to Section 8.01(b) shall be deemed given: (i) if by facsimile telecommunication, when directed to a number at which the Stockholder has consented to receive notice; (ii) if by a posting on an electronic network together with separate notice to the Stockholder of such specific posting, upon the later of (A) such posting and (B) the giving of such separate notice; and (iii) if by any other form of electronic transmission, when directed to the Stockholder. 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The inadvertent failure to discover such inability shall not invalidate any meeting or other action. An affidavit of the Secretary or an Assistant Secretary or of the transfer agent or other agent of the Corporation that the notice has been given shall, in the absence of fraud, be prima facie evidence of the facts stated therein.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 To the fullest extent permitted by the DGCL as it presently exists or may hereafter be amended, the Corporation shall indemnify and hold harmless, any Director or officer of the Corporation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(a “covered person”),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or suffered by such person in connection with any such Proceeding. Notwithstanding the preceding sentence, except as otherwise provided in Section 9.04, the Corporation shall be required to indemnify a person in connection with a Proceeding initiated by such person only if the Proceeding was authorized in the specific case by the Board of Directors.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Indemnification of Others</w:t>
      </w:r>
      <w:r>
        <w:rPr>
          <w:rFonts w:ascii="Times New Roman" w:cs="Times New Roman" w:eastAsia="Times New Roman" w:hAnsi="Times New Roman"/>
          <w:sz w:val="18"/>
          <w:szCs w:val="18"/>
          <w:color w:val="auto"/>
        </w:rPr>
        <w:t>. To the fullest extent permitted by applicable law as it presently exists or may hereafter be amended ,the Corporation shall have the power to indemnify and hold harmless,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Prepayment of Expenses</w:t>
      </w:r>
      <w:r>
        <w:rPr>
          <w:rFonts w:ascii="Times New Roman" w:cs="Times New Roman" w:eastAsia="Times New Roman" w:hAnsi="Times New Roman"/>
          <w:sz w:val="18"/>
          <w:szCs w:val="18"/>
          <w:color w:val="auto"/>
        </w:rPr>
        <w:t>. To the fullest extent not prohibited by applicable law the Corporation shall pay the expenses (including attorneys’ fees) incurred by any covered person, and may pay the expenses incurred by any employee or agent of the Corporation, in defending any Proceeding in advance of its final disposition; provided, however, that, to the extent required by law,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Determination; Claim</w:t>
      </w:r>
      <w:r>
        <w:rPr>
          <w:rFonts w:ascii="Times New Roman" w:cs="Times New Roman" w:eastAsia="Times New Roman" w:hAnsi="Times New Roman"/>
          <w:sz w:val="18"/>
          <w:szCs w:val="18"/>
          <w:color w:val="auto"/>
        </w:rPr>
        <w:t>. If a claim for indemnification (following the final disposition of such Proceeding) under this Article IX is not paid in full within 60 days, or a claim for advancement of expenses under this Article IX is not paid in full within 30 days, after a written claim has been received by the Corporation the claimant may thereafter (but not before) file suit to recover the unpaid amount of such claim. If successful in whole or in part, the claimant shall be entitled to be paid the expense of prosecuting such claim to the fullest extent permitted by law, including reasonable attorneys’ fees. It shall be a defense to any such action (other than an action brought to enforce a claim for expenses incurred in defending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both"/>
        <w:spacing w:after="0" w:line="255" w:lineRule="auto"/>
        <w:rPr>
          <w:sz w:val="20"/>
          <w:szCs w:val="20"/>
          <w:color w:val="auto"/>
        </w:rPr>
      </w:pPr>
      <w:r>
        <w:rPr>
          <w:rFonts w:ascii="Times New Roman" w:cs="Times New Roman" w:eastAsia="Times New Roman" w:hAnsi="Times New Roman"/>
          <w:sz w:val="18"/>
          <w:szCs w:val="18"/>
          <w:color w:val="auto"/>
        </w:rPr>
        <w:t>any proceeding in advance of its final disposition where the required undertaking, if any, has been tendered to the Corporation) that the claimant has not met the standards of conduct that make it permissible under the DGCL for the Corporation to indemnify the claimant for the amount claimed. The burden of proof in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such claimant has met the applicable standard of conduct set forth in the DGCL,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conferred on any person by this Article IX shall not be exclusive of any other rights that such person may have or hereafter acquire under any statute, provision of the Certificate of Incorporation, these By-laws, agreement, vote of Stockholders or disinterested Directors or otherwise.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a Director, officer, employee, fiduciary or agent of the Corporation, or is or was serving at the request of the Corporation as a director, officer, employee, fiduciary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Continuation of Indemnification</w:t>
      </w:r>
      <w:r>
        <w:rPr>
          <w:rFonts w:ascii="Times New Roman" w:cs="Times New Roman" w:eastAsia="Times New Roman" w:hAnsi="Times New Roman"/>
          <w:sz w:val="18"/>
          <w:szCs w:val="18"/>
          <w:color w:val="auto"/>
        </w:rPr>
        <w:t>. 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distributes of such person.</w:t>
      </w:r>
    </w:p>
    <w:p>
      <w:pPr>
        <w:spacing w:after="0" w:line="17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9.09</w:t>
      </w:r>
      <w:r>
        <w:rPr>
          <w:sz w:val="20"/>
          <w:szCs w:val="20"/>
          <w:color w:val="auto"/>
        </w:rPr>
        <w:tab/>
      </w:r>
      <w:r>
        <w:rPr>
          <w:rFonts w:ascii="Times New Roman" w:cs="Times New Roman" w:eastAsia="Times New Roman" w:hAnsi="Times New Roman"/>
          <w:sz w:val="18"/>
          <w:szCs w:val="18"/>
          <w:u w:val="single" w:color="auto"/>
          <w:color w:val="auto"/>
        </w:rPr>
        <w:t>Amendment or Repeal;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20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Pursuant to this Article IX, the Corporation intends to be legally bound to each such current or former Director or officer of the Corporation. With respect to current and former Directors and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both"/>
        <w:spacing w:after="0" w:line="255" w:lineRule="auto"/>
        <w:rPr>
          <w:sz w:val="20"/>
          <w:szCs w:val="20"/>
          <w:color w:val="auto"/>
        </w:rPr>
      </w:pPr>
      <w:r>
        <w:rPr>
          <w:rFonts w:ascii="Times New Roman" w:cs="Times New Roman" w:eastAsia="Times New Roman" w:hAnsi="Times New Roman"/>
          <w:sz w:val="18"/>
          <w:szCs w:val="18"/>
          <w:color w:val="auto"/>
        </w:rPr>
        <w:t>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89" w:lineRule="exact"/>
        <w:rPr>
          <w:sz w:val="20"/>
          <w:szCs w:val="20"/>
          <w:color w:val="auto"/>
        </w:rPr>
      </w:pPr>
    </w:p>
    <w:p>
      <w:pPr>
        <w:jc w:val="both"/>
        <w:ind w:firstLine="1304"/>
        <w:spacing w:after="0" w:line="253" w:lineRule="auto"/>
        <w:tabs>
          <w:tab w:leader="none" w:pos="20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 officer of the Corporation in this Article IX shall be deemed to refer exclusively to the Chief Executive Officer, President, and Secretary, or other officer of the Corporation appointed by (x) the Board of Directors pursuant to Article V or (y) an officer to whom the Board of Directors has delegated the power to appoint officers pursuant to Article V,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The Board of Directors is expressly empowered to adopt, amend or repeal these By-laws</w:t>
      </w:r>
      <w:r>
        <w:rPr>
          <w:rFonts w:ascii="Times New Roman" w:cs="Times New Roman" w:eastAsia="Times New Roman" w:hAnsi="Times New Roman"/>
          <w:sz w:val="18"/>
          <w:szCs w:val="18"/>
          <w:color w:val="auto"/>
        </w:rPr>
        <w:t>. The Stockholders also shall have power to adopt, amend or repeal these By-laws. Notwithstanding the foregoing, such action by Stockholders shall require, in addition to any other vote required by the Certificate of Incorporation or applicable law, the affirmative vote of the holders of at least two-thirds of the voting power of all the then outstanding shares of voting Stock of the Corporation with the power to vote generally in an election of Directors, voting together as a single class.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11.01 As used in these By-laws, unless the context otherwise requires, the following terms shall have the following meanings: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of such record, and that may be directly reproduced in paper form by such a recipient through an automated process.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“electronic mail” means an electronic transmission directed to a unique electronic mail address (which electronic mail shall be deemed to include any files attached to such electronic mail and any information hyperlinked to a website if such electronic mail includes the contact information of an officer or agent of the Corporation who is available to assist with accessing such files and information).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“electronic mail address”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 “person”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3.3</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B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 IN THE OFFICE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DELAWARE SECRETARY OF STATE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OCTOBER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firstLine="810"/>
        <w:spacing w:after="0" w:line="282" w:lineRule="auto"/>
        <w:rPr>
          <w:sz w:val="20"/>
          <w:szCs w:val="20"/>
          <w:color w:val="auto"/>
        </w:rPr>
      </w:pPr>
      <w:r>
        <w:rPr>
          <w:rFonts w:ascii="Times New Roman" w:cs="Times New Roman" w:eastAsia="Times New Roman" w:hAnsi="Times New Roman"/>
          <w:sz w:val="18"/>
          <w:szCs w:val="18"/>
          <w:color w:val="auto"/>
        </w:rPr>
        <w:t>Pursuant to Section 151 of the General Corporation Law of the State of Delaware, Innventure, Inc., a corporation duly organized and validly existing under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does hereby submit the following:</w:t>
      </w:r>
    </w:p>
    <w:p>
      <w:pPr>
        <w:spacing w:after="0" w:line="148" w:lineRule="exact"/>
        <w:rPr>
          <w:sz w:val="20"/>
          <w:szCs w:val="20"/>
          <w:color w:val="auto"/>
        </w:rPr>
      </w:pPr>
    </w:p>
    <w:p>
      <w:pPr>
        <w:jc w:val="both"/>
        <w:ind w:firstLine="810"/>
        <w:spacing w:after="0" w:line="258" w:lineRule="auto"/>
        <w:rPr>
          <w:sz w:val="20"/>
          <w:szCs w:val="20"/>
          <w:color w:val="auto"/>
        </w:rPr>
      </w:pPr>
      <w:r>
        <w:rPr>
          <w:rFonts w:ascii="Times New Roman" w:cs="Times New Roman" w:eastAsia="Times New Roman" w:hAnsi="Times New Roman"/>
          <w:sz w:val="18"/>
          <w:szCs w:val="18"/>
          <w:color w:val="auto"/>
        </w:rPr>
        <w:t>WHEREAS, the Amended and Restated Certificate of Incorporation of the Company (as amended, restated, supplemented or otherwise modified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authorizes the issuance of up to 25,000,000 shares of Preferred Stock, with a par value of $0.0001 per share, of the Company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in one or more series; and expressly authorizes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Directors</w:t>
      </w:r>
      <w:r>
        <w:rPr>
          <w:rFonts w:ascii="Times New Roman" w:cs="Times New Roman" w:eastAsia="Times New Roman" w:hAnsi="Times New Roman"/>
          <w:sz w:val="18"/>
          <w:szCs w:val="18"/>
          <w:color w:val="auto"/>
        </w:rPr>
        <w:t>”) to cause the issuance of the shares of Preferred Stock in such series and to fix from time to time before issuance the number of shares to be included in any such series and the designation, powers, preferences and other rights, if any, and the qualifications, limitations or restrictions thereof; and</w:t>
      </w:r>
    </w:p>
    <w:p>
      <w:pPr>
        <w:spacing w:after="0" w:line="170"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WHEREAS, on October 2, 2024, the Board of Directors approved and adopted the following certificate of designation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for purposes of issuing shares of Preferred Stock designated as a series known as “Series B Preferred Stock”, with each such share having the designations, powers, preferences and relative, participating, optional or other rights, and the qualifications, limitations and restrictions, as set forth in this Certificate.</w:t>
      </w:r>
    </w:p>
    <w:p>
      <w:pPr>
        <w:spacing w:after="0" w:line="162"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NOW THEREFORE, BE IT RESOLVED, that, pursuant to authority conferred upon the Board of Directors by the Certificate of Incorporation, the Board of Directors hereby provides out of the unissued shares of the Preferred Stock a series of Preferred Stock designated as “Series B Preferred Stock” and authorizes for issuance 3,000,000 shares of the Series B Preferred Stock (as defined below), and hereby fixes the designations, powers, preferences and other rights, and the qualifications, limitations and restrictions of the Series B Preferred Stock,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4" w:name="page65"/>
    <w:bookmarkEnd w:id="64"/>
    <w:p>
      <w:pPr>
        <w:ind w:left="1400" w:hanging="582"/>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jc w:val="both"/>
        <w:ind w:firstLine="1466"/>
        <w:spacing w:after="0" w:line="266" w:lineRule="auto"/>
        <w:tabs>
          <w:tab w:leader="none" w:pos="200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A total of 3,000,000 shares of Preferred Stock shall be designated as a series known as “Series B Preferred Stock” (the “</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which Series B Preferred Stock will have the designations, powers, preferences and relative, participating, optional, special and other rights, and the qualifications, limitations and restrictions set forth in this Certificate.</w:t>
      </w:r>
    </w:p>
    <w:p>
      <w:pPr>
        <w:spacing w:after="0" w:line="162" w:lineRule="exact"/>
        <w:rPr>
          <w:rFonts w:ascii="Times New Roman" w:cs="Times New Roman" w:eastAsia="Times New Roman" w:hAnsi="Times New Roman"/>
          <w:sz w:val="18"/>
          <w:szCs w:val="18"/>
          <w:color w:val="auto"/>
        </w:rPr>
      </w:pPr>
    </w:p>
    <w:p>
      <w:pPr>
        <w:jc w:val="both"/>
        <w:ind w:firstLine="818"/>
        <w:spacing w:after="0" w:line="259" w:lineRule="auto"/>
        <w:tabs>
          <w:tab w:leader="none" w:pos="139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 Liquidation</w:t>
      </w:r>
      <w:r>
        <w:rPr>
          <w:rFonts w:ascii="Times New Roman" w:cs="Times New Roman" w:eastAsia="Times New Roman" w:hAnsi="Times New Roman"/>
          <w:sz w:val="18"/>
          <w:szCs w:val="18"/>
          <w:color w:val="auto"/>
        </w:rPr>
        <w:t>. With respect to payment of dividends, the Series B Preferred Stock shall rank senior in priority of payment to all Junior Stock and Parity Stock in any liquidation, dissolution, winding up or distribution of the Company, and junior to any existing or future secured or unsecured indebtedness and other liabilities (including trade payables) of the Company. With respect to (a) distribution of assets and (b) all other liquidation, winding up, dissolution, dividend and redemption rights, the Series B Preferred Stock shall rank pari passu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w:t>
      </w:r>
      <w:r>
        <w:rPr>
          <w:rFonts w:ascii="Times New Roman" w:cs="Times New Roman" w:eastAsia="Times New Roman" w:hAnsi="Times New Roman"/>
          <w:sz w:val="29"/>
          <w:szCs w:val="29"/>
          <w:color w:val="auto"/>
          <w:vertAlign w:val="superscript"/>
        </w:rPr>
        <w:t>1</w:t>
      </w:r>
    </w:p>
    <w:p>
      <w:pPr>
        <w:spacing w:after="0" w:line="21" w:lineRule="exact"/>
        <w:rPr>
          <w:rFonts w:ascii="Times New Roman" w:cs="Times New Roman" w:eastAsia="Times New Roman" w:hAnsi="Times New Roman"/>
          <w:sz w:val="18"/>
          <w:szCs w:val="18"/>
          <w:color w:val="auto"/>
        </w:rPr>
      </w:pPr>
    </w:p>
    <w:p>
      <w:pPr>
        <w:ind w:left="1400" w:hanging="582"/>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jc w:val="both"/>
        <w:ind w:firstLine="1466"/>
        <w:spacing w:after="0" w:line="243" w:lineRule="auto"/>
        <w:tabs>
          <w:tab w:leader="none" w:pos="202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On any matter presented to the stockholders of the Company for their action or consideration at any meeting of stockholders of the Company (or by written consent of the stockholders in lieu of a meeting), each Holder shall be entitled to cast the number of votes per each whole shares of Series B Preferred Stock held by such Holder as of the record date for determining stockholders entitled to vote on such matter (or, if no such record date is established, as of the date such vote is taken or any written consent of stockholders is solicited) equal to (i) the Original Issue Price as of the record date for determining stockholders entitled to vote on such matter (or, if no such record date is established, as of the date such vote is taken or any written consent of stockholders is solicited)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Minimum Price of Common Stock as of the Initial Issue Date (as determined by reference to the Nasdaq Official Closing Price)]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Except as provided by law or by the other provisions of this Certificate, Holders shall vote together with the holders of Common Stock as a single class and as provided pursuant to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Notwithstanding the foregoing, the Holders of shares of Series B Preferred Stock shall not be entitled to any voting rights in respect of such shares of Series B Preferred Stock, at any stockholders’ meeting or in any written consent of stockholders, in each case to the extent, and only to the extent, that such Holders would have the right to a number of votes in respect of such Holders’ shares of Voting Stock of the Company in excess of 19.99% of the then-outstanding Stockholder Voting Power. For the avoidance of doubt, the Holders of shares of Series B Preferred Stock shall not be entitled to any voting rights at any stockholders’ meeting or in any written consent of the stockholders, in each case to the extent, and only to the extent, that the issuance, delivery, conversion or convertibility of such Series B Preferred Stock would result in such Holder or a “person” or “group” (within the meaning of Section 13(d)(3) of the Exchange Act) beneficially owning in excess of the Threshold Amount prior to such voting rights being approved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18"/>
          <w:szCs w:val="18"/>
          <w:u w:val="single" w:color="auto"/>
          <w:color w:val="auto"/>
        </w:rPr>
        <w:t>Requisite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7830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120" w:hanging="112"/>
        <w:spacing w:after="0"/>
        <w:tabs>
          <w:tab w:leader="none" w:pos="12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Pari passu treatment between Series A and Series B subject to finalization of terms for both series.</w:t>
      </w:r>
    </w:p>
    <w:p>
      <w:pPr>
        <w:spacing w:after="0" w:line="184" w:lineRule="exact"/>
        <w:rPr>
          <w:sz w:val="20"/>
          <w:szCs w:val="20"/>
          <w:color w:val="auto"/>
        </w:rPr>
      </w:pPr>
    </w:p>
    <w:p>
      <w:pPr>
        <w:ind w:right="20" w:firstLine="8"/>
        <w:spacing w:after="0" w:line="195" w:lineRule="auto"/>
        <w:tabs>
          <w:tab w:leader="none" w:pos="133"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Actual amount to be inserted into Certificate of Designation filed with Delaware, with such amount determined based on the Minimum Price (as defined in Nasdaq Listing Rule 5635(d)) of the Company’s Common Stock).</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firstLine="1466"/>
        <w:spacing w:after="0" w:line="282" w:lineRule="auto"/>
        <w:tabs>
          <w:tab w:leader="none" w:pos="197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Written Consent; Meetings</w:t>
      </w:r>
      <w:r>
        <w:rPr>
          <w:rFonts w:ascii="Times New Roman" w:cs="Times New Roman" w:eastAsia="Times New Roman" w:hAnsi="Times New Roman"/>
          <w:sz w:val="18"/>
          <w:szCs w:val="18"/>
          <w:color w:val="auto"/>
        </w:rPr>
        <w:t>. A consent or affirmative vote of the Holders may be given or obtained either in writing without a meeting, or in person or by proxy at a regular annual meeting, or a special meeting of stockholders or Holders.</w:t>
      </w:r>
    </w:p>
    <w:p>
      <w:pPr>
        <w:spacing w:after="0" w:line="148" w:lineRule="exact"/>
        <w:rPr>
          <w:rFonts w:ascii="Times New Roman" w:cs="Times New Roman" w:eastAsia="Times New Roman" w:hAnsi="Times New Roman"/>
          <w:sz w:val="18"/>
          <w:szCs w:val="18"/>
          <w:color w:val="auto"/>
        </w:rPr>
      </w:pPr>
    </w:p>
    <w:p>
      <w:pPr>
        <w:ind w:left="1400" w:hanging="582"/>
        <w:spacing w:after="0"/>
        <w:tabs>
          <w:tab w:leader="none" w:pos="1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jc w:val="both"/>
        <w:ind w:firstLine="1466"/>
        <w:spacing w:after="0" w:line="256" w:lineRule="auto"/>
        <w:tabs>
          <w:tab w:leader="none" w:pos="200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are prior to and in preference over any dividend on any Junior Stock or Parity Stock and shall be declared and fully paid before any dividends are declared and paid, or any other distributions are made, on any Junior Stock or Parity Stock. Dividends shall be payable to the Holders as they appear on the records of the Company on the record date for such Dividends, which, to the extent the Board of Directors determines to declare Dividends in respect of any Dividend Period, shall be the date that is 10 Business Days prior to the applicable Dividend Payment Date, and which record date and Dividend Payment Date, to the extent so determined, shall be declared by the Board of Directors during each Dividend Period on the date that is at least 15 Business Days prior to the Dividend Payment Date and five Business Days prior to the record date.</w:t>
      </w:r>
    </w:p>
    <w:p>
      <w:pPr>
        <w:spacing w:after="0" w:line="173" w:lineRule="exact"/>
        <w:rPr>
          <w:rFonts w:ascii="Times New Roman" w:cs="Times New Roman" w:eastAsia="Times New Roman" w:hAnsi="Times New Roman"/>
          <w:sz w:val="18"/>
          <w:szCs w:val="18"/>
          <w:color w:val="auto"/>
        </w:rPr>
      </w:pPr>
    </w:p>
    <w:p>
      <w:pPr>
        <w:jc w:val="both"/>
        <w:ind w:firstLine="1466"/>
        <w:spacing w:after="0" w:line="266" w:lineRule="auto"/>
        <w:tabs>
          <w:tab w:leader="none" w:pos="192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Initial Issue Date, preferential cumulative dividends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shall accrue on the total number of shares of Series B Preferred Stock held by a Holder on an annual basis and in arrears as 8.0% of the Liquidation Preference (the “</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Dividends will be due and payable annually in arrears as payment in kind on each Dividend Payment Date.</w:t>
      </w:r>
    </w:p>
    <w:p>
      <w:pPr>
        <w:spacing w:after="0" w:line="162" w:lineRule="exact"/>
        <w:rPr>
          <w:rFonts w:ascii="Times New Roman" w:cs="Times New Roman" w:eastAsia="Times New Roman" w:hAnsi="Times New Roman"/>
          <w:sz w:val="18"/>
          <w:szCs w:val="18"/>
          <w:color w:val="auto"/>
        </w:rPr>
      </w:pPr>
    </w:p>
    <w:p>
      <w:pPr>
        <w:jc w:val="both"/>
        <w:ind w:firstLine="1466"/>
        <w:spacing w:after="0" w:line="261" w:lineRule="auto"/>
        <w:tabs>
          <w:tab w:leader="none" w:pos="209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Series B Preferred Stock will be entitled to receive all dividends and other distributions of cash and other property as may be declared on the Common Stock by the Board of Directors from time to time out of assets or funds of the Company legally available therefor, as if all shares of the Series B Preferred Stock held by such Holder had been converted into the applicable number of shares of Common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on the day any such dividend was declared.</w:t>
      </w:r>
    </w:p>
    <w:p>
      <w:pPr>
        <w:spacing w:after="0" w:line="179" w:lineRule="exact"/>
        <w:rPr>
          <w:rFonts w:ascii="Times New Roman" w:cs="Times New Roman" w:eastAsia="Times New Roman" w:hAnsi="Times New Roman"/>
          <w:sz w:val="18"/>
          <w:szCs w:val="18"/>
          <w:color w:val="auto"/>
        </w:rPr>
      </w:pPr>
    </w:p>
    <w:p>
      <w:pPr>
        <w:jc w:val="both"/>
        <w:ind w:firstLine="818"/>
        <w:spacing w:after="0" w:line="258" w:lineRule="auto"/>
        <w:tabs>
          <w:tab w:leader="none" w:pos="147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So long as any shares of Series B Preferred Stock remain outstanding, and unless a greater percentage is required by law, the Company shall not, without the affirmative vote or written consent of the Holders of 51% of the then-outstanding Series B Preferred Stock, voting separately as one class, amend, alter or change the rights, preferences or privileges of the shares of Series B Preferred Stock, or waive the compliance of any of the covenants included in this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effect any of the following matters without the consent of each Holder that is adversely affected thereby:</w:t>
      </w:r>
    </w:p>
    <w:p>
      <w:pPr>
        <w:spacing w:after="0" w:line="183" w:lineRule="exact"/>
        <w:rPr>
          <w:rFonts w:ascii="Times New Roman" w:cs="Times New Roman" w:eastAsia="Times New Roman" w:hAnsi="Times New Roman"/>
          <w:sz w:val="18"/>
          <w:szCs w:val="18"/>
          <w:color w:val="auto"/>
        </w:rPr>
      </w:pPr>
    </w:p>
    <w:p>
      <w:pPr>
        <w:ind w:left="1940" w:hanging="474"/>
        <w:spacing w:after="0"/>
        <w:tabs>
          <w:tab w:leader="none" w:pos="19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Dividend Rate or alter the timing or method of payment of any Dividends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466"/>
        <w:spacing w:after="0" w:line="282" w:lineRule="auto"/>
        <w:tabs>
          <w:tab w:leader="none" w:pos="191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any series of Preferred Stock of the Company that is senior to the Series B Preferred Stock with respect to any rights referenced in Section 2 of this Certificate; or</w:t>
      </w:r>
    </w:p>
    <w:p>
      <w:pPr>
        <w:spacing w:after="0" w:line="148" w:lineRule="exact"/>
        <w:rPr>
          <w:rFonts w:ascii="Times New Roman" w:cs="Times New Roman" w:eastAsia="Times New Roman" w:hAnsi="Times New Roman"/>
          <w:sz w:val="18"/>
          <w:szCs w:val="18"/>
          <w:color w:val="auto"/>
        </w:rPr>
      </w:pPr>
    </w:p>
    <w:p>
      <w:pPr>
        <w:ind w:left="1940" w:hanging="474"/>
        <w:spacing w:after="0"/>
        <w:tabs>
          <w:tab w:leader="none" w:pos="19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Original Issue Price.</w:t>
      </w:r>
    </w:p>
    <w:p>
      <w:pPr>
        <w:spacing w:after="0" w:line="211" w:lineRule="exact"/>
        <w:rPr>
          <w:rFonts w:ascii="Times New Roman" w:cs="Times New Roman" w:eastAsia="Times New Roman" w:hAnsi="Times New Roman"/>
          <w:sz w:val="18"/>
          <w:szCs w:val="18"/>
          <w:color w:val="auto"/>
        </w:rPr>
      </w:pPr>
    </w:p>
    <w:p>
      <w:pPr>
        <w:ind w:left="1440" w:hanging="622"/>
        <w:spacing w:after="0"/>
        <w:tabs>
          <w:tab w:leader="none" w:pos="1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left="1940" w:hanging="474"/>
        <w:spacing w:after="0"/>
        <w:tabs>
          <w:tab w:leader="none" w:pos="19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left="1460" w:firstLine="1140"/>
        <w:spacing w:after="0" w:line="282" w:lineRule="auto"/>
        <w:tabs>
          <w:tab w:leader="none" w:pos="3398"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Series B Preferred Stock will be converted into shares of Common Stock (the “</w:t>
      </w: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on the fifth anniversary of the Initial Issue Date.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both"/>
        <w:ind w:left="340" w:firstLine="1140"/>
        <w:spacing w:after="0" w:line="252" w:lineRule="auto"/>
        <w:tabs>
          <w:tab w:leader="none" w:pos="213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Prior to such date of conversion, the Company shall send all Holders written notice. Such notice will contain the time (“</w:t>
      </w:r>
      <w:r>
        <w:rPr>
          <w:rFonts w:ascii="Times New Roman" w:cs="Times New Roman" w:eastAsia="Times New Roman" w:hAnsi="Times New Roman"/>
          <w:sz w:val="18"/>
          <w:szCs w:val="18"/>
          <w:u w:val="single" w:color="auto"/>
          <w:color w:val="auto"/>
        </w:rPr>
        <w:t>Mandatory Conversion Time</w:t>
      </w:r>
      <w:r>
        <w:rPr>
          <w:rFonts w:ascii="Times New Roman" w:cs="Times New Roman" w:eastAsia="Times New Roman" w:hAnsi="Times New Roman"/>
          <w:sz w:val="18"/>
          <w:szCs w:val="18"/>
          <w:color w:val="auto"/>
        </w:rPr>
        <w:t xml:space="preserve">”) and the place designated for mandatory conversion of all such shares of Series B Preferred Stock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Such notice will be sent at least 7 days in advance of the Mandatory Conversion Time. Upon receipt of such notice, each Holder that holds shares of Series B Preferred Stock in certificated form shall surrender his, her or its certificate or certificates for all such shares (or, if such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to the Company at the place designated in such notice. If so required by the Company, any certificates surrendered for conversion shall be endorsed or accompanied by written instrument or instruments of transfer, in form satisfactory to the Company, duly executed by the Holder or by his, her or its attorney duly authorized in writing. All rights with respect to the Series B Preferred Stock converted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As soon as practicable after the Mandatory Conversion Time and, if applicable, the surrender of any certificate or certificates (or lost certificate affidavit and agreement) for Series B Preferred Stock, the Company shall issue and deliver to such Holder, (A) a certificate or certificates for the number of full shares of Common Stock issuable upon such conversion in accordance with the provisions hereof or (B) a notice of issuance of uncertificated shares and may, upon written request, issue and deliver a certificate for the number of full shares of Common Stock issuable upon such conversion in accordance with the provisions hereof.</w:t>
      </w:r>
    </w:p>
    <w:p>
      <w:pPr>
        <w:spacing w:after="0" w:line="178" w:lineRule="exact"/>
        <w:rPr>
          <w:rFonts w:ascii="Times New Roman" w:cs="Times New Roman" w:eastAsia="Times New Roman" w:hAnsi="Times New Roman"/>
          <w:sz w:val="18"/>
          <w:szCs w:val="18"/>
          <w:color w:val="auto"/>
        </w:rPr>
      </w:pPr>
    </w:p>
    <w:p>
      <w:pPr>
        <w:ind w:left="820" w:hanging="474"/>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left="340" w:firstLine="1140"/>
        <w:spacing w:after="0" w:line="282" w:lineRule="auto"/>
        <w:tabs>
          <w:tab w:leader="none" w:pos="211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Date, each Holder may convert all of its shares of Series B Preferred Stock into shares of Common Stock (the “</w:t>
      </w: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 and together with the Mandatory Conversion, each a “</w:t>
      </w: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340" w:firstLine="1140"/>
        <w:spacing w:after="0" w:line="253" w:lineRule="auto"/>
        <w:tabs>
          <w:tab w:leader="none" w:pos="220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In order for a Holder to voluntarily convert all of such Holder’s shares of Series B Preferred Stock into shares of Common Stock, such Holder shall (A) provide written notice to the Company’s transfer agent at the office of the transfer agent for the Series B Preferred Stock (or at the principal office of the Company if the Company serves as its own transfer agent) that such Holder elects to convert all of such Holder’s shares of Series B Preferred Stock and (B), if such Holder’s shares are certificated, surrender the certificate or certificates for such shares of Series B Preferred Stock (or, if such registered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at the office of the transfer agent for the Preferred Stock (or at the principal office of the Company if the Company serves as its own transfer agent). Such notice shall state such Holder’s name. If required by the Company, any certificates surrendered for conversion shall be endorsed or accompanied by a written instrument or instruments of transfer, in form satisfactory to the Company, duly executed by the registered holder or his, her or its attorney duly authorized in writing. Unless a later time and date is otherwise specified by the Company, the close of business on the date of receipt</w:t>
      </w:r>
    </w:p>
    <w:p>
      <w:pPr>
        <w:spacing w:after="0" w:line="36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7" w:name="page68"/>
    <w:bookmarkEnd w:id="67"/>
    <w:p>
      <w:pPr>
        <w:jc w:val="both"/>
        <w:ind w:left="1460"/>
        <w:spacing w:after="0" w:line="254" w:lineRule="auto"/>
        <w:rPr>
          <w:sz w:val="20"/>
          <w:szCs w:val="20"/>
          <w:color w:val="auto"/>
        </w:rPr>
      </w:pPr>
      <w:r>
        <w:rPr>
          <w:rFonts w:ascii="Times New Roman" w:cs="Times New Roman" w:eastAsia="Times New Roman" w:hAnsi="Times New Roman"/>
          <w:sz w:val="18"/>
          <w:szCs w:val="18"/>
          <w:color w:val="auto"/>
        </w:rPr>
        <w:t>by the transfer agent (or by the Company if the Company serves as its own transfer agent) of such notice and, if applicable, certificates (or lost certificate affidavit and agreement) shall be the time of conversion (the “</w:t>
      </w:r>
      <w:r>
        <w:rPr>
          <w:rFonts w:ascii="Times New Roman" w:cs="Times New Roman" w:eastAsia="Times New Roman" w:hAnsi="Times New Roman"/>
          <w:sz w:val="18"/>
          <w:szCs w:val="18"/>
          <w:u w:val="single" w:color="auto"/>
          <w:color w:val="auto"/>
        </w:rPr>
        <w:t>Conversion Time</w:t>
      </w:r>
      <w:r>
        <w:rPr>
          <w:rFonts w:ascii="Times New Roman" w:cs="Times New Roman" w:eastAsia="Times New Roman" w:hAnsi="Times New Roman"/>
          <w:sz w:val="18"/>
          <w:szCs w:val="18"/>
          <w:color w:val="auto"/>
        </w:rPr>
        <w:t>”), and the shares of Common Stock issuable upon conversion of the specified shares shall be deemed to be outstanding of record as of such date. The Company shall, as soon as practicable after the Conversion Time issue and deliver to such Holder, (y) a certificate or certificates for the number of full shares of Common Stock issuable upon such conversion in accordance with the provisions hereof or</w:t>
      </w:r>
    </w:p>
    <w:p>
      <w:pPr>
        <w:spacing w:after="0" w:line="3" w:lineRule="exact"/>
        <w:rPr>
          <w:sz w:val="20"/>
          <w:szCs w:val="20"/>
          <w:color w:val="auto"/>
        </w:rPr>
      </w:pPr>
    </w:p>
    <w:p>
      <w:pPr>
        <w:ind w:left="1460" w:firstLine="6"/>
        <w:spacing w:after="0" w:line="260" w:lineRule="auto"/>
        <w:tabs>
          <w:tab w:leader="none" w:pos="17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issuance of uncertificated shares and may, upon written request, issue and deliver a certificate for the number of full shares of Common Stock issuable upon such conversion in accordance with the provisions hereof.</w:t>
      </w:r>
    </w:p>
    <w:p>
      <w:pPr>
        <w:spacing w:after="0" w:line="168" w:lineRule="exact"/>
        <w:rPr>
          <w:sz w:val="20"/>
          <w:szCs w:val="20"/>
          <w:color w:val="auto"/>
        </w:rPr>
      </w:pPr>
    </w:p>
    <w:p>
      <w:pPr>
        <w:jc w:val="both"/>
        <w:ind w:firstLine="1466"/>
        <w:spacing w:after="0" w:line="266" w:lineRule="auto"/>
        <w:tabs>
          <w:tab w:leader="none" w:pos="199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xml:space="preserve">. Upon the exercise of or occurrence of a Conversion Right, the conversion rate will equal a fraction whose numerator is the Original Issue Price and whose denominator is the lesser of (i) the Reset Conversion Price or (ii) $12.50 (such rate as determined by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jc w:val="both"/>
        <w:ind w:firstLine="1466"/>
        <w:spacing w:after="0" w:line="258" w:lineRule="auto"/>
        <w:tabs>
          <w:tab w:leader="none" w:pos="203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Issuable Upon Conversion</w:t>
      </w:r>
      <w:r>
        <w:rPr>
          <w:rFonts w:ascii="Times New Roman" w:cs="Times New Roman" w:eastAsia="Times New Roman" w:hAnsi="Times New Roman"/>
          <w:sz w:val="18"/>
          <w:szCs w:val="18"/>
          <w:color w:val="auto"/>
        </w:rPr>
        <w:t xml:space="preserve">. The number of shares of Common Stock that each Holder will receive upon conversion of all of such Holder’s shares of Series B Preferred Stock will be the number of shares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shares of Series B Preferred Stock held by such Holder;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fractional shares shall be issued upon the exercise or occurrence of any Conversion Right. As to any fraction of a share which the Holder would otherwise be entitled to purchase upon such exercise or occurrence of such Conversion Right, the Company shall round up to the next whole share.</w:t>
      </w:r>
    </w:p>
    <w:p>
      <w:pPr>
        <w:spacing w:after="0" w:line="183" w:lineRule="exact"/>
        <w:rPr>
          <w:rFonts w:ascii="Times New Roman" w:cs="Times New Roman" w:eastAsia="Times New Roman" w:hAnsi="Times New Roman"/>
          <w:sz w:val="18"/>
          <w:szCs w:val="18"/>
          <w:color w:val="auto"/>
        </w:rPr>
      </w:pPr>
    </w:p>
    <w:p>
      <w:pPr>
        <w:jc w:val="both"/>
        <w:ind w:firstLine="1466"/>
        <w:spacing w:after="0" w:line="266" w:lineRule="auto"/>
        <w:tabs>
          <w:tab w:leader="none" w:pos="190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All shares of Series B Preferred Stock which shall have been surrendered for conversion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shall no longer be deemed to be outstanding and all rights with respect to such shares shall immediately cease and terminate at the Conversion Time, except only the right of the holders thereof to receive shares of Common Stock in exchange therefor.</w:t>
      </w:r>
    </w:p>
    <w:p>
      <w:pPr>
        <w:spacing w:after="0" w:line="162" w:lineRule="exact"/>
        <w:rPr>
          <w:rFonts w:ascii="Times New Roman" w:cs="Times New Roman" w:eastAsia="Times New Roman" w:hAnsi="Times New Roman"/>
          <w:sz w:val="18"/>
          <w:szCs w:val="18"/>
          <w:color w:val="auto"/>
        </w:rPr>
      </w:pPr>
    </w:p>
    <w:p>
      <w:pPr>
        <w:ind w:firstLine="1466"/>
        <w:spacing w:after="0" w:line="282" w:lineRule="auto"/>
        <w:tabs>
          <w:tab w:leader="none" w:pos="194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 Conversion Limits</w:t>
      </w:r>
      <w:r>
        <w:rPr>
          <w:rFonts w:ascii="Times New Roman" w:cs="Times New Roman" w:eastAsia="Times New Roman" w:hAnsi="Times New Roman"/>
          <w:sz w:val="18"/>
          <w:szCs w:val="18"/>
          <w:color w:val="auto"/>
        </w:rPr>
        <w:t xml:space="preserve">. Any proposed conversion will be reviewed and addressed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the Investment Agreement for compliance with Nasdaq conversion limits.</w:t>
      </w:r>
    </w:p>
    <w:p>
      <w:pPr>
        <w:spacing w:after="0" w:line="148" w:lineRule="exact"/>
        <w:rPr>
          <w:rFonts w:ascii="Times New Roman" w:cs="Times New Roman" w:eastAsia="Times New Roman" w:hAnsi="Times New Roman"/>
          <w:sz w:val="18"/>
          <w:szCs w:val="18"/>
          <w:color w:val="auto"/>
        </w:rPr>
      </w:pPr>
    </w:p>
    <w:p>
      <w:pPr>
        <w:ind w:left="1440" w:hanging="622"/>
        <w:spacing w:after="0"/>
        <w:tabs>
          <w:tab w:leader="none" w:pos="14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p>
    <w:p>
      <w:pPr>
        <w:spacing w:after="0" w:line="211" w:lineRule="exact"/>
        <w:rPr>
          <w:rFonts w:ascii="Times New Roman" w:cs="Times New Roman" w:eastAsia="Times New Roman" w:hAnsi="Times New Roman"/>
          <w:sz w:val="18"/>
          <w:szCs w:val="18"/>
          <w:color w:val="auto"/>
        </w:rPr>
      </w:pPr>
    </w:p>
    <w:p>
      <w:pPr>
        <w:jc w:val="both"/>
        <w:ind w:firstLine="1466"/>
        <w:spacing w:after="0" w:line="253" w:lineRule="auto"/>
        <w:tabs>
          <w:tab w:leader="none" w:pos="188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If the Company, at any time while the Series B Preferred Stock is outstanding: (a) pays a stock dividend or otherwise makes a distribution or distributions payable in shares of Common Stock on shares of Common Stock or any other Common Stock Equivalents (which, for avoidance of doubt, will not include any shares of Common Stock issued by the Company upon conversion of this Series B Preferred Stock or payment of a dividend on this Series B Preferred Stock); (b) subdivides outstanding shares of Common Stock into a larger number of shares; (c) combines (including by way of a reverse stock split) outstanding shares of Common Stock into a smaller number of shares; or (d) issues, in the event of a reclassification of shares of the Common Stock, any shares of capital stock of the Company, then the Conversion Price will be multiplied by a fraction of which the numerator will be the number of shares of Common Stock (excluding any treasury shares of the Company) outstanding immediately before such event and of which the denominator will be the number of shares of Common Stock, or in the event that clause (d) of this Section 7 will apply shares of reclassified capital stock, outstanding immediately after such event. Any adjustment made pursuant to this Section 7 will become effective immediately after the record date for the determination of stockholders entitled to receive such dividend or distribution and will become effective immediately after the effective date in the case of a subdivision, combination or re-classification.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both"/>
        <w:ind w:firstLine="1466"/>
        <w:spacing w:after="0" w:line="253" w:lineRule="auto"/>
        <w:tabs>
          <w:tab w:leader="none" w:pos="193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7(a)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such Holder’s Series B Preferred Stock (without regard to any limitations on exercise hereof, including without limitation, the limitation of the Threshold Amount)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Threshold Amount, then the Holder shall not be entitled to participate in such Purchase Right to such extent (or beneficial ownership of such shares of Common Stock as a result of such Purchase Right to such extent) and such Purchase Right to such extent shall be held in abeyance by the Company for the Holder (which shall not give the Holder any power to vote or dispose of such Purchase Rights) until such time, if ever, as its right thereto would not result in the Holder exceeding the Threshold Amount).</w:t>
      </w:r>
    </w:p>
    <w:p>
      <w:pPr>
        <w:spacing w:after="0" w:line="176" w:lineRule="exact"/>
        <w:rPr>
          <w:rFonts w:ascii="Times New Roman" w:cs="Times New Roman" w:eastAsia="Times New Roman" w:hAnsi="Times New Roman"/>
          <w:sz w:val="18"/>
          <w:szCs w:val="18"/>
          <w:color w:val="auto"/>
        </w:rPr>
      </w:pPr>
    </w:p>
    <w:p>
      <w:pPr>
        <w:ind w:left="1440" w:hanging="622"/>
        <w:spacing w:after="0"/>
        <w:tabs>
          <w:tab w:leader="none" w:pos="1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Remedies of Holders</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firstLine="1466"/>
        <w:spacing w:after="0" w:line="282" w:lineRule="auto"/>
        <w:tabs>
          <w:tab w:leader="none" w:pos="192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various provisions set forth under this Certificate are for the benefit of the Holders and, subject to the terms and conditions hereof and applicable law, will be enforceable by them, including by one or more actions for specific performance.</w:t>
      </w:r>
    </w:p>
    <w:p>
      <w:pPr>
        <w:spacing w:after="0" w:line="148" w:lineRule="exact"/>
        <w:rPr>
          <w:rFonts w:ascii="Times New Roman" w:cs="Times New Roman" w:eastAsia="Times New Roman" w:hAnsi="Times New Roman"/>
          <w:sz w:val="18"/>
          <w:szCs w:val="18"/>
          <w:color w:val="auto"/>
        </w:rPr>
      </w:pPr>
    </w:p>
    <w:p>
      <w:pPr>
        <w:jc w:val="both"/>
        <w:ind w:firstLine="1466"/>
        <w:spacing w:after="0" w:line="266" w:lineRule="auto"/>
        <w:tabs>
          <w:tab w:leader="none" w:pos="197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herein, all remedies available under this Certificate, at law, in equity or otherwise, will be deemed cumulative and not alternative or exclusive of other remedies. The exercise by any Holder of a particular remedy will not preclude the exercise of any other remedy.</w:t>
      </w:r>
    </w:p>
    <w:p>
      <w:pPr>
        <w:spacing w:after="0" w:line="175" w:lineRule="exact"/>
        <w:rPr>
          <w:rFonts w:ascii="Times New Roman" w:cs="Times New Roman" w:eastAsia="Times New Roman" w:hAnsi="Times New Roman"/>
          <w:sz w:val="18"/>
          <w:szCs w:val="18"/>
          <w:color w:val="auto"/>
        </w:rPr>
      </w:pPr>
    </w:p>
    <w:p>
      <w:pPr>
        <w:ind w:left="1440" w:hanging="622"/>
        <w:spacing w:after="0"/>
        <w:tabs>
          <w:tab w:leader="none" w:pos="1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Certificate, the following terms shall have the meanings specified below:</w:t>
      </w:r>
    </w:p>
    <w:p>
      <w:pPr>
        <w:spacing w:after="0" w:line="2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have the meaning assigned to such term in the recitals hereof.</w:t>
      </w:r>
    </w:p>
    <w:p>
      <w:pPr>
        <w:spacing w:after="0" w:line="212" w:lineRule="exact"/>
        <w:rPr>
          <w:sz w:val="20"/>
          <w:szCs w:val="20"/>
          <w:color w:val="auto"/>
        </w:rPr>
      </w:pPr>
    </w:p>
    <w:p>
      <w:pPr>
        <w:jc w:val="both"/>
        <w:ind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New York are not open for the transaction of normal banking business.</w:t>
      </w:r>
    </w:p>
    <w:p>
      <w:pPr>
        <w:spacing w:after="0" w:line="14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shall have the meaning assigned to such term in the recitals hereof.</w:t>
      </w:r>
    </w:p>
    <w:p>
      <w:pPr>
        <w:spacing w:after="0" w:line="2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shall have the meaning assigned to such term in the recitals hereof.</w:t>
      </w:r>
    </w:p>
    <w:p>
      <w:pPr>
        <w:spacing w:after="0" w:line="21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last price at which the Common Stock of the Company traded at during a regular trading session for a given</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day.</w:t>
      </w:r>
    </w:p>
    <w:p>
      <w:pPr>
        <w:spacing w:after="0" w:line="193" w:lineRule="exact"/>
        <w:rPr>
          <w:sz w:val="20"/>
          <w:szCs w:val="20"/>
          <w:color w:val="auto"/>
        </w:rPr>
      </w:pPr>
    </w:p>
    <w:p>
      <w:pPr>
        <w:ind w:left="1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any shares of common stock, par value $0.0001, of the Company that are listed and traded on Nasdaq under the name and ticker “INV.”</w:t>
      </w:r>
    </w:p>
    <w:p>
      <w:pPr>
        <w:spacing w:after="0" w:line="148" w:lineRule="exact"/>
        <w:rPr>
          <w:sz w:val="20"/>
          <w:szCs w:val="20"/>
          <w:color w:val="auto"/>
        </w:rPr>
      </w:pPr>
    </w:p>
    <w:p>
      <w:pPr>
        <w:jc w:val="both"/>
        <w:ind w:right="20" w:firstLine="145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of the Company, whether or not vested or otherwise convertible or exercisable into shares of Common Stock at the time of such issuance, which would entitle the holder thereof to acquire at any time Common Stock, including, without limitation, 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both"/>
        <w:spacing w:after="0" w:line="282" w:lineRule="auto"/>
        <w:rPr>
          <w:sz w:val="20"/>
          <w:szCs w:val="20"/>
          <w:color w:val="auto"/>
        </w:rPr>
      </w:pPr>
      <w:r>
        <w:rPr>
          <w:rFonts w:ascii="Times New Roman" w:cs="Times New Roman" w:eastAsia="Times New Roman" w:hAnsi="Times New Roman"/>
          <w:sz w:val="18"/>
          <w:szCs w:val="18"/>
          <w:color w:val="auto"/>
        </w:rPr>
        <w:t>debt, preferred stock, rights, options, warrants or other instrument that is at any time convertible into or exchangeable for, or otherwise entitles the holder thereof to receive, Common Stock, and excluding shares of Common Stock issuable upon conversion of the Series B Preferred Stock.</w:t>
      </w:r>
    </w:p>
    <w:p>
      <w:pPr>
        <w:spacing w:after="0" w:line="14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assigned to such term in the recitals hereof.</w:t>
      </w:r>
    </w:p>
    <w:p>
      <w:pPr>
        <w:spacing w:after="0" w:line="21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Time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6(b)(ii)</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means the last day of the last quarter in each fiscal year of the Company (or, if such date is not a Business Day, the immediately succeeding Business Day), following the Initial Issue Date.</w:t>
      </w:r>
    </w:p>
    <w:p>
      <w:pPr>
        <w:spacing w:after="0" w:line="148" w:lineRule="exact"/>
        <w:rPr>
          <w:sz w:val="20"/>
          <w:szCs w:val="20"/>
          <w:color w:val="auto"/>
        </w:rPr>
      </w:pPr>
    </w:p>
    <w:p>
      <w:pPr>
        <w:jc w:val="both"/>
        <w:ind w:firstLine="145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xml:space="preserve">” means the period commencing on and including a Dividend Payment Date that ends on, but does not include, the next Dividend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initial Dividend Period shall commence on and include the Initial Issue Date and end on, but not include, the first Dividend Payment Date.</w:t>
      </w:r>
    </w:p>
    <w:p>
      <w:pPr>
        <w:spacing w:after="0" w:line="16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Registration Statement, the date on which the Registration Statement is declared effective by the SEC.</w:t>
      </w:r>
    </w:p>
    <w:p>
      <w:pPr>
        <w:spacing w:after="0" w:line="14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12" w:lineRule="exact"/>
        <w:rPr>
          <w:sz w:val="20"/>
          <w:szCs w:val="20"/>
          <w:color w:val="auto"/>
        </w:rPr>
      </w:pPr>
    </w:p>
    <w:p>
      <w:pPr>
        <w:jc w:val="both"/>
        <w:ind w:firstLine="145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as in effect from time to time.</w:t>
      </w:r>
    </w:p>
    <w:p>
      <w:pPr>
        <w:spacing w:after="0" w:line="16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as of the relevant date, any Person that is the holder of record of at least one share of Series B Preferred Stock, as of</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such date.</w:t>
      </w:r>
    </w:p>
    <w:p>
      <w:pPr>
        <w:spacing w:after="0" w:line="19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Holders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w:t>
      </w:r>
      <w:r>
        <w:rPr>
          <w:rFonts w:ascii="Times New Roman" w:cs="Times New Roman" w:eastAsia="Times New Roman" w:hAnsi="Times New Roman"/>
          <w:sz w:val="18"/>
          <w:szCs w:val="18"/>
          <w:u w:val="single" w:color="auto"/>
          <w:color w:val="auto"/>
        </w:rPr>
        <w:t>Initial Issue Date</w:t>
      </w:r>
      <w:r>
        <w:rPr>
          <w:rFonts w:ascii="Times New Roman" w:cs="Times New Roman" w:eastAsia="Times New Roman" w:hAnsi="Times New Roman"/>
          <w:sz w:val="18"/>
          <w:szCs w:val="18"/>
          <w:color w:val="auto"/>
        </w:rPr>
        <w:t>” means [●], 2024.</w:t>
      </w:r>
    </w:p>
    <w:p>
      <w:pPr>
        <w:spacing w:after="0" w:line="21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Agreement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145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means (i) Common Stock and (ii) any other preferred stock, other than the Series A Preferred Stock, if applicable, and any other equity interest of the Company, in each case which by its terms ranks junior to the Series B Preferred Stock with respect to payment of dividends and/or distribution of assets.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both"/>
        <w:ind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means, with respect to a Holder, the Original Issue Price, multiplied by the number of shares of Series B Preferred Stock held by such Holder.</w:t>
      </w:r>
    </w:p>
    <w:p>
      <w:pPr>
        <w:spacing w:after="0" w:line="14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6(a)(i)</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Time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Price</w:t>
      </w:r>
      <w:r>
        <w:rPr>
          <w:rFonts w:ascii="Times New Roman" w:cs="Times New Roman" w:eastAsia="Times New Roman" w:hAnsi="Times New Roman"/>
          <w:sz w:val="18"/>
          <w:szCs w:val="18"/>
          <w:color w:val="auto"/>
        </w:rPr>
        <w:t>” shall have the meaning assigned to such term in Nasdaq Listing Rule 5635(d).</w:t>
      </w:r>
    </w:p>
    <w:p>
      <w:pPr>
        <w:spacing w:after="0" w:line="21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12" w:lineRule="exact"/>
        <w:rPr>
          <w:sz w:val="20"/>
          <w:szCs w:val="20"/>
          <w:color w:val="auto"/>
        </w:rPr>
      </w:pPr>
    </w:p>
    <w:p>
      <w:pPr>
        <w:jc w:val="both"/>
        <w:ind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Official Closing Price</w:t>
      </w:r>
      <w:r>
        <w:rPr>
          <w:rFonts w:ascii="Times New Roman" w:cs="Times New Roman" w:eastAsia="Times New Roman" w:hAnsi="Times New Roman"/>
          <w:sz w:val="18"/>
          <w:szCs w:val="18"/>
          <w:color w:val="auto"/>
        </w:rPr>
        <w:t>” means the closing price for a share of Common Stock as reported on the “Historical NOCP” section of the web site Nasdaq.com for the ticker symbol “INV.”</w:t>
      </w:r>
    </w:p>
    <w:p>
      <w:pPr>
        <w:spacing w:after="0" w:line="14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Price</w:t>
      </w:r>
      <w:r>
        <w:rPr>
          <w:rFonts w:ascii="Times New Roman" w:cs="Times New Roman" w:eastAsia="Times New Roman" w:hAnsi="Times New Roman"/>
          <w:sz w:val="18"/>
          <w:szCs w:val="18"/>
          <w:color w:val="auto"/>
        </w:rPr>
        <w:t>” means $10.00 per share of Series B Preferred Stock.</w:t>
      </w:r>
    </w:p>
    <w:p>
      <w:pPr>
        <w:spacing w:after="0" w:line="212" w:lineRule="exact"/>
        <w:rPr>
          <w:sz w:val="20"/>
          <w:szCs w:val="20"/>
          <w:color w:val="auto"/>
        </w:rPr>
      </w:pPr>
    </w:p>
    <w:p>
      <w:pPr>
        <w:jc w:val="both"/>
        <w:ind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means the Series A Preferred Stock, if applicable, and any equity interest of the Company hereinafter created which by its terms ranks pari passu with the Series B Preferred Stock.</w:t>
      </w:r>
    </w:p>
    <w:p>
      <w:pPr>
        <w:spacing w:after="0" w:line="148" w:lineRule="exact"/>
        <w:rPr>
          <w:sz w:val="20"/>
          <w:szCs w:val="20"/>
          <w:color w:val="auto"/>
        </w:rPr>
      </w:pPr>
    </w:p>
    <w:p>
      <w:pPr>
        <w:jc w:val="both"/>
        <w:ind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(including limited partnership), joint venture, association, joint stock company, trust, unincorporated organization, government or any agency or political subdivision thereof or any other entity.</w:t>
      </w:r>
    </w:p>
    <w:p>
      <w:pPr>
        <w:spacing w:after="0" w:line="14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shall have the meaning assigned to such term in the recitals hereof.</w:t>
      </w:r>
    </w:p>
    <w:p>
      <w:pPr>
        <w:spacing w:after="0" w:line="2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right="20"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means the securities register maintained in respect of the Series B Preferred Stock by the Company, or, to the extent the Company has engaged a transfer agent, such transfer agent.</w:t>
      </w:r>
    </w:p>
    <w:p>
      <w:pPr>
        <w:spacing w:after="0" w:line="148" w:lineRule="exact"/>
        <w:rPr>
          <w:sz w:val="20"/>
          <w:szCs w:val="20"/>
          <w:color w:val="auto"/>
        </w:rPr>
      </w:pPr>
    </w:p>
    <w:p>
      <w:pPr>
        <w:jc w:val="both"/>
        <w:ind w:right="20"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means a registration statement registering the resale of the shares of Common Stock issued to each Holder upon conversion of such Holder’s shares of Series B Preferred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Reset Conversion Price</w:t>
      </w:r>
      <w:r>
        <w:rPr>
          <w:rFonts w:ascii="Times New Roman" w:cs="Times New Roman" w:eastAsia="Times New Roman" w:hAnsi="Times New Roman"/>
          <w:sz w:val="18"/>
          <w:szCs w:val="18"/>
          <w:color w:val="auto"/>
        </w:rPr>
        <w:t>” means the greater of (a) $5.00 and (b) the 10-Trading Day volume-weighted average Closing Price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19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12" w:lineRule="exact"/>
        <w:rPr>
          <w:sz w:val="20"/>
          <w:szCs w:val="20"/>
          <w:color w:val="auto"/>
        </w:rPr>
      </w:pPr>
    </w:p>
    <w:p>
      <w:pPr>
        <w:jc w:val="both"/>
        <w:ind w:firstLine="145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instruments commonly known as “securities” or any certificates of interest, shares or participations in temporary or interim certificates for the purchase or acquisition of, or any right to subscribe to, purchase or acquire,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“Securities” shall not include any earn-out agreement or obligation or any employee bonus or other incentive compensation plan or agreement.</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means any shares of preferred stock of the Company designated as “Series A Preferred Stock” with a par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$0.0001.</w:t>
      </w:r>
    </w:p>
    <w:p>
      <w:pPr>
        <w:spacing w:after="0" w:line="1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145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Voting Power</w:t>
      </w:r>
      <w:r>
        <w:rPr>
          <w:rFonts w:ascii="Times New Roman" w:cs="Times New Roman" w:eastAsia="Times New Roman" w:hAnsi="Times New Roman"/>
          <w:sz w:val="18"/>
          <w:szCs w:val="18"/>
          <w:color w:val="auto"/>
        </w:rPr>
        <w:t>” means the aggregate number of votes which may be cast by holders of the Company’s Voting Stock, with the calculation of such aggregate number of votes being conclusively made for all purposes under this Certificate and the Certificate of Incorporation, absent manifest error, by the Company based on the Company’s review of the Register, the Company’s other books and records, each holder’s public filings pursuant to Section 13 or Section 16 of the Exchange Act and any other written evidence satisfactory to the Company regarding any holder’s beneficial ownership of any securities of the Company.</w:t>
      </w:r>
    </w:p>
    <w:p>
      <w:pPr>
        <w:spacing w:after="0" w:line="170" w:lineRule="exact"/>
        <w:rPr>
          <w:sz w:val="20"/>
          <w:szCs w:val="20"/>
          <w:color w:val="auto"/>
        </w:rPr>
      </w:pPr>
    </w:p>
    <w:p>
      <w:pPr>
        <w:jc w:val="both"/>
        <w:ind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19.99% of the number of shares of Common Stock outstanding immediately after giving effect to the issuance of shares of Common Stock pursuant to an applicable Conversion Right.</w:t>
      </w:r>
    </w:p>
    <w:p>
      <w:pPr>
        <w:spacing w:after="0" w:line="14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Nasdaq is open for trading.</w:t>
      </w:r>
    </w:p>
    <w:p>
      <w:pPr>
        <w:spacing w:after="0" w:line="212" w:lineRule="exact"/>
        <w:rPr>
          <w:sz w:val="20"/>
          <w:szCs w:val="20"/>
          <w:color w:val="auto"/>
        </w:rPr>
      </w:pPr>
    </w:p>
    <w:p>
      <w:pPr>
        <w:jc w:val="both"/>
        <w:ind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the Common Stock, the Series B Preferred Stock and any other capital stock of the Company having the right to vote generally in any election of directors of the Board of Directors.</w:t>
      </w:r>
    </w:p>
    <w:p>
      <w:pPr>
        <w:spacing w:after="0" w:line="148" w:lineRule="exact"/>
        <w:rPr>
          <w:sz w:val="20"/>
          <w:szCs w:val="20"/>
          <w:color w:val="auto"/>
        </w:rPr>
      </w:pPr>
    </w:p>
    <w:p>
      <w:pPr>
        <w:ind w:left="1440" w:hanging="622"/>
        <w:spacing w:after="0"/>
        <w:tabs>
          <w:tab w:leader="none" w:pos="14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jc w:val="both"/>
        <w:ind w:firstLine="1466"/>
        <w:spacing w:after="0" w:line="261" w:lineRule="auto"/>
        <w:tabs>
          <w:tab w:leader="none" w:pos="196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(including the Schedules hereto) together with that certain Investment Agreement, dated as of the date hereof, entered into by and among the Company and the parties set forth on Schedule I thereto (the “</w:t>
      </w:r>
      <w:r>
        <w:rPr>
          <w:rFonts w:ascii="Times New Roman" w:cs="Times New Roman" w:eastAsia="Times New Roman" w:hAnsi="Times New Roman"/>
          <w:sz w:val="18"/>
          <w:szCs w:val="18"/>
          <w:u w:val="single" w:color="auto"/>
          <w:color w:val="auto"/>
        </w:rPr>
        <w:t>Investment Agreement</w:t>
      </w:r>
      <w:r>
        <w:rPr>
          <w:rFonts w:ascii="Times New Roman" w:cs="Times New Roman" w:eastAsia="Times New Roman" w:hAnsi="Times New Roman"/>
          <w:sz w:val="18"/>
          <w:szCs w:val="18"/>
          <w:color w:val="auto"/>
        </w:rPr>
        <w:t>”), constitutes the full and entire understanding and agreement between the parties hereto with respect to the subject matter hereof, and any other written or oral agreement relating to the subject matter hereof existing between the parties are expressly canceled.</w:t>
      </w:r>
    </w:p>
    <w:p>
      <w:pPr>
        <w:spacing w:after="0" w:line="179" w:lineRule="exact"/>
        <w:rPr>
          <w:rFonts w:ascii="Times New Roman" w:cs="Times New Roman" w:eastAsia="Times New Roman" w:hAnsi="Times New Roman"/>
          <w:sz w:val="18"/>
          <w:szCs w:val="18"/>
          <w:color w:val="auto"/>
        </w:rPr>
      </w:pPr>
    </w:p>
    <w:p>
      <w:pPr>
        <w:ind w:left="2000" w:hanging="534"/>
        <w:spacing w:after="0"/>
        <w:tabs>
          <w:tab w:leader="none" w:pos="20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terms defined herein may, unless the context otherwise requires, be used in the singular or the plural, depending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w:t>
      </w:r>
    </w:p>
    <w:p>
      <w:pPr>
        <w:spacing w:after="0" w:line="206" w:lineRule="exact"/>
        <w:rPr>
          <w:rFonts w:ascii="Times New Roman" w:cs="Times New Roman" w:eastAsia="Times New Roman" w:hAnsi="Times New Roman"/>
          <w:sz w:val="18"/>
          <w:szCs w:val="18"/>
          <w:color w:val="auto"/>
        </w:rPr>
      </w:pPr>
    </w:p>
    <w:p>
      <w:pPr>
        <w:ind w:firstLine="1466"/>
        <w:spacing w:after="0" w:line="282" w:lineRule="auto"/>
        <w:tabs>
          <w:tab w:leader="none" w:pos="199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are for convenience only and shall not be given effect in interpreting this Certificate. References herein to any Section shall be to a Section hereof unless otherwise specifically provided.</w:t>
      </w:r>
    </w:p>
    <w:p>
      <w:pPr>
        <w:spacing w:after="0" w:line="148" w:lineRule="exact"/>
        <w:rPr>
          <w:rFonts w:ascii="Times New Roman" w:cs="Times New Roman" w:eastAsia="Times New Roman" w:hAnsi="Times New Roman"/>
          <w:sz w:val="18"/>
          <w:szCs w:val="18"/>
          <w:color w:val="auto"/>
        </w:rPr>
      </w:pPr>
    </w:p>
    <w:p>
      <w:pPr>
        <w:jc w:val="both"/>
        <w:ind w:firstLine="1466"/>
        <w:spacing w:after="0" w:line="258" w:lineRule="auto"/>
        <w:tabs>
          <w:tab w:leader="none" w:pos="197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law shall mean such law, including all rules and regulations promulgated under or implementing such law, as amended from time to time and any successor law unless otherwise specifically provided. Except as otherwise stated in this Certificate, references in this Certificate to any contract(s) or written agreement(s) shall mean such contract or written agreement as in effect on the Initial Issue Date, regardless of any subsequent replacement, refunding, refinancing, extension, renewal, restatement, amendment, supplement or modification thereof or thereto and regardless of whether the Company is, remains, was, or has ever been, a party thereto.</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ind w:firstLine="1466"/>
        <w:spacing w:after="0" w:line="282" w:lineRule="auto"/>
        <w:tabs>
          <w:tab w:leader="none" w:pos="187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“hereof,” “herein” and “hereunder” and words of similar import, when used in this Certificate, refer to this Certificate as a whole (including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not to any particular provision of this Certificate.</w:t>
      </w:r>
    </w:p>
    <w:p>
      <w:pPr>
        <w:spacing w:after="0" w:line="148" w:lineRule="exact"/>
        <w:rPr>
          <w:rFonts w:ascii="Times New Roman" w:cs="Times New Roman" w:eastAsia="Times New Roman" w:hAnsi="Times New Roman"/>
          <w:sz w:val="18"/>
          <w:szCs w:val="18"/>
          <w:color w:val="auto"/>
        </w:rPr>
      </w:pPr>
    </w:p>
    <w:p>
      <w:pPr>
        <w:ind w:left="1980" w:hanging="514"/>
        <w:spacing w:after="0"/>
        <w:tabs>
          <w:tab w:leader="none" w:pos="1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masculine, feminine or neuter gender or the singular or plural form of words shall not limit any provisions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w:t>
      </w:r>
    </w:p>
    <w:p>
      <w:pPr>
        <w:spacing w:after="0" w:line="206" w:lineRule="exact"/>
        <w:rPr>
          <w:rFonts w:ascii="Times New Roman" w:cs="Times New Roman" w:eastAsia="Times New Roman" w:hAnsi="Times New Roman"/>
          <w:sz w:val="18"/>
          <w:szCs w:val="18"/>
          <w:color w:val="auto"/>
        </w:rPr>
      </w:pPr>
    </w:p>
    <w:p>
      <w:pPr>
        <w:ind w:firstLine="1466"/>
        <w:spacing w:after="0" w:line="282" w:lineRule="auto"/>
        <w:tabs>
          <w:tab w:leader="none" w:pos="19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words “include,” “includes,” or “including” are used in this Agreement, they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jc w:val="both"/>
        <w:ind w:firstLine="1466"/>
        <w:spacing w:after="0" w:line="266" w:lineRule="auto"/>
        <w:tabs>
          <w:tab w:leader="none" w:pos="200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“will” shall be construed to have the same meaning as the word “shall.” With respect to the determination of any period of time, “from” shall mean “from and including.” The word “or” shall not be exclusive. The word “extent” in the phrase “to the extent” shall mean the degree to which a subject or other thing extends, and such phrase shall not mean simply “if.”</w:t>
      </w:r>
    </w:p>
    <w:p>
      <w:pPr>
        <w:spacing w:after="0" w:line="162" w:lineRule="exact"/>
        <w:rPr>
          <w:rFonts w:ascii="Times New Roman" w:cs="Times New Roman" w:eastAsia="Times New Roman" w:hAnsi="Times New Roman"/>
          <w:sz w:val="18"/>
          <w:szCs w:val="18"/>
          <w:color w:val="auto"/>
        </w:rPr>
      </w:pPr>
    </w:p>
    <w:p>
      <w:pPr>
        <w:ind w:left="1960" w:hanging="494"/>
        <w:spacing w:after="0"/>
        <w:tabs>
          <w:tab w:leader="none" w:pos="1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 currency, monetary values and dollars set forth herein shall mean U.S. dollars.</w:t>
      </w:r>
    </w:p>
    <w:p>
      <w:pPr>
        <w:spacing w:after="0" w:line="211" w:lineRule="exact"/>
        <w:rPr>
          <w:rFonts w:ascii="Times New Roman" w:cs="Times New Roman" w:eastAsia="Times New Roman" w:hAnsi="Times New Roman"/>
          <w:sz w:val="18"/>
          <w:szCs w:val="18"/>
          <w:color w:val="auto"/>
        </w:rPr>
      </w:pPr>
    </w:p>
    <w:p>
      <w:pPr>
        <w:jc w:val="both"/>
        <w:ind w:firstLine="1466"/>
        <w:spacing w:after="0" w:line="266" w:lineRule="auto"/>
        <w:tabs>
          <w:tab w:leader="none" w:pos="192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terms of this Certificate refer to a specific agreement or other document or a decision by any body or Person that determines the meaning or operation of a provision hereof, the secretary of the Company shall maintain a copy of such agreement, document or decision at the principal executive offices of the Company and a copy thereof shall be provided free of charge to any Holder who makes a request therefor.</w:t>
      </w:r>
    </w:p>
    <w:p>
      <w:pPr>
        <w:spacing w:after="0" w:line="162" w:lineRule="exact"/>
        <w:rPr>
          <w:rFonts w:ascii="Times New Roman" w:cs="Times New Roman" w:eastAsia="Times New Roman" w:hAnsi="Times New Roman"/>
          <w:sz w:val="18"/>
          <w:szCs w:val="18"/>
          <w:color w:val="auto"/>
        </w:rPr>
      </w:pPr>
    </w:p>
    <w:p>
      <w:pPr>
        <w:jc w:val="both"/>
        <w:ind w:firstLine="1466"/>
        <w:spacing w:after="0" w:line="256" w:lineRule="auto"/>
        <w:tabs>
          <w:tab w:leader="none" w:pos="197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notifies the Holders that the Company requests an amendment to any provision hereof to eliminate the effect of any change occurring after the Initial Issue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7"/>
          <w:szCs w:val="17"/>
          <w:color w:val="auto"/>
        </w:rPr>
        <w:t>IN WITNESS WHEREOF, the Company has caused this Certificate to be signed by a duly authorized officer this 2nd day of October, 2024.</w:t>
      </w:r>
    </w:p>
    <w:p>
      <w:pPr>
        <w:spacing w:after="0" w:line="21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ind w:left="4720"/>
        <w:spacing w:after="0"/>
        <w:tabs>
          <w:tab w:leader="none" w:pos="5180" w:val="left"/>
        </w:tabs>
        <w:rPr>
          <w:sz w:val="20"/>
          <w:szCs w:val="20"/>
          <w:color w:val="auto"/>
        </w:rPr>
      </w:pPr>
      <w:r>
        <w:rPr>
          <w:rFonts w:ascii="Times New Roman" w:cs="Times New Roman" w:eastAsia="Times New Roman" w:hAnsi="Times New Roman"/>
          <w:sz w:val="18"/>
          <w:szCs w:val="18"/>
          <w:color w:val="auto"/>
        </w:rPr>
        <w:t>By:</w:t>
        <w:tab/>
        <w:t>/s/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3298825</wp:posOffset>
            </wp:positionH>
            <wp:positionV relativeFrom="paragraph">
              <wp:posOffset>26035</wp:posOffset>
            </wp:positionV>
            <wp:extent cx="331724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3317240" cy="17145"/>
                    </a:xfrm>
                    <a:prstGeom prst="rect">
                      <a:avLst/>
                    </a:prstGeom>
                    <a:noFill/>
                  </pic:spPr>
                </pic:pic>
              </a:graphicData>
            </a:graphic>
          </wp:anchor>
        </w:drawing>
      </w:r>
    </w:p>
    <w:p>
      <w:pPr>
        <w:spacing w:after="0" w:line="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9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B Certificate of Designation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267335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140" w:top="121" w:right="67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Schedule I</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57785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WARRANT ASSUMPTION AGREEMENT</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This Warrant Assumption Agreement (this “</w:t>
      </w:r>
      <w:r>
        <w:rPr>
          <w:rFonts w:ascii="Times New Roman" w:cs="Times New Roman" w:eastAsia="Times New Roman" w:hAnsi="Times New Roman"/>
          <w:sz w:val="18"/>
          <w:szCs w:val="18"/>
          <w:u w:val="single" w:color="auto"/>
          <w:color w:val="auto"/>
        </w:rPr>
        <w:t>Warrant Assumption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is entered into as of October 2, 2024, by and among Learn CW Investment Corporation, a Cayman Islands exempted company (“</w:t>
      </w:r>
      <w:r>
        <w:rPr>
          <w:rFonts w:ascii="Times New Roman" w:cs="Times New Roman" w:eastAsia="Times New Roman" w:hAnsi="Times New Roman"/>
          <w:sz w:val="18"/>
          <w:szCs w:val="18"/>
          <w:u w:val="single" w:color="auto"/>
          <w:color w:val="auto"/>
        </w:rPr>
        <w:t>Learn CW</w:t>
      </w:r>
      <w:r>
        <w:rPr>
          <w:rFonts w:ascii="Times New Roman" w:cs="Times New Roman" w:eastAsia="Times New Roman" w:hAnsi="Times New Roman"/>
          <w:sz w:val="18"/>
          <w:szCs w:val="18"/>
          <w:color w:val="auto"/>
        </w:rPr>
        <w:t>”), Learn SPAC HoldCo, Inc., a Delaware corporation and direct, wholly owned subsidiary of Learn CW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and Equiniti Trust Company, LLC (f/k/a American Stock Transfer &amp; Stock Company, LLC), a New York limited liability company (the “</w:t>
      </w:r>
      <w:r>
        <w:rPr>
          <w:rFonts w:ascii="Times New Roman" w:cs="Times New Roman" w:eastAsia="Times New Roman" w:hAnsi="Times New Roman"/>
          <w:sz w:val="18"/>
          <w:szCs w:val="18"/>
          <w:u w:val="single" w:color="auto"/>
          <w:color w:val="auto"/>
        </w:rPr>
        <w:t>Warrant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ent</w:t>
      </w:r>
      <w:r>
        <w:rPr>
          <w:rFonts w:ascii="Times New Roman" w:cs="Times New Roman" w:eastAsia="Times New Roman" w:hAnsi="Times New Roman"/>
          <w:sz w:val="18"/>
          <w:szCs w:val="18"/>
          <w:color w:val="auto"/>
        </w:rPr>
        <w:t>” and together with Learn CW and Holdco,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80" w:firstLine="486"/>
        <w:spacing w:after="0" w:line="312" w:lineRule="auto"/>
        <w:rPr>
          <w:sz w:val="20"/>
          <w:szCs w:val="20"/>
          <w:color w:val="auto"/>
        </w:rPr>
      </w:pPr>
      <w:r>
        <w:rPr>
          <w:rFonts w:ascii="Times New Roman" w:cs="Times New Roman" w:eastAsia="Times New Roman" w:hAnsi="Times New Roman"/>
          <w:sz w:val="17"/>
          <w:szCs w:val="17"/>
          <w:color w:val="auto"/>
        </w:rPr>
        <w:t>WHEREAS, Learn CW and the Warrant Agent are parties to that certain Warrant Agreement dated as of October 12, 2021 (the “</w:t>
      </w:r>
      <w:r>
        <w:rPr>
          <w:rFonts w:ascii="Times New Roman" w:cs="Times New Roman" w:eastAsia="Times New Roman" w:hAnsi="Times New Roman"/>
          <w:sz w:val="17"/>
          <w:szCs w:val="17"/>
          <w:u w:val="single" w:color="auto"/>
          <w:color w:val="auto"/>
        </w:rPr>
        <w:t>Existin</w:t>
      </w:r>
      <w:r>
        <w:rPr>
          <w:rFonts w:ascii="Times New Roman" w:cs="Times New Roman" w:eastAsia="Times New Roman" w:hAnsi="Times New Roman"/>
          <w:sz w:val="17"/>
          <w:szCs w:val="17"/>
          <w:color w:val="auto"/>
        </w:rPr>
        <w:t xml:space="preserve">g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capitalized terms used but not otherwise defined herein shall have the meanings given to such terms in the Existing Warrant Agreement);</w:t>
      </w:r>
    </w:p>
    <w:p>
      <w:pPr>
        <w:spacing w:after="0" w:line="140"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WHEREAS, pursuant to the Business Combination Agreement, dated as of October 24, 2023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by and among Learn CW, Holdco, LCW Merger Sub, Inc., a Delaware corporation and direct, wholly-owned subsidiary of Holdco (“</w:t>
      </w:r>
      <w:r>
        <w:rPr>
          <w:rFonts w:ascii="Times New Roman" w:cs="Times New Roman" w:eastAsia="Times New Roman" w:hAnsi="Times New Roman"/>
          <w:sz w:val="18"/>
          <w:szCs w:val="18"/>
          <w:u w:val="single" w:color="auto"/>
          <w:color w:val="auto"/>
        </w:rPr>
        <w:t>LCW Merger Sub</w:t>
      </w:r>
      <w:r>
        <w:rPr>
          <w:rFonts w:ascii="Times New Roman" w:cs="Times New Roman" w:eastAsia="Times New Roman" w:hAnsi="Times New Roman"/>
          <w:sz w:val="18"/>
          <w:szCs w:val="18"/>
          <w:color w:val="auto"/>
        </w:rPr>
        <w:t>”), Innventure LLC, a Delaware limited liability company (“</w:t>
      </w:r>
      <w:r>
        <w:rPr>
          <w:rFonts w:ascii="Times New Roman" w:cs="Times New Roman" w:eastAsia="Times New Roman" w:hAnsi="Times New Roman"/>
          <w:sz w:val="18"/>
          <w:szCs w:val="18"/>
          <w:u w:val="single" w:color="auto"/>
          <w:color w:val="auto"/>
        </w:rPr>
        <w:t>Innventure</w:t>
      </w:r>
      <w:r>
        <w:rPr>
          <w:rFonts w:ascii="Times New Roman" w:cs="Times New Roman" w:eastAsia="Times New Roman" w:hAnsi="Times New Roman"/>
          <w:sz w:val="18"/>
          <w:szCs w:val="18"/>
          <w:color w:val="auto"/>
        </w:rPr>
        <w:t>”), and Innventure Merger Sub, LLC, a Delaware limited liability company and direct, wholly-owned subsidiary of Holdco (“</w:t>
      </w:r>
      <w:r>
        <w:rPr>
          <w:rFonts w:ascii="Times New Roman" w:cs="Times New Roman" w:eastAsia="Times New Roman" w:hAnsi="Times New Roman"/>
          <w:sz w:val="18"/>
          <w:szCs w:val="18"/>
          <w:u w:val="single" w:color="auto"/>
          <w:color w:val="auto"/>
        </w:rPr>
        <w:t>Innventure Merger Sub</w:t>
      </w:r>
      <w:r>
        <w:rPr>
          <w:rFonts w:ascii="Times New Roman" w:cs="Times New Roman" w:eastAsia="Times New Roman" w:hAnsi="Times New Roman"/>
          <w:sz w:val="18"/>
          <w:szCs w:val="18"/>
          <w:color w:val="auto"/>
        </w:rPr>
        <w:t>” and, together with LCW Merger Sub, the “</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 subject to the terms and conditions set forth therein, at the closing of the Transactions, as defined herein (the “</w:t>
      </w:r>
      <w:r>
        <w:rPr>
          <w:rFonts w:ascii="Times New Roman" w:cs="Times New Roman" w:eastAsia="Times New Roman" w:hAnsi="Times New Roman"/>
          <w:sz w:val="18"/>
          <w:szCs w:val="18"/>
          <w:u w:val="single" w:color="auto"/>
          <w:color w:val="auto"/>
        </w:rPr>
        <w:t>Closin</w:t>
      </w:r>
      <w:r>
        <w:rPr>
          <w:rFonts w:ascii="Times New Roman" w:cs="Times New Roman" w:eastAsia="Times New Roman" w:hAnsi="Times New Roman"/>
          <w:sz w:val="18"/>
          <w:szCs w:val="18"/>
          <w:color w:val="auto"/>
        </w:rPr>
        <w:t>g”), among other things, (a) LCW Merger Sub will merge with and into Learn CW (the “</w:t>
      </w:r>
      <w:r>
        <w:rPr>
          <w:rFonts w:ascii="Times New Roman" w:cs="Times New Roman" w:eastAsia="Times New Roman" w:hAnsi="Times New Roman"/>
          <w:sz w:val="18"/>
          <w:szCs w:val="18"/>
          <w:u w:val="single" w:color="auto"/>
          <w:color w:val="auto"/>
        </w:rPr>
        <w:t>Learn CW Merger</w:t>
      </w:r>
      <w:r>
        <w:rPr>
          <w:rFonts w:ascii="Times New Roman" w:cs="Times New Roman" w:eastAsia="Times New Roman" w:hAnsi="Times New Roman"/>
          <w:sz w:val="18"/>
          <w:szCs w:val="18"/>
          <w:color w:val="auto"/>
        </w:rPr>
        <w:t>”), with Learn CW as the surviving entity of the Learn CW Merger and (b) Innventure Merger Sub will merge with and into Innventure (the “</w:t>
      </w:r>
      <w:r>
        <w:rPr>
          <w:rFonts w:ascii="Times New Roman" w:cs="Times New Roman" w:eastAsia="Times New Roman" w:hAnsi="Times New Roman"/>
          <w:sz w:val="18"/>
          <w:szCs w:val="18"/>
          <w:u w:val="single" w:color="auto"/>
          <w:color w:val="auto"/>
        </w:rPr>
        <w:t>Innventure Merger</w:t>
      </w:r>
      <w:r>
        <w:rPr>
          <w:rFonts w:ascii="Times New Roman" w:cs="Times New Roman" w:eastAsia="Times New Roman" w:hAnsi="Times New Roman"/>
          <w:sz w:val="18"/>
          <w:szCs w:val="18"/>
          <w:color w:val="auto"/>
        </w:rPr>
        <w:t>” and together with the Learn CW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Innventure as the surviving company of the Innventure Merger (the consummation of the Mergers and the other transactions contemplated in the Business Combination Agreement are referred to herein as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Following the Mergers, each of Learn CW and Innventure will be a subsidiary of Holdco, and Holdco will become a publicly traded company and change its name to “Innventure, Inc.”;</w:t>
      </w:r>
    </w:p>
    <w:p>
      <w:pPr>
        <w:spacing w:after="0" w:line="194"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WHEREAS, pursuant to the terms and conditions set forth in the Business Combination Agreement, at the effective time of the LCW Merger (the “</w:t>
      </w:r>
      <w:r>
        <w:rPr>
          <w:rFonts w:ascii="Times New Roman" w:cs="Times New Roman" w:eastAsia="Times New Roman" w:hAnsi="Times New Roman"/>
          <w:sz w:val="18"/>
          <w:szCs w:val="18"/>
          <w:u w:val="single" w:color="auto"/>
          <w:color w:val="auto"/>
        </w:rPr>
        <w:t>LCW Merger Effective Time</w:t>
      </w:r>
      <w:r>
        <w:rPr>
          <w:rFonts w:ascii="Times New Roman" w:cs="Times New Roman" w:eastAsia="Times New Roman" w:hAnsi="Times New Roman"/>
          <w:sz w:val="18"/>
          <w:szCs w:val="18"/>
          <w:color w:val="auto"/>
        </w:rPr>
        <w:t>”), by virtue of the LCW Merger and without any further action on the part of any Party hereto or the Registered Holders, Holdco shall assume the Existing Warrant Agreement pursuant to the terms set forth herein;</w:t>
      </w:r>
    </w:p>
    <w:p>
      <w:pPr>
        <w:spacing w:after="0" w:line="17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 xml:space="preserve">WHEREAS,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of the Existing Warrant Agreement provides that Learn CW and the Warrant Agent may amend the Existing Warrant Agreement without the consent of any Registered Holder for the purpose of curing any ambiguity contained in the Existing Warrant Agreement, including to conform the provisions of the Existing Warrant Agreement to the description of the terms of the Warrants, or adding or changing any provisions with respect to matters or questions arising under the Existing Warrant Agreement as the Parties may deem necessary or desirable and that the Parties deem shall not adversely affect the interests of the Registered Holders under the Existing Warrant Agreement;</w:t>
      </w:r>
    </w:p>
    <w:p>
      <w:pPr>
        <w:spacing w:after="0" w:line="183" w:lineRule="exact"/>
        <w:rPr>
          <w:sz w:val="20"/>
          <w:szCs w:val="20"/>
          <w:color w:val="auto"/>
        </w:rPr>
      </w:pPr>
    </w:p>
    <w:p>
      <w:pPr>
        <w:ind w:firstLine="486"/>
        <w:spacing w:after="0" w:line="273" w:lineRule="auto"/>
        <w:rPr>
          <w:sz w:val="20"/>
          <w:szCs w:val="20"/>
          <w:color w:val="auto"/>
        </w:rPr>
      </w:pPr>
      <w:r>
        <w:rPr>
          <w:rFonts w:ascii="Times New Roman" w:cs="Times New Roman" w:eastAsia="Times New Roman" w:hAnsi="Times New Roman"/>
          <w:sz w:val="17"/>
          <w:szCs w:val="17"/>
          <w:color w:val="auto"/>
        </w:rPr>
        <w:t xml:space="preserve">WHEREAS, pursuant to the terms and conditions of each of the Existing Warrant Agreement and the Business Combination Agreement, at the LCW Merger Effective Time, by virtue of the LCW Merger and without any action on the part of any Registered Holders, each Warrant that is outstanding immediately prior to the LCW Merger Effective Time shall, pursuant to and in accordance with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of the Existing Warrant Agreement, automatically and irrevocably be modified to provide that such Warrant shall no longer entitle the holder thereof to purchase the number of Ordinary Shares set forth therein and in substitution thereof such Warrant shall entitle the holder thereof to acquire such number of shares of common stock of Holdco, par value $0.0001 per share (“</w:t>
      </w:r>
      <w:r>
        <w:rPr>
          <w:rFonts w:ascii="Times New Roman" w:cs="Times New Roman" w:eastAsia="Times New Roman" w:hAnsi="Times New Roman"/>
          <w:sz w:val="17"/>
          <w:szCs w:val="17"/>
          <w:u w:val="single" w:color="auto"/>
          <w:color w:val="auto"/>
        </w:rPr>
        <w:t>Holdco Common Stock</w:t>
      </w:r>
      <w:r>
        <w:rPr>
          <w:rFonts w:ascii="Times New Roman" w:cs="Times New Roman" w:eastAsia="Times New Roman" w:hAnsi="Times New Roman"/>
          <w:sz w:val="17"/>
          <w:szCs w:val="17"/>
          <w:color w:val="auto"/>
        </w:rPr>
        <w:t xml:space="preserve">”), per Warrant, subject to adjustments as provided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and the last sentence of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of the Existing Warrant Agreement, that such holder would have received pursuant to the terms and conditions of the Existing Warrant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6" w:name="page77"/>
    <w:bookmarkEnd w:id="76"/>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WHEREAS, as a result of this Warrant Assumption Agreement, each Warrant outstanding immediately prior to the LCW Merger Effective Time will be exchanged for a warrant to purchase Holdco Common Stock pursuant to the terms and conditions of the Existing Warrant Agreement.</w:t>
      </w:r>
    </w:p>
    <w:p>
      <w:pPr>
        <w:spacing w:after="0" w:line="162"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sufficiency of which are hereby acknowledged, Learn CW, Holdco and the Warrant Agent hereby agree as follows:</w:t>
      </w:r>
    </w:p>
    <w:p>
      <w:pPr>
        <w:spacing w:after="0" w:line="162" w:lineRule="exact"/>
        <w:rPr>
          <w:sz w:val="20"/>
          <w:szCs w:val="20"/>
          <w:color w:val="auto"/>
        </w:rPr>
      </w:pPr>
    </w:p>
    <w:p>
      <w:pPr>
        <w:ind w:left="220" w:hanging="212"/>
        <w:spacing w:after="0"/>
        <w:tabs>
          <w:tab w:leader="none" w:pos="2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494"/>
        <w:spacing w:after="0" w:line="258" w:lineRule="auto"/>
        <w:tabs>
          <w:tab w:leader="none" w:pos="86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and subject to the occurrence of the LCW Merger Effective Time, Learn CW hereby assigns, and Holdco hereby assumes, the rights and obligations of Learn CW under the Existing Warrant Agreement and the Warrants, and Holdco hereby agrees to faithfully perform, satisfy and discharge when due, the liabilities and obligations of Learn CW under the Existing Warrant Agreement and the Warrants. As a result of the preceding sentence, upon and subject to the occurrence of the LCW Merger Effective Time, each Warrant will be exchanged for a warrant to purchase Holdco Common Stock pursuant to the terms and conditions of the Existing Warrant Agreement.</w:t>
      </w:r>
    </w:p>
    <w:p>
      <w:pPr>
        <w:spacing w:after="0" w:line="183" w:lineRule="exact"/>
        <w:rPr>
          <w:rFonts w:ascii="Times New Roman" w:cs="Times New Roman" w:eastAsia="Times New Roman" w:hAnsi="Times New Roman"/>
          <w:sz w:val="18"/>
          <w:szCs w:val="18"/>
          <w:color w:val="auto"/>
        </w:rPr>
      </w:pPr>
    </w:p>
    <w:p>
      <w:pPr>
        <w:ind w:right="100" w:firstLine="494"/>
        <w:spacing w:after="0" w:line="266" w:lineRule="auto"/>
        <w:tabs>
          <w:tab w:leader="none" w:pos="87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Assumption Agreement is being executed and delivered pursuant and subject to the Existing Warrant Agreement. Nothing in this Warrant Assumption Agreement shall, or shall be deemed to, defeat, limit, alter, impair, enhance or enlarge any right, obligation, claim or remedy created by the Existing Warrant Agreement or any other document or instrument delivered pursuant to or in connection with it.</w:t>
      </w:r>
    </w:p>
    <w:p>
      <w:pPr>
        <w:spacing w:after="0" w:line="17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Existing Warrant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100" w:firstLine="494"/>
        <w:spacing w:after="0" w:line="261" w:lineRule="auto"/>
        <w:tabs>
          <w:tab w:leader="none" w:pos="86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Learn CW, Holdco, and the Warrant Agent hereby amend the Existing Warrant Agreement as provided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effective immediately prior to the LCW Merger Effective Time and conditions on the occurrence of the Closing, and acknowledge and agree that the amendments to the Existing Warrant Agreement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are necessary or desirable and that such amendments do not adversely affect the interests of the Registered Holders.</w:t>
      </w:r>
    </w:p>
    <w:p>
      <w:pPr>
        <w:spacing w:after="0" w:line="179" w:lineRule="exact"/>
        <w:rPr>
          <w:rFonts w:ascii="Times New Roman" w:cs="Times New Roman" w:eastAsia="Times New Roman" w:hAnsi="Times New Roman"/>
          <w:sz w:val="18"/>
          <w:szCs w:val="18"/>
          <w:color w:val="auto"/>
        </w:rPr>
      </w:pPr>
    </w:p>
    <w:p>
      <w:pPr>
        <w:ind w:firstLine="494"/>
        <w:spacing w:after="0" w:line="266" w:lineRule="auto"/>
        <w:tabs>
          <w:tab w:leader="none" w:pos="87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“Learn CW Investment Corporation., a Cayman Islands exempted company” in the Existing Warrant Agreement (including all Exhibits thereto) shall refer instead to “Innventure, Inc., a Delaware corporation.” As a result thereof, all references to the “Company” in the Existing Warrant Agreement shall be references to Innventure, Inc. or Holdco rather than to Learn CW Investment Corporation.</w:t>
      </w:r>
    </w:p>
    <w:p>
      <w:pPr>
        <w:spacing w:after="0" w:line="175" w:lineRule="exact"/>
        <w:rPr>
          <w:rFonts w:ascii="Times New Roman" w:cs="Times New Roman" w:eastAsia="Times New Roman" w:hAnsi="Times New Roman"/>
          <w:sz w:val="18"/>
          <w:szCs w:val="18"/>
          <w:color w:val="auto"/>
        </w:rPr>
      </w:pPr>
    </w:p>
    <w:p>
      <w:pPr>
        <w:ind w:right="100" w:firstLine="494"/>
        <w:spacing w:after="0" w:line="261" w:lineRule="auto"/>
        <w:tabs>
          <w:tab w:leader="none" w:pos="86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 to Ordinary Shares</w:t>
      </w:r>
      <w:r>
        <w:rPr>
          <w:rFonts w:ascii="Times New Roman" w:cs="Times New Roman" w:eastAsia="Times New Roman" w:hAnsi="Times New Roman"/>
          <w:sz w:val="18"/>
          <w:szCs w:val="18"/>
          <w:color w:val="auto"/>
        </w:rPr>
        <w:t>. All references to “Class A ordinary shares” of Learn CW and “$0.0001 par value” in the Existing Warrant Agreement shall refer instead to “shares of common stock” of Holdco and “par value of $0.0001 per share”, respectively. As a result thereof, all references to “Ordinary Shares” in the Existing Warrant Agreement shall be references to Holdco’s Common Stock rather than to Learn CW’s Class A ordinary shares.</w:t>
      </w:r>
    </w:p>
    <w:p>
      <w:pPr>
        <w:spacing w:after="0" w:line="179" w:lineRule="exact"/>
        <w:rPr>
          <w:rFonts w:ascii="Times New Roman" w:cs="Times New Roman" w:eastAsia="Times New Roman" w:hAnsi="Times New Roman"/>
          <w:sz w:val="18"/>
          <w:szCs w:val="18"/>
          <w:color w:val="auto"/>
        </w:rPr>
      </w:pPr>
    </w:p>
    <w:p>
      <w:pPr>
        <w:ind w:right="180" w:firstLine="494"/>
        <w:spacing w:after="0" w:line="282" w:lineRule="auto"/>
        <w:tabs>
          <w:tab w:leader="none" w:pos="87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The address for notices to Learn CW set forth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of the Existing Warrant Assumption Agreement is hereby amended in its entirety as follows:</w:t>
      </w:r>
    </w:p>
    <w:p>
      <w:pPr>
        <w:spacing w:after="0" w:line="16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Innventure, Inc.</w:t>
      </w:r>
    </w:p>
    <w:p>
      <w:pPr>
        <w:spacing w:after="0" w:line="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6900 Tavistock Lakes Blvd, Suite 400</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Attn: Bill Haskell; Roland Austrup and Suzanne Niemeyer</w:t>
      </w:r>
    </w:p>
    <w:p>
      <w:pPr>
        <w:spacing w:after="0" w:line="20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Jones Day</w:t>
      </w:r>
    </w:p>
    <w:p>
      <w:pPr>
        <w:spacing w:after="0" w:line="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1221 Peachtree Street, N.E., Suite 400</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Atlanta, Georgia 30361</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Attn: Thomas Short</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7" w:name="page78"/>
    <w:bookmarkEnd w:id="77"/>
    <w:p>
      <w:pPr>
        <w:ind w:left="880" w:hanging="386"/>
        <w:spacing w:after="0"/>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Detachability of Warrants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of the Existing Warrant Agreement is hereby deleted and replaced with the following:</w:t>
      </w:r>
    </w:p>
    <w:p>
      <w:pPr>
        <w:spacing w:after="0" w:line="225"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the Existing Warrant Agreement is hereby deleted and replaced with the following:</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shall not issue fractional Warrants. If a holder of Warrants would be entitled to receive a fractional Warrant, the Company shall round down to the nearest whole number the number of Warrants to be issued to such holder.”</w:t>
      </w:r>
    </w:p>
    <w:p>
      <w:pPr>
        <w:spacing w:after="0" w:line="162" w:lineRule="exact"/>
        <w:rPr>
          <w:sz w:val="20"/>
          <w:szCs w:val="20"/>
          <w:color w:val="auto"/>
        </w:rPr>
      </w:pPr>
    </w:p>
    <w:p>
      <w:pPr>
        <w:ind w:left="880" w:hanging="386"/>
        <w:spacing w:after="0"/>
        <w:tabs>
          <w:tab w:leader="none" w:pos="8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of the Existing Warrant Agreement is hereby deleted and replaced with the following:</w:t>
      </w:r>
    </w:p>
    <w:p>
      <w:pPr>
        <w:spacing w:after="0" w:line="225"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880" w:hanging="386"/>
        <w:spacing w:after="0"/>
        <w:tabs>
          <w:tab w:leader="none" w:pos="8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of the Existing Warrant Agreement is hereby deleted and replaced with the following:</w:t>
      </w:r>
    </w:p>
    <w:p>
      <w:pPr>
        <w:spacing w:after="0" w:line="225" w:lineRule="exact"/>
        <w:rPr>
          <w:sz w:val="20"/>
          <w:szCs w:val="20"/>
          <w:color w:val="auto"/>
        </w:rPr>
      </w:pPr>
    </w:p>
    <w:p>
      <w:pPr>
        <w:ind w:left="500" w:right="440" w:firstLine="486"/>
        <w:spacing w:after="0" w:line="282" w:lineRule="auto"/>
        <w:rPr>
          <w:sz w:val="20"/>
          <w:szCs w:val="20"/>
          <w:color w:val="auto"/>
        </w:rPr>
      </w:pPr>
      <w:r>
        <w:rPr>
          <w:rFonts w:ascii="Times New Roman" w:cs="Times New Roman" w:eastAsia="Times New Roman" w:hAnsi="Times New Roman"/>
          <w:sz w:val="18"/>
          <w:szCs w:val="18"/>
          <w:color w:val="auto"/>
        </w:rPr>
        <w:t>“The Warrant Agent shall not be required to effect any registration of transfer or exchange which shall result in the issuance of a warrant certificate or book-entry position for a fraction of a warrant.”</w:t>
      </w:r>
    </w:p>
    <w:p>
      <w:pPr>
        <w:spacing w:after="0" w:line="162" w:lineRule="exact"/>
        <w:rPr>
          <w:sz w:val="20"/>
          <w:szCs w:val="20"/>
          <w:color w:val="auto"/>
        </w:rPr>
      </w:pPr>
    </w:p>
    <w:p>
      <w:pPr>
        <w:ind w:left="220" w:hanging="212"/>
        <w:spacing w:after="0"/>
        <w:tabs>
          <w:tab w:leader="none" w:pos="2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494"/>
        <w:spacing w:after="0" w:line="255" w:lineRule="auto"/>
        <w:tabs>
          <w:tab w:leader="none" w:pos="86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Law and Jurisdiction</w:t>
      </w:r>
      <w:r>
        <w:rPr>
          <w:rFonts w:ascii="Times New Roman" w:cs="Times New Roman" w:eastAsia="Times New Roman" w:hAnsi="Times New Roman"/>
          <w:sz w:val="18"/>
          <w:szCs w:val="18"/>
          <w:color w:val="auto"/>
        </w:rPr>
        <w:t>. The validity, interpretation, and performance of this Warrant Assumption Agreement shall be governed in all respects by the laws of the State of New York. Subject to applicable law, Holdco hereby agrees that any action, proceeding or claim against it arising out of or relating in any way to this Warrant Assumption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Holdco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88" w:lineRule="exact"/>
        <w:rPr>
          <w:rFonts w:ascii="Times New Roman" w:cs="Times New Roman" w:eastAsia="Times New Roman" w:hAnsi="Times New Roman"/>
          <w:sz w:val="18"/>
          <w:szCs w:val="18"/>
          <w:color w:val="auto"/>
        </w:rPr>
      </w:pPr>
    </w:p>
    <w:p>
      <w:pPr>
        <w:ind w:right="80" w:firstLine="494"/>
        <w:spacing w:after="0" w:line="282" w:lineRule="auto"/>
        <w:tabs>
          <w:tab w:leader="none" w:pos="87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Bindin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This Warrant Assumption Agreement shall be binding upon and inure to the benefit of the Parties hereto and to their respective successors and assigns.</w:t>
      </w:r>
    </w:p>
    <w:p>
      <w:pPr>
        <w:spacing w:after="0" w:line="161" w:lineRule="exact"/>
        <w:rPr>
          <w:rFonts w:ascii="Times New Roman" w:cs="Times New Roman" w:eastAsia="Times New Roman" w:hAnsi="Times New Roman"/>
          <w:sz w:val="18"/>
          <w:szCs w:val="18"/>
          <w:color w:val="auto"/>
        </w:rPr>
      </w:pPr>
    </w:p>
    <w:p>
      <w:pPr>
        <w:ind w:right="60" w:firstLine="494"/>
        <w:spacing w:after="0" w:line="256" w:lineRule="auto"/>
        <w:tabs>
          <w:tab w:leader="none" w:pos="86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This Warrant Assumption Agreement sets forth the entire agreement and understanding between the Parties as to the subject matter thereof and merges and supersedes all prior discussions, agreements and understandings of any and every nature among them. Except as expressly set forth in this Warrant Assumption Agreement, provisions of the Existing Warrant Agreement which are not inconsistent with this Warrant Assumption Agreement shall remain in full force and effect. This Warrant Assumption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87" w:lineRule="exact"/>
        <w:rPr>
          <w:rFonts w:ascii="Times New Roman" w:cs="Times New Roman" w:eastAsia="Times New Roman" w:hAnsi="Times New Roman"/>
          <w:sz w:val="18"/>
          <w:szCs w:val="18"/>
          <w:color w:val="auto"/>
        </w:rPr>
      </w:pPr>
    </w:p>
    <w:p>
      <w:pPr>
        <w:ind w:right="40" w:firstLine="494"/>
        <w:spacing w:after="0" w:line="261" w:lineRule="auto"/>
        <w:tabs>
          <w:tab w:leader="none" w:pos="87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Warrant Assumption Agreement shall be deemed severable, and the invalidity or unenforceability of any term or provision hereof shall not affect the validity or enforceability of this Warrant Assumption Agreement or of any other term or provision hereof. Furthermore, in lieu of any such invalid or unenforceable term or provision, the Parties hereto intend that there shall be added as a part of this Warrant Assumption Agreement a provision as similar in terms to such invalid or unenforceable provision as may be possible and be valid and enforceable.</w:t>
      </w:r>
    </w:p>
    <w:p>
      <w:pPr>
        <w:spacing w:after="0" w:line="179" w:lineRule="exact"/>
        <w:rPr>
          <w:rFonts w:ascii="Times New Roman" w:cs="Times New Roman" w:eastAsia="Times New Roman" w:hAnsi="Times New Roman"/>
          <w:sz w:val="18"/>
          <w:szCs w:val="18"/>
          <w:color w:val="auto"/>
        </w:rPr>
      </w:pPr>
    </w:p>
    <w:p>
      <w:pPr>
        <w:ind w:right="20" w:firstLine="494"/>
        <w:spacing w:after="0" w:line="282" w:lineRule="auto"/>
        <w:tabs>
          <w:tab w:leader="none" w:pos="86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herein are for convenience only and are not part of this Warrant Assumption Agreement and shall not affect the interpretation thereof.</w:t>
      </w:r>
    </w:p>
    <w:p>
      <w:pPr>
        <w:spacing w:after="0" w:line="11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left="406" w:hanging="406"/>
        <w:spacing w:after="0"/>
        <w:tabs>
          <w:tab w:leader="none" w:pos="40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Assumption Agreement may not be amended, except by an instrument in writing signed by each Party hereto.</w:t>
      </w:r>
    </w:p>
    <w:p>
      <w:pPr>
        <w:spacing w:after="0" w:line="225" w:lineRule="exact"/>
        <w:rPr>
          <w:rFonts w:ascii="Times New Roman" w:cs="Times New Roman" w:eastAsia="Times New Roman" w:hAnsi="Times New Roman"/>
          <w:sz w:val="18"/>
          <w:szCs w:val="18"/>
          <w:color w:val="auto"/>
        </w:rPr>
      </w:pPr>
    </w:p>
    <w:p>
      <w:pPr>
        <w:ind w:left="-494" w:firstLine="494"/>
        <w:spacing w:after="0" w:line="255" w:lineRule="auto"/>
        <w:tabs>
          <w:tab w:leader="none" w:pos="38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and Electronic Signatures</w:t>
      </w:r>
      <w:r>
        <w:rPr>
          <w:rFonts w:ascii="Times New Roman" w:cs="Times New Roman" w:eastAsia="Times New Roman" w:hAnsi="Times New Roman"/>
          <w:sz w:val="18"/>
          <w:szCs w:val="18"/>
          <w:color w:val="auto"/>
        </w:rPr>
        <w:t>. This Warrant Assumption Agreement may be executed in any number of counterparts, each of which shall be deemed to be an original, but all such counterparts shall together constitute one and the same Warrant Assumption Agreement. The words “execution,” “signed,” “signature,” “delivery,” and words of like import in or relating to this Warrant Assumption Agreement or any document to be signed in connection with this Warrant Assumption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8" w:lineRule="exact"/>
        <w:rPr>
          <w:rFonts w:ascii="Times New Roman" w:cs="Times New Roman" w:eastAsia="Times New Roman" w:hAnsi="Times New Roman"/>
          <w:sz w:val="18"/>
          <w:szCs w:val="18"/>
          <w:color w:val="auto"/>
        </w:rPr>
      </w:pPr>
    </w:p>
    <w:p>
      <w:pPr>
        <w:jc w:val="both"/>
        <w:ind w:left="-494" w:right="100" w:firstLine="494"/>
        <w:spacing w:after="0" w:line="266" w:lineRule="auto"/>
        <w:tabs>
          <w:tab w:leader="none" w:pos="38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If the Business Combination Agreement is terminated in accordance with its terms before the LCW Merger Effective Time, this Warrant Assumption Agreement shall immediately terminate and cease to have any force or effect, without any liability on the part of any Party hereto, as if this Warrant Assumption Agreement had not been executed and delivered.</w:t>
      </w:r>
    </w:p>
    <w:p>
      <w:pPr>
        <w:spacing w:after="0" w:line="172" w:lineRule="exact"/>
        <w:rPr>
          <w:sz w:val="20"/>
          <w:szCs w:val="20"/>
          <w:color w:val="auto"/>
        </w:rPr>
      </w:pPr>
    </w:p>
    <w:p>
      <w:pPr>
        <w:ind w:left="4086"/>
        <w:spacing w:after="0"/>
        <w:rPr>
          <w:sz w:val="20"/>
          <w:szCs w:val="20"/>
          <w:color w:val="auto"/>
        </w:rPr>
      </w:pPr>
      <w:r>
        <w:rPr>
          <w:rFonts w:ascii="Times New Roman" w:cs="Times New Roman" w:eastAsia="Times New Roman" w:hAnsi="Times New Roman"/>
          <w:sz w:val="18"/>
          <w:szCs w:val="18"/>
          <w:b w:val="1"/>
          <w:bCs w:val="1"/>
          <w:i w:val="1"/>
          <w:iCs w:val="1"/>
          <w:color w:val="auto"/>
        </w:rPr>
        <w:t>[SIGNATURE PAGES FOLLOW]</w:t>
      </w:r>
    </w:p>
    <w:p>
      <w:pPr>
        <w:spacing w:after="0" w:line="40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6"/>
          </w:cols>
          <w:pgMar w:left="814" w:top="121"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this Warrant Assumption Agreement as of the date first written above.</w:t>
      </w:r>
    </w:p>
    <w:p>
      <w:pPr>
        <w:spacing w:after="0" w:line="2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22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26035</wp:posOffset>
            </wp:positionV>
            <wp:extent cx="335153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7" w:lineRule="exact"/>
        <w:rPr>
          <w:sz w:val="20"/>
          <w:szCs w:val="20"/>
          <w:color w:val="auto"/>
        </w:rPr>
      </w:pPr>
    </w:p>
    <w:p>
      <w:pPr>
        <w:ind w:left="514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22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26035</wp:posOffset>
            </wp:positionV>
            <wp:extent cx="335153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7" w:lineRule="exact"/>
        <w:rPr>
          <w:sz w:val="20"/>
          <w:szCs w:val="20"/>
          <w:color w:val="auto"/>
        </w:rPr>
      </w:pPr>
    </w:p>
    <w:p>
      <w:pPr>
        <w:ind w:left="514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p>
      <w:pPr>
        <w:spacing w:after="0" w:line="22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/s/ Carlos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26035</wp:posOffset>
            </wp:positionV>
            <wp:extent cx="335153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 Carlos Pinto</w:t>
      </w:r>
    </w:p>
    <w:p>
      <w:pPr>
        <w:spacing w:after="0" w:line="27" w:lineRule="exact"/>
        <w:rPr>
          <w:sz w:val="20"/>
          <w:szCs w:val="20"/>
          <w:color w:val="auto"/>
        </w:rPr>
      </w:pPr>
    </w:p>
    <w:p>
      <w:pPr>
        <w:ind w:left="514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Director</w:t>
      </w:r>
    </w:p>
    <w:p>
      <w:pPr>
        <w:spacing w:after="0" w:line="20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[Signature Page to Warrant Assumption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353060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39"/>
          </w:cols>
          <w:pgMar w:left="820" w:top="117" w:right="1440"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AMENDED AND RESTATED REGISTRATION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October 2, 2024, is made and entered into by and among Innventure, Inc. (f/k/a Learn SPAC HoldCo,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Learn CW Investment Corporation, a Cayman Islands exempted company with limited liability (the “</w:t>
      </w:r>
      <w:r>
        <w:rPr>
          <w:rFonts w:ascii="Times New Roman" w:cs="Times New Roman" w:eastAsia="Times New Roman" w:hAnsi="Times New Roman"/>
          <w:sz w:val="18"/>
          <w:szCs w:val="18"/>
          <w:b w:val="1"/>
          <w:bCs w:val="1"/>
          <w:color w:val="auto"/>
        </w:rPr>
        <w:t>SPAC</w:t>
      </w:r>
      <w:r>
        <w:rPr>
          <w:rFonts w:ascii="Times New Roman" w:cs="Times New Roman" w:eastAsia="Times New Roman" w:hAnsi="Times New Roman"/>
          <w:sz w:val="18"/>
          <w:szCs w:val="18"/>
          <w:color w:val="auto"/>
        </w:rPr>
        <w:t>”), CWAM LC Sponsor LLC, a Delaware limited liability company (together with its successors and permitted assigns,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and the undersigned parties listed under Existing Holders on the signature pages hereto (each such party, together with the Sponsor and any person or entity deemed an “Existing Holder,” an “</w:t>
      </w:r>
      <w:r>
        <w:rPr>
          <w:rFonts w:ascii="Times New Roman" w:cs="Times New Roman" w:eastAsia="Times New Roman" w:hAnsi="Times New Roman"/>
          <w:sz w:val="18"/>
          <w:szCs w:val="18"/>
          <w:b w:val="1"/>
          <w:bCs w:val="1"/>
          <w:color w:val="auto"/>
        </w:rPr>
        <w:t>Existing Holder</w:t>
      </w:r>
      <w:r>
        <w:rPr>
          <w:rFonts w:ascii="Times New Roman" w:cs="Times New Roman" w:eastAsia="Times New Roman" w:hAnsi="Times New Roman"/>
          <w:sz w:val="18"/>
          <w:szCs w:val="18"/>
          <w:color w:val="auto"/>
        </w:rPr>
        <w:t xml:space="preserve">”) and the undersigned parties listed under New Holders on the signature pages hereto (each such party, together with any person or entity deemed a “New Holder” who hereafter becomes a party to this Agreement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this Agreement, a “</w:t>
      </w:r>
      <w:r>
        <w:rPr>
          <w:rFonts w:ascii="Times New Roman" w:cs="Times New Roman" w:eastAsia="Times New Roman" w:hAnsi="Times New Roman"/>
          <w:sz w:val="18"/>
          <w:szCs w:val="18"/>
          <w:b w:val="1"/>
          <w:bCs w:val="1"/>
          <w:color w:val="auto"/>
        </w:rPr>
        <w:t>New Holder</w:t>
      </w:r>
      <w:r>
        <w:rPr>
          <w:rFonts w:ascii="Times New Roman" w:cs="Times New Roman" w:eastAsia="Times New Roman" w:hAnsi="Times New Roman"/>
          <w:sz w:val="18"/>
          <w:szCs w:val="18"/>
          <w:color w:val="auto"/>
        </w:rPr>
        <w:t>” and collectively with the Existing Holders,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Capitalized terms used but not otherwise defined in this Agreement shall have the meaning ascribed to such term in the Business Combination Agreement (as defined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SPAC and the Existing Holders are party to that certain Registration and Shareholders Rights Agreement, dated October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(the “</w:t>
      </w:r>
      <w:r>
        <w:rPr>
          <w:rFonts w:ascii="Times New Roman" w:cs="Times New Roman" w:eastAsia="Times New Roman" w:hAnsi="Times New Roman"/>
          <w:sz w:val="18"/>
          <w:szCs w:val="18"/>
          <w:b w:val="1"/>
          <w:bCs w:val="1"/>
          <w:color w:val="auto"/>
        </w:rPr>
        <w:t>Existing Registration Rights Agreement</w:t>
      </w:r>
      <w:r>
        <w:rPr>
          <w:rFonts w:ascii="Times New Roman" w:cs="Times New Roman" w:eastAsia="Times New Roman" w:hAnsi="Times New Roman"/>
          <w:sz w:val="18"/>
          <w:szCs w:val="18"/>
          <w:color w:val="auto"/>
        </w:rPr>
        <w:t>”), pursuant to which the SPAC granted such Existing Holders certain registration rights with respect to certain securities of the SPAC;</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SPAC has entered into that certain Business Combination Agreement, by and among the Company, the SPAC, LCW Merger Sub,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Delaware corporation, Innventure Merger Sub, LLC, a Delaware limited liability company, and Innventure LLC, dated as of October 24, 2023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transaction contemplated by the Business Combination Agreement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and subject to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forth therein, the Holders will receive, upon closing of the Transactions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shares of common stock, par value $0.0001 per share, 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5.8 of the Existing Registration Rights Agreement, the provisions, covenants and conditions set forth therein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amended or modified upon the written consent of the SPAC and the Existing Holders of a majority-in-interest of the “Registrable Securities” (as such term was defined in the Existing Registration Rights Agreement) at the time in question; and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the SPAC, and all of the Existing Holders desire to amend and restate the Existing Registration Rights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provide the Existing Holders and the New Holders certain registration rights with respect to certain securities of the Company as set forth in this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representations, covenants and agreements contained herein, and certain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Article I. Definitions</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defined in this Article I shall, for all purposes of this Agreement, have the respective meanings set forth below:</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Disclosure</w:t>
      </w:r>
      <w:r>
        <w:rPr>
          <w:rFonts w:ascii="Times New Roman" w:cs="Times New Roman" w:eastAsia="Times New Roman" w:hAnsi="Times New Roman"/>
          <w:sz w:val="18"/>
          <w:szCs w:val="18"/>
          <w:color w:val="auto"/>
        </w:rPr>
        <w:t>” shall mean any public disclosure of material non-public information, which disclosure, in the good faith judgment of the Board,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making such information public would materially interfere with a bona fide business, acquisition or divestiture or financing transaction of the Company or is reasonably likely to require premature disclosure of material information that the Company has a bona fide business purpose for preserving as confidential.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Blocking Period</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shall mean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shall have the meaning given in the Recitals.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Shelf Takedown Notice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Demanding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Holder</w:t>
      </w:r>
      <w:r>
        <w:rPr>
          <w:rFonts w:ascii="Times New Roman" w:cs="Times New Roman" w:eastAsia="Times New Roman" w:hAnsi="Times New Roman"/>
          <w:sz w:val="18"/>
          <w:szCs w:val="18"/>
          <w:color w:val="auto"/>
        </w:rPr>
        <w:t>” shall have the meaning given in the Preamble. For the avoidance of doubt and notwithstanding anything herein to the contrary, any of Learn Capital, LLC or CWAM Investors LLC or their respective affiliates which are successors in interest to and/or Permitted Transferees of CWAM LC Sponsor LLC shall constitute and be considered and treated as the Sponsor and an Existing Holder for all purposes hereunder.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Registration Rights Agreement</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S-1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S-3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Indemnified Parties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Holder</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Transferees</w:t>
      </w:r>
      <w:r>
        <w:rPr>
          <w:rFonts w:ascii="Times New Roman" w:cs="Times New Roman" w:eastAsia="Times New Roman" w:hAnsi="Times New Roman"/>
          <w:sz w:val="18"/>
          <w:szCs w:val="18"/>
          <w:color w:val="auto"/>
        </w:rPr>
        <w:t>” shall mean a person or entity to whom a Holder of Registrable Securities transfers such Registrable Securities, including prior to the expiration of any applicable lock-up period, and to any transferee thereafter.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Security</w:t>
      </w:r>
      <w:r>
        <w:rPr>
          <w:rFonts w:ascii="Times New Roman" w:cs="Times New Roman" w:eastAsia="Times New Roman" w:hAnsi="Times New Roman"/>
          <w:sz w:val="18"/>
          <w:szCs w:val="18"/>
          <w:color w:val="auto"/>
        </w:rPr>
        <w:t>” shall mean (a) any shares of Common Stock, including shares issued as a result of, or issuable upon, the conversion or exercise of any options, warrants and other securities convertible into, or exchangeable or exercisable for shares of Common Stock, held by a Holder immediately following the Closing, (b) any shares of Common Stock acquired by a Holder following the date hereof to the extent that such securities are (i) “restricted securities” (as defined in Rule 144) or (ii) otherwise cannot be sold pursuant to Rule 144 without volume or other restrictions or limitations including as to manner or timing of sale, and (c) any other equity security of the Company issued or issuable with respect to any such shares of Common Stock described in the foregoing clauses (a) and (b) by way of stock dividend or stock split or in connection with a combination of shares, recapitalization, merger, consolidation or reorganization; provided, however,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 (ii) such securities shall have been otherwise transferred, new certificates for such securities not bearing a legend restricting further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both"/>
        <w:spacing w:after="0" w:line="266" w:lineRule="auto"/>
        <w:rPr>
          <w:sz w:val="20"/>
          <w:szCs w:val="20"/>
          <w:color w:val="auto"/>
        </w:rPr>
      </w:pPr>
      <w:r>
        <w:rPr>
          <w:rFonts w:ascii="Times New Roman" w:cs="Times New Roman" w:eastAsia="Times New Roman" w:hAnsi="Times New Roman"/>
          <w:sz w:val="18"/>
          <w:szCs w:val="18"/>
          <w:color w:val="auto"/>
        </w:rPr>
        <w:t>transfer shall have been delivered by the Company and subsequent public distribution of such securities shall not require registration under the Securities Act; (iii) such securities shall have ceased to be outstanding; or (iv) such securities have been sold to, or through, a broker, dealer or underwriter in a public distribution or other public securities transaction.</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shall mean the out-of-pocket expenses of a Registration, including, without limitation, the following:</w:t>
      </w:r>
    </w:p>
    <w:p>
      <w:pPr>
        <w:spacing w:after="0" w:line="229" w:lineRule="exact"/>
        <w:rPr>
          <w:sz w:val="20"/>
          <w:szCs w:val="20"/>
          <w:color w:val="auto"/>
        </w:rPr>
      </w:pPr>
    </w:p>
    <w:p>
      <w:pPr>
        <w:ind w:left="1300" w:firstLine="652"/>
        <w:spacing w:after="0" w:line="282" w:lineRule="auto"/>
        <w:tabs>
          <w:tab w:leader="none" w:pos="257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61"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underwriter expenses other than fees, commissions or discounts;</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45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225"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225" w:lineRule="exact"/>
        <w:rPr>
          <w:rFonts w:ascii="Times New Roman" w:cs="Times New Roman" w:eastAsia="Times New Roman" w:hAnsi="Times New Roman"/>
          <w:sz w:val="18"/>
          <w:szCs w:val="18"/>
          <w:color w:val="auto"/>
        </w:rPr>
      </w:pPr>
    </w:p>
    <w:p>
      <w:pPr>
        <w:ind w:left="1460" w:right="20" w:firstLine="492"/>
        <w:spacing w:after="0" w:line="282" w:lineRule="auto"/>
        <w:tabs>
          <w:tab w:leader="none" w:pos="24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 and</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7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of one legal counsel selected by the majority-in-interest of the Demanding Holders initiating a Demand Registration, the majority-in-interest of Holders participating in a Piggyback Registration or the majority-in-interest of Holders participating in a Shelf Underwritten Offering, as applicable.</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Removed Shares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shall mean Rule 144 promulgated under the Securities Act or any successor rule promulgated thereafter by the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415</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Shelf Demanding Holders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Shelf Requesting Holders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Shelf Takedown Notice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Shelf Underwritten Offering</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SPAC</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 Registrations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u w:val="single" w:color="auto"/>
          <w:color w:val="auto"/>
        </w:rPr>
        <w:t>Shelf Registration</w:t>
      </w:r>
      <w:r>
        <w:rPr>
          <w:rFonts w:ascii="Times New Roman" w:cs="Times New Roman" w:eastAsia="Times New Roman" w:hAnsi="Times New Roman"/>
          <w:sz w:val="17"/>
          <w:szCs w:val="17"/>
          <w:color w:val="auto"/>
        </w:rPr>
        <w:t>.</w:t>
      </w:r>
    </w:p>
    <w:p>
      <w:pPr>
        <w:spacing w:after="0" w:line="256"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Initial Registration</w:t>
      </w:r>
      <w:r>
        <w:rPr>
          <w:rFonts w:ascii="Times New Roman" w:cs="Times New Roman" w:eastAsia="Times New Roman" w:hAnsi="Times New Roman"/>
          <w:sz w:val="18"/>
          <w:szCs w:val="18"/>
          <w:color w:val="auto"/>
        </w:rPr>
        <w:t>. The Company shall promptly, but in no event later than 45 days after the date hereof, file a Registration Statement under the Securities Act to permit the public resale of all the Registrable Securities held by the Holders from time to time as permitted by Rule 415 under the Securities Act (or any successor or similar provision adopted by the Commission then in effect) (“</w:t>
      </w:r>
      <w:r>
        <w:rPr>
          <w:rFonts w:ascii="Times New Roman" w:cs="Times New Roman" w:eastAsia="Times New Roman" w:hAnsi="Times New Roman"/>
          <w:sz w:val="18"/>
          <w:szCs w:val="18"/>
          <w:b w:val="1"/>
          <w:bCs w:val="1"/>
          <w:color w:val="auto"/>
        </w:rPr>
        <w:t>Rule 415</w:t>
      </w:r>
      <w:r>
        <w:rPr>
          <w:rFonts w:ascii="Times New Roman" w:cs="Times New Roman" w:eastAsia="Times New Roman" w:hAnsi="Times New Roman"/>
          <w:sz w:val="18"/>
          <w:szCs w:val="18"/>
          <w:color w:val="auto"/>
        </w:rPr>
        <w:t xml:space="preserve">”) on the terms and conditions specified in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and shall use commercially reasonable efforts to cause such Registration Statement to be declared effective as soon as reasonably practicable after the filing thereof, but in no event later than the earlier of (i) sixty (60) days following the filing deadline (or one hundred twenty (120) days after the filing deadline if the Registration Statement is reviewed by, and receives comments from, the Commission) and (ii) fifteen (15) business days after the Company is notified (orally or in writing, whichever is earlier) by the Commission that the Registration Statement will not be “reviewed” or will not be subject to further review. The Registration Statement filed with the Commission pursuant to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shall be a shelf registration statement on Form S-1 (a “</w:t>
      </w:r>
      <w:r>
        <w:rPr>
          <w:rFonts w:ascii="Times New Roman" w:cs="Times New Roman" w:eastAsia="Times New Roman" w:hAnsi="Times New Roman"/>
          <w:sz w:val="18"/>
          <w:szCs w:val="18"/>
          <w:b w:val="1"/>
          <w:bCs w:val="1"/>
          <w:color w:val="auto"/>
        </w:rPr>
        <w:t>Form S-1 Shelf</w:t>
      </w:r>
      <w:r>
        <w:rPr>
          <w:rFonts w:ascii="Times New Roman" w:cs="Times New Roman" w:eastAsia="Times New Roman" w:hAnsi="Times New Roman"/>
          <w:sz w:val="18"/>
          <w:szCs w:val="18"/>
          <w:color w:val="auto"/>
        </w:rPr>
        <w:t>”) or such other form of registration statement as is then available to effect a registration for resale of such Registrable Securities, covering such Registrable Securities, and shall contain 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Prospectus in such form as to permit any Holder to sell such Registrable Securities pursuant to Rule 415 at any time beginning on the effective date for such Registration Statement. A Registration Statement filed pursuant to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shall provide for the resale pursuant to any method or combination of methods legally available to, and requested by, the Holders. The Company shall use commercially reasonable efforts to cause a Registration Statement filed pursuant to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to remain effective, and to be supplemented and amended to the extent necessary to ensure that such Registration Statement is available or, if not available, that another Registration Statement is available, for the resale of all the Registrable Securities held by the Holders until all such Registrable Securities have ceased to be Registrable Securities. As soon as reasonably practicable following the effective date of a Registration Statement filed pursuant to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but in any event within five business days of such date, the Company shall notify the Holders of the effectiveness of such Registration Statement. When effective, a Registration Statement filed pursuant to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(including the documents incorporated therein by reference) will comply as to form in all material respects with all applicable requirements of the Securities Act and the Exchange Act and will not contain any Misstatement.</w:t>
      </w:r>
    </w:p>
    <w:p>
      <w:pPr>
        <w:spacing w:after="0" w:line="194"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Form S-3 Shelf</w:t>
      </w:r>
      <w:r>
        <w:rPr>
          <w:rFonts w:ascii="Times New Roman" w:cs="Times New Roman" w:eastAsia="Times New Roman" w:hAnsi="Times New Roman"/>
          <w:sz w:val="18"/>
          <w:szCs w:val="18"/>
          <w:color w:val="auto"/>
        </w:rPr>
        <w:t>. If the initial Registration Statement filed by the Company pursuant to subsection 2.1.1 is a Form S-1 Shelf, upon the Company becoming eligible to register the Registrable Securities for resale by the Holders on a shelf registration statement on Form S-3 (a “</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Shelf</w:t>
      </w:r>
      <w:r>
        <w:rPr>
          <w:rFonts w:ascii="Times New Roman" w:cs="Times New Roman" w:eastAsia="Times New Roman" w:hAnsi="Times New Roman"/>
          <w:sz w:val="18"/>
          <w:szCs w:val="18"/>
          <w:color w:val="auto"/>
        </w:rPr>
        <w:t>”), the Company shall use commercially reasonable efforts to amend such initial Registration Statement to a Form S-3 Shelf or file a Form S-3 Shelf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substitution of such initial Registration Statement and cause such Registration Statement to be declared effective as promptly as practicable thereafter. If the Company files a Form S-3 Shelf and at any time thereafter the Company becomes ineligible to use Form S-3 for secondary sales, the Company shall use commercially reasonable efforts to file a Form S-1 Shelf as promptly as practicable to replace the shelf registration statement that is a Form S-3 Shelf and have the Form S-1 Shelf declared effective as promptly as practicable and to cause such Form S-1 Shelf to remain effective, and to be supplemented and amended to the extent necessary to ensure that such Registration Statement is available or, if not available, that another Registration Statement is available, for the resale of all the Registrable Securities held by the Holders until all such Registrable Securities have ceased to be Registrable Securities.</w:t>
      </w:r>
    </w:p>
    <w:p>
      <w:pPr>
        <w:spacing w:after="0" w:line="188"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Shelf Takedown</w:t>
      </w:r>
      <w:r>
        <w:rPr>
          <w:rFonts w:ascii="Times New Roman" w:cs="Times New Roman" w:eastAsia="Times New Roman" w:hAnsi="Times New Roman"/>
          <w:sz w:val="18"/>
          <w:szCs w:val="18"/>
          <w:color w:val="auto"/>
        </w:rPr>
        <w:t xml:space="preserve">. At any time and from time to time following the effectiveness of the shelf registration statement required by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any Holder or Holders (the “</w:t>
      </w:r>
      <w:r>
        <w:rPr>
          <w:rFonts w:ascii="Times New Roman" w:cs="Times New Roman" w:eastAsia="Times New Roman" w:hAnsi="Times New Roman"/>
          <w:sz w:val="18"/>
          <w:szCs w:val="18"/>
          <w:b w:val="1"/>
          <w:bCs w:val="1"/>
          <w:color w:val="auto"/>
        </w:rPr>
        <w:t>Shelf Demanding Holders</w:t>
      </w:r>
      <w:r>
        <w:rPr>
          <w:rFonts w:ascii="Times New Roman" w:cs="Times New Roman" w:eastAsia="Times New Roman" w:hAnsi="Times New Roman"/>
          <w:sz w:val="18"/>
          <w:szCs w:val="18"/>
          <w:color w:val="auto"/>
        </w:rPr>
        <w:t>”) may request to sell all or a portion of their Registrable Securities in an underwritten offering that is registered pursuant to such shelf registration statement (a “</w:t>
      </w:r>
      <w:r>
        <w:rPr>
          <w:rFonts w:ascii="Times New Roman" w:cs="Times New Roman" w:eastAsia="Times New Roman" w:hAnsi="Times New Roman"/>
          <w:sz w:val="18"/>
          <w:szCs w:val="18"/>
          <w:b w:val="1"/>
          <w:bCs w:val="1"/>
          <w:color w:val="auto"/>
        </w:rPr>
        <w:t>Shelf Underwritten Offering</w:t>
      </w:r>
      <w:r>
        <w:rPr>
          <w:rFonts w:ascii="Times New Roman" w:cs="Times New Roman" w:eastAsia="Times New Roman" w:hAnsi="Times New Roman"/>
          <w:sz w:val="18"/>
          <w:szCs w:val="18"/>
          <w:color w:val="auto"/>
        </w:rPr>
        <w:t>”), provided that such Holder(s) (a) reasonably expects aggregate gross proceeds in excess of $25,000,000 from such Shelf Underwritten Offering or (b) reasonably expects to sell all of the Registrable Securities held by such Holder in such Shelf Underwritten Offering but in no event less than $15,000,000. All requests for a Shelf Underwritten Offering shall be made by giving written notice to the Company (the “</w:t>
      </w:r>
      <w:r>
        <w:rPr>
          <w:rFonts w:ascii="Times New Roman" w:cs="Times New Roman" w:eastAsia="Times New Roman" w:hAnsi="Times New Roman"/>
          <w:sz w:val="18"/>
          <w:szCs w:val="18"/>
          <w:b w:val="1"/>
          <w:bCs w:val="1"/>
          <w:color w:val="auto"/>
        </w:rPr>
        <w:t>Shelf Takedown Notice</w:t>
      </w:r>
      <w:r>
        <w:rPr>
          <w:rFonts w:ascii="Times New Roman" w:cs="Times New Roman" w:eastAsia="Times New Roman" w:hAnsi="Times New Roman"/>
          <w:sz w:val="18"/>
          <w:szCs w:val="18"/>
          <w:color w:val="auto"/>
        </w:rPr>
        <w:t>”). Each Shelf Takedown Notice shall specify the approximate number of Registrable Securities proposed to be sold in the Shelf Underwritten Offering and the expected price range (net of underwriting discounts and commissions) of such Shelf Underwritten Offering. Within five (5) business days after receipt of any Shelf Takedown Notice, the Company shall give written notice of such requested Shelf Underwritten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both"/>
        <w:spacing w:after="0" w:line="254" w:lineRule="auto"/>
        <w:rPr>
          <w:sz w:val="20"/>
          <w:szCs w:val="20"/>
          <w:color w:val="auto"/>
        </w:rPr>
      </w:pPr>
      <w:r>
        <w:rPr>
          <w:rFonts w:ascii="Times New Roman" w:cs="Times New Roman" w:eastAsia="Times New Roman" w:hAnsi="Times New Roman"/>
          <w:sz w:val="18"/>
          <w:szCs w:val="18"/>
          <w:color w:val="auto"/>
        </w:rPr>
        <w:t>Offering to all other Holders of Registrable Securities (the “</w:t>
      </w:r>
      <w:r>
        <w:rPr>
          <w:rFonts w:ascii="Times New Roman" w:cs="Times New Roman" w:eastAsia="Times New Roman" w:hAnsi="Times New Roman"/>
          <w:sz w:val="18"/>
          <w:szCs w:val="18"/>
          <w:b w:val="1"/>
          <w:bCs w:val="1"/>
          <w:color w:val="auto"/>
        </w:rPr>
        <w:t>Company Shelf Takedown Notice</w:t>
      </w:r>
      <w:r>
        <w:rPr>
          <w:rFonts w:ascii="Times New Roman" w:cs="Times New Roman" w:eastAsia="Times New Roman" w:hAnsi="Times New Roman"/>
          <w:sz w:val="18"/>
          <w:szCs w:val="18"/>
          <w:color w:val="auto"/>
        </w:rPr>
        <w:t xml:space="preserve">”) and, subject to reductions consistent with the Pro Rata calculations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shall include in such Shelf Underwritten Offering all Registrable Securities with respect to which the Company has received written requests for inclusion therein (the “</w:t>
      </w:r>
      <w:r>
        <w:rPr>
          <w:rFonts w:ascii="Times New Roman" w:cs="Times New Roman" w:eastAsia="Times New Roman" w:hAnsi="Times New Roman"/>
          <w:sz w:val="18"/>
          <w:szCs w:val="18"/>
          <w:b w:val="1"/>
          <w:bCs w:val="1"/>
          <w:color w:val="auto"/>
        </w:rPr>
        <w:t>Shelf Requesting Holders</w:t>
      </w:r>
      <w:r>
        <w:rPr>
          <w:rFonts w:ascii="Times New Roman" w:cs="Times New Roman" w:eastAsia="Times New Roman" w:hAnsi="Times New Roman"/>
          <w:sz w:val="18"/>
          <w:szCs w:val="18"/>
          <w:color w:val="auto"/>
        </w:rPr>
        <w:t xml:space="preserve">”), within five (5) business days after sending the Company Shelf Takedown Notice. The Company shall enter into an underwriting agreement in a form as is customary in Underwritten Offerings of securities with the managing Underwriter or Underwriters selected by the Company after consultation with the initiating Holders and shall take all such other reasonable actions as are reasonably requested by the managing Underwriter or Underwriters in order to facilitate the disposition of such Registrable Securities. In connection with any Shelf Underwritten Offering contemplated by this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underwriting agreement into which each Holder and the Company shall enter shall contain such representations, covenants, indemnities and other rights and obligations of the Company and the selling stockholders as are customary in Underwritten Offerings of securities by the Company.</w:t>
      </w:r>
    </w:p>
    <w:p>
      <w:pPr>
        <w:spacing w:after="0" w:line="192"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Holder Information Required for Participation in Registration</w:t>
      </w:r>
      <w:r>
        <w:rPr>
          <w:rFonts w:ascii="Times New Roman" w:cs="Times New Roman" w:eastAsia="Times New Roman" w:hAnsi="Times New Roman"/>
          <w:sz w:val="18"/>
          <w:szCs w:val="18"/>
          <w:color w:val="auto"/>
        </w:rPr>
        <w:t xml:space="preserve">. At least ten(10) business days prior to the first anticipated filing date of a Registration Statement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the Company shall use commercially reasonable efforts to notify each Holder in writing of the information reasonably necessary about the Holder to include such Holder’s Registrable Securities in such Registration Statement. Notwithstanding anything else in this Agreement, the Company shall not be obligated to include such Holder’s Registrable Securities to the extent the Company has not received such information, and received any other reasonably requested agreements or certificates, on or prior to the fifth business day prior to the first anticipated filing date of a Registration Statement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u w:val="single" w:color="auto"/>
          <w:color w:val="auto"/>
        </w:rPr>
        <w:t>Demand Registration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and provided that the Company does not have an effective Registration Statement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outstanding covering all the Registrable securities, at any time and from time to time after the first anniversary of the Closing, either (a) the Sponsor, or (b) the New Holders of at least a majority-in-interest of the then-outstanding number of Registrable Securities held by the New Holders (the “</w:t>
      </w:r>
      <w:r>
        <w:rPr>
          <w:rFonts w:ascii="Times New Roman" w:cs="Times New Roman" w:eastAsia="Times New Roman" w:hAnsi="Times New Roman"/>
          <w:sz w:val="18"/>
          <w:szCs w:val="18"/>
          <w:b w:val="1"/>
          <w:bCs w:val="1"/>
          <w:color w:val="auto"/>
        </w:rPr>
        <w:t>Demanding Holders</w:t>
      </w:r>
      <w:r>
        <w:rPr>
          <w:rFonts w:ascii="Times New Roman" w:cs="Times New Roman" w:eastAsia="Times New Roman" w:hAnsi="Times New Roman"/>
          <w:sz w:val="18"/>
          <w:szCs w:val="18"/>
          <w:color w:val="auto"/>
        </w:rPr>
        <w:t>”), in each case,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The Company shall, within five (5) business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 w:cs="Times New Roman" w:eastAsia="Times New Roman" w:hAnsi="Times New Roman"/>
          <w:sz w:val="18"/>
          <w:szCs w:val="18"/>
          <w:b w:val="1"/>
          <w:bCs w:val="1"/>
          <w:color w:val="auto"/>
        </w:rPr>
        <w:t>Requesting Holder</w:t>
      </w:r>
      <w:r>
        <w:rPr>
          <w:rFonts w:ascii="Times New Roman" w:cs="Times New Roman" w:eastAsia="Times New Roman" w:hAnsi="Times New Roman"/>
          <w:sz w:val="18"/>
          <w:szCs w:val="18"/>
          <w:color w:val="auto"/>
        </w:rPr>
        <w:t>”) shall so notify the Company, in writing, within five business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sixty (60) days immediately after the Company’s receipt of the Demand Registration, the Registration of all Registrable Securities requested by the Demanding Holders and Requesting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both"/>
        <w:spacing w:after="0" w:line="255" w:lineRule="auto"/>
        <w:rPr>
          <w:sz w:val="20"/>
          <w:szCs w:val="20"/>
          <w:color w:val="auto"/>
        </w:rPr>
      </w:pPr>
      <w:r>
        <w:rPr>
          <w:rFonts w:ascii="Times New Roman" w:cs="Times New Roman" w:eastAsia="Times New Roman" w:hAnsi="Times New Roman"/>
          <w:sz w:val="18"/>
          <w:szCs w:val="18"/>
          <w:color w:val="auto"/>
        </w:rPr>
        <w:t>Holders pursuant to such Demand Registration. Under no circumstances shall the Company be obligated to effect more than two (2) Registrations initiated by the Sponsor (the “</w:t>
      </w:r>
      <w:r>
        <w:rPr>
          <w:rFonts w:ascii="Times New Roman" w:cs="Times New Roman" w:eastAsia="Times New Roman" w:hAnsi="Times New Roman"/>
          <w:sz w:val="18"/>
          <w:szCs w:val="18"/>
          <w:b w:val="1"/>
          <w:bCs w:val="1"/>
          <w:color w:val="auto"/>
        </w:rPr>
        <w:t>Sponsor Registrations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Learn Capital, LLC (as successor in interest to and/or a Permitted Transferee of the Sponsor) or its affiliates shall be entitled to initiate one (1) Sponsor Registration and (B) CWAM Investors LLC (as successor in interest to and/or a Permitted Transferee of the Sponsor) or its affiliates shall be entitled to initiate one (1) Sponsor Registration, pursuant to a Demand Registration under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with respect to any or all Registrable Securities. Notwithstanding anything to the contrary in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any Demand Registration in the form of an Underwritten Offering, must include, in the aggregate, Registrable Securities having an aggregate market value of at least $10,000,000 (based on the Registrable Securities included in such Demand Registration by all Holders participating in such Demand Registration).</w:t>
      </w:r>
    </w:p>
    <w:p>
      <w:pPr>
        <w:spacing w:after="0" w:line="189"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above or any other part of this Agreement, a Registration pursuant to a Demand Registration shall not count as a Demand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Demand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92"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if a majority-in-interest of the Demanding Holders so advise the Company as part of their written demand for a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2.2.3</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Company after consultation with the Demanding Holders initiating the Demand Registration.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both"/>
        <w:ind w:firstLine="1134"/>
        <w:spacing w:after="0" w:line="251"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the managing Underwriter or Underwriters in an Underwritten Registration pursuant to a Demand Registration, in good faith, advises the Company, the Demanding Holders (or Shelf Demanding Holders) and the Requesting Holders (or Shelf Demanding Holders) (if any) in writing that the dollar amount or number of Registrable Securities that the Demanding Holders (or Shelf Demanding Holders) and the Requesting Holders (or Shelf Demanding Holders) (if any) desire to sell, taken together with all other Common Stock or other equity securities that the Company desires to sell and the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Number of Securities</w:t>
      </w:r>
      <w:r>
        <w:rPr>
          <w:rFonts w:ascii="Times New Roman" w:cs="Times New Roman" w:eastAsia="Times New Roman" w:hAnsi="Times New Roman"/>
          <w:sz w:val="18"/>
          <w:szCs w:val="18"/>
          <w:color w:val="auto"/>
        </w:rPr>
        <w:t>”), then the Company shall include in such Underwritten Offering, as follows: (i) first, the Registrable Securities of the Demanding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or Shelf Demanding Holders, as applicable, and the Requesting Holders or Shelf Requesting Holders, as applicable (pro rata based on the respective number of Registrable Securities that each Demanding Holder or Shelf Demanding Holder, as applicable, has requested be included in such Underwritten Registration and the aggregate number of Registrable Securities that the Requesting Holders or Shelf Requesting Holders, as applicable, have requested be included in such Underwritten Registration (such proportion is referred to herein as “</w:t>
      </w:r>
      <w:r>
        <w:rPr>
          <w:rFonts w:ascii="Times New Roman" w:cs="Times New Roman" w:eastAsia="Times New Roman" w:hAnsi="Times New Roman"/>
          <w:sz w:val="18"/>
          <w:szCs w:val="18"/>
          <w:b w:val="1"/>
          <w:bCs w:val="1"/>
          <w:color w:val="auto"/>
        </w:rPr>
        <w:t>Pro Rata</w:t>
      </w:r>
      <w:r>
        <w:rPr>
          <w:rFonts w:ascii="Times New Roman" w:cs="Times New Roman" w:eastAsia="Times New Roman" w:hAnsi="Times New Roman"/>
          <w:sz w:val="18"/>
          <w:szCs w:val="18"/>
          <w:color w:val="auto"/>
        </w:rPr>
        <w:t>”)) that can be sold without exceeding the Maximum Number of Securities; (ii) second, to the extent that the Maximum Number of Securities has not been reached under the foregoing clauses (i), the Common Stock or other equity securities that the Company desires to sell, which can be sold without exceeding the Maximum Number of Securities; and</w:t>
      </w:r>
    </w:p>
    <w:p>
      <w:pPr>
        <w:spacing w:after="0" w:line="11" w:lineRule="exact"/>
        <w:rPr>
          <w:sz w:val="20"/>
          <w:szCs w:val="20"/>
          <w:color w:val="auto"/>
        </w:rPr>
      </w:pPr>
    </w:p>
    <w:p>
      <w:pPr>
        <w:jc w:val="both"/>
        <w:ind w:firstLine="8"/>
        <w:spacing w:after="0" w:line="255" w:lineRule="auto"/>
        <w:tabs>
          <w:tab w:leader="none" w:pos="32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extent that the Maximum Number of Securities has not been reached under the foregoing clauses (i) and (ii), the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86"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Demand Registration Withdrawal</w:t>
      </w:r>
      <w:r>
        <w:rPr>
          <w:rFonts w:ascii="Times New Roman" w:cs="Times New Roman" w:eastAsia="Times New Roman" w:hAnsi="Times New Roman"/>
          <w:sz w:val="18"/>
          <w:szCs w:val="18"/>
          <w:color w:val="auto"/>
        </w:rPr>
        <w:t xml:space="preserve">. Any Demanding Holder, Shelf Demanding Holder, Requesting Holder, or Shelf Requesting Holder, pursuant to an Underwritten Registration under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shall have the right to withdraw from a Registration pursuant to such Demand Registration or a Shelf Underwritten Offering pursuant to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 xml:space="preserve"> for any or no reason whatsoever upon written notification to the Company and the Underwriter or Underwriters (if any) of their intention to withdraw from such Underwritten Registration at least five (5) business days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or a Shelf Underwritten Offering prior to the withdrawal of any such Holder under this </w:t>
      </w:r>
      <w:r>
        <w:rPr>
          <w:rFonts w:ascii="Times New Roman" w:cs="Times New Roman" w:eastAsia="Times New Roman" w:hAnsi="Times New Roman"/>
          <w:sz w:val="18"/>
          <w:szCs w:val="18"/>
          <w:u w:val="single" w:color="auto"/>
          <w:color w:val="auto"/>
        </w:rPr>
        <w:t>subsection 2.2.5</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u w:val="single" w:color="auto"/>
          <w:color w:val="auto"/>
        </w:rPr>
        <w:t>Piggyback Registration.</w:t>
      </w:r>
    </w:p>
    <w:p>
      <w:pPr>
        <w:spacing w:after="0" w:line="229"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and by the stockholders of the Company including, without limitation,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other than a Registration Statement (i) filed in connection with any employee stock option or other benefit plan, (ii) for a rights offering or an exchange offer or offering of securities solely to the Company’s existing stockholders, (iii) for an offering of debt that is convertible into equity securities of the Company, (iv) for a dividend reinvestment plan or an at-the-market offering or (v) on Form S-4 or Form S-8 or their successor forms, then the Company shall give written notice of such proposed filing to all of the Holders of Registrable Securities as soon as reasonably practicable but not less than five (5) business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business days after receipt of such written notice (such Registration a “</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The Company shall, in good faith, cause such Registrable Securities to be included in such Piggyback Registration and shall use commercially reasonable efforts to cause the managing Underwriter or Underwriters of a proposed Underwritten Offering to permit the Registrable Securities requested by the Holders pursuant to this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Company.</w:t>
      </w:r>
    </w:p>
    <w:p>
      <w:pPr>
        <w:spacing w:after="0" w:line="196"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shares of Common Stock that the Company desires to sell, taken together with (i) the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and (iii) the Common Stock, if any, as to which Registration has been requested pursuant to separate written contractual piggy-back registration rights of other stockholders of the Company, exceeds the Maximum Number of Securities, then:</w:t>
      </w:r>
    </w:p>
    <w:p>
      <w:pPr>
        <w:spacing w:after="0" w:line="189" w:lineRule="exact"/>
        <w:rPr>
          <w:sz w:val="20"/>
          <w:szCs w:val="20"/>
          <w:color w:val="auto"/>
        </w:rPr>
      </w:pPr>
    </w:p>
    <w:p>
      <w:pPr>
        <w:jc w:val="both"/>
        <w:ind w:left="660" w:firstLine="482"/>
        <w:spacing w:after="0" w:line="254" w:lineRule="auto"/>
        <w:tabs>
          <w:tab w:leader="none" w:pos="184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undertaken for the Company’s account, the Company shall include in any such Registration (A) first, the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 xml:space="preserve"> hereof, Pro Rata, which can be sold without exceeding the Maximum Number of Securities; and (C) third, to the extent that the Maximum Number of Securities has not been reached under the foregoing clauses (A) and (B), the Common Stock, if any, as to which Registration has been requested or demanded pursuant to written contractual piggy-back registration rights of other stockholders of the Company, which can be sold without exceeding the Maximum Number of Securities.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both"/>
        <w:ind w:left="660" w:firstLine="482"/>
        <w:spacing w:after="0" w:line="253" w:lineRule="auto"/>
        <w:tabs>
          <w:tab w:leader="none" w:pos="169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pursuant to a request by persons or entities other than the Holders of Registrable Securities, then the Company shall include in any such Registration (A) first, the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 Pro Rata, which can be sold without exceeding the Maximum Number of Securities; (C) third, to the extent that the Maximum Number of Securities has not been reached under the foregoing clauses (A) and (B), the Common Stock or other equity securities that the Company desires to sell, which can be sold without exceeding the Maximum Number of Securities; and (D) fourth, to the extent that the Maximum Number of Securities has not been reached under the foregoing clauses (A), (B) and (C), the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94"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an Underwritten Registration pursuant to Rule 415, at least five (5) business days prior to the time of pricing of the applicable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subsection 2.3.3</w:t>
      </w:r>
    </w:p>
    <w:p>
      <w:pPr>
        <w:spacing w:after="0" w:line="192"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xml:space="preserve">. For purposes of clarity, any Registration effected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shall not be counted as a Registration pursuant to a Demand Registration effected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or a Shelf Underwritten Offering effected under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 xml:space="preserve"> hereof.</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u w:val="single" w:color="auto"/>
          <w:color w:val="auto"/>
        </w:rPr>
        <w:t>Restrictions on Registration Rights</w:t>
      </w:r>
      <w:r>
        <w:rPr>
          <w:rFonts w:ascii="Times New Roman" w:cs="Times New Roman" w:eastAsia="Times New Roman" w:hAnsi="Times New Roman"/>
          <w:sz w:val="18"/>
          <w:szCs w:val="18"/>
          <w:color w:val="auto"/>
        </w:rPr>
        <w:t>. If (A) during the period starting with the date sixty (60) days prior to the Company’s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and it continues to actively employ, in good faith, commercially reasonable efforts to cause the applicable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both"/>
        <w:spacing w:after="0" w:line="255" w:lineRule="auto"/>
        <w:rPr>
          <w:sz w:val="20"/>
          <w:szCs w:val="20"/>
          <w:color w:val="auto"/>
        </w:rPr>
      </w:pPr>
      <w:r>
        <w:rPr>
          <w:rFonts w:ascii="Times New Roman" w:cs="Times New Roman" w:eastAsia="Times New Roman" w:hAnsi="Times New Roman"/>
          <w:sz w:val="18"/>
          <w:szCs w:val="18"/>
          <w:color w:val="auto"/>
        </w:rPr>
        <w:t>Registration Statement to become effective; (B) the Holders have requested an Underwritten Registration and the Company and the Holders are unable to obtain the commitment of an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the Chief Executive Officer or the Chief Financial Officer of the Company stating that, in their good faith judgment, it would require the Company to make an Adverse Disclosure and that it is therefore essential to defer the filing of such Registration Statement. In such event, the Company shall have the right to defer such filing for a period of not more than ninety (90) days in any 12-month period (the “</w:t>
      </w:r>
      <w:r>
        <w:rPr>
          <w:rFonts w:ascii="Times New Roman" w:cs="Times New Roman" w:eastAsia="Times New Roman" w:hAnsi="Times New Roman"/>
          <w:sz w:val="18"/>
          <w:szCs w:val="18"/>
          <w:b w:val="1"/>
          <w:bCs w:val="1"/>
          <w:color w:val="auto"/>
        </w:rPr>
        <w:t>Aggregate Blocking Period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u w:val="single" w:color="auto"/>
          <w:color w:val="auto"/>
        </w:rPr>
        <w:t>Rule 415; Removal</w:t>
      </w:r>
      <w:r>
        <w:rPr>
          <w:rFonts w:ascii="Times New Roman" w:cs="Times New Roman" w:eastAsia="Times New Roman" w:hAnsi="Times New Roman"/>
          <w:sz w:val="18"/>
          <w:szCs w:val="18"/>
          <w:color w:val="auto"/>
        </w:rPr>
        <w:t>. If at any time the Commission takes the position that the offering of some or all of the Registrable Securities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Statement on Form S-3 filed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is not eligible to be made on a delayed or continuous basis under the provisions of Rule 415 under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Company shall be obligated to use commercially reasonable efforts to advocate with the Commission for the registration of all of the Registrable Securities in accordance with the Commission guidance, including without limitation, Compliance and Disclosure Interpretation 612.09) or requires a Holder to be named as an “underwriter,” the Company shall (i) promptly notify each holder of Registrable Securities thereof (or in the case of the Commission requiring a Holder to be named as an “underwriter,” the Holders) and (ii) use commercially reasonable efforts to persuade the Commission that the offering contemplated by such Registration Statement is a valid secondary offering and not an offering “by or on behalf of the issuer” as defined in Rule 415 and that none of the Holders is an “underwriter.” The Holders whose Registrable Securities are subject to such position of the Commission shall have the right to select one (1) legal counsel designated by the holders of a majority of the Registrable Securities subject to such position of the Commission (at the Company’s sole cost and expense) to review and oversee any registration or matters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including participation in any meetings or discussions with the Commission regarding the Commission’s position and to comment on any written submission made to the Commission with respect thereto. No such written submission regarding the Holders with respect to this matter shall be made to the Commission to which the applicable Holders’ counsel reasonably objects. In the event that, despite the Company’s commercially reasonable efforts and compliance with the terms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Commission refuses to alter its position, the Company shall (i) remove from such Registration Statement such portion of the Registrable Securities (the “</w:t>
      </w:r>
      <w:r>
        <w:rPr>
          <w:rFonts w:ascii="Times New Roman" w:cs="Times New Roman" w:eastAsia="Times New Roman" w:hAnsi="Times New Roman"/>
          <w:sz w:val="18"/>
          <w:szCs w:val="18"/>
          <w:b w:val="1"/>
          <w:bCs w:val="1"/>
          <w:color w:val="auto"/>
        </w:rPr>
        <w:t>Removed Shares</w:t>
      </w:r>
      <w:r>
        <w:rPr>
          <w:rFonts w:ascii="Times New Roman" w:cs="Times New Roman" w:eastAsia="Times New Roman" w:hAnsi="Times New Roman"/>
          <w:sz w:val="18"/>
          <w:szCs w:val="18"/>
          <w:color w:val="auto"/>
        </w:rPr>
        <w:t xml:space="preserve">”) and/or (ii) agree to such restrictions and limitations on the registration and resale of the Registrable Securities as the Commission may require to assure the Company’s compliance with the requirements of Rule 415;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agree to name any Holder as an “underwriter” in such Registration Statement without the prior written consent of such Holder. In the event of a share removal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Company shall give the applicable Holders at least five (5) days’ prior written notice along with the calculations as to such Holder’s allotment. Any removal of shares of the Holders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allocated between the Holders on a Pro Rata basis based on the aggregate amount of Registrable Securities held by the Holders. In the event of a share removal of the Holders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Company shall promptly register the resale of any Removed Shares pursuant to </w:t>
      </w:r>
      <w:r>
        <w:rPr>
          <w:rFonts w:ascii="Times New Roman" w:cs="Times New Roman" w:eastAsia="Times New Roman" w:hAnsi="Times New Roman"/>
          <w:sz w:val="18"/>
          <w:szCs w:val="18"/>
          <w:u w:val="single" w:color="auto"/>
          <w:color w:val="auto"/>
        </w:rPr>
        <w:t>subsection 2.1.2</w:t>
      </w:r>
      <w:r>
        <w:rPr>
          <w:rFonts w:ascii="Times New Roman" w:cs="Times New Roman" w:eastAsia="Times New Roman" w:hAnsi="Times New Roman"/>
          <w:sz w:val="18"/>
          <w:szCs w:val="18"/>
          <w:color w:val="auto"/>
        </w:rPr>
        <w:t xml:space="preserve"> hereof and in no event shall the filing of such Registration Statement on Form S-1 or subsequent Registration Statement on Form S-3 filed pursuant to the terms of </w:t>
      </w:r>
      <w:r>
        <w:rPr>
          <w:rFonts w:ascii="Times New Roman" w:cs="Times New Roman" w:eastAsia="Times New Roman" w:hAnsi="Times New Roman"/>
          <w:sz w:val="18"/>
          <w:szCs w:val="18"/>
          <w:u w:val="single" w:color="auto"/>
          <w:color w:val="auto"/>
        </w:rPr>
        <w:t>subsection 2.1.2</w:t>
      </w:r>
      <w:r>
        <w:rPr>
          <w:rFonts w:ascii="Times New Roman" w:cs="Times New Roman" w:eastAsia="Times New Roman" w:hAnsi="Times New Roman"/>
          <w:sz w:val="18"/>
          <w:szCs w:val="18"/>
          <w:color w:val="auto"/>
        </w:rPr>
        <w:t xml:space="preserve"> be counted as a Demand Registration hereunder. Until such time as the Company has registered all of the Removed Shares for resale pursuant to Rule 415 on an effective Registration Statement, the Company shall not be able to defer the filing of a Registration Statement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Article III. Company Procedures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General Procedures</w:t>
      </w:r>
      <w:r>
        <w:rPr>
          <w:rFonts w:ascii="Times New Roman" w:cs="Times New Roman" w:eastAsia="Times New Roman" w:hAnsi="Times New Roman"/>
          <w:sz w:val="18"/>
          <w:szCs w:val="18"/>
          <w:color w:val="auto"/>
        </w:rPr>
        <w:t>. If the Company is required to effect the Registration of Registrable Securities pursuant to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75"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3.1.1. prepare and file with the Commission as soon as practicable a Registration Statement with respect to such Registrable Securities and use commercially reasonable efforts to cause such Registration Statement to become effective and remain effective until all Registrable Securities covered by such Registration Statement have been sold;</w:t>
      </w:r>
    </w:p>
    <w:p>
      <w:pPr>
        <w:spacing w:after="0" w:line="176"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requested by the applicable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3"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3.1.3. prior to filing a Registration Statement or Prospectus, or any amendment or supplement thereto, furnish without charge to the Underwriters, if any, and each Holder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87"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3.1.5. notify the Holders whose Registrable Securities are included in a Registration Statement promptly, and in all events within five (5) business days, of the occurrence of any of the following: (i) when such Registration Statement becomes effective; (ii) when any post-effective amendment to such Registration Statement becomes effective; and (iii)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 Misstatement, and promptly make available to the Holders whose Registrable Securities are included in such Registration Statement any such supplement or amendment;</w:t>
      </w:r>
    </w:p>
    <w:p>
      <w:pPr>
        <w:spacing w:after="0" w:line="189"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3.1.6. cause all such Registrable Securities to be listed on each securities exchange or automated quotation system on which similar securities issued by the Company are then listed;</w:t>
      </w:r>
    </w:p>
    <w:p>
      <w:pPr>
        <w:spacing w:after="0" w:line="162"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3.1.7. provide a transfer agent or warrant agent, as applicable, and registrar for all such Registrable Securities no later than the effective date of such Registration Statement;</w:t>
      </w:r>
    </w:p>
    <w:p>
      <w:pPr>
        <w:spacing w:after="0" w:line="162"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3.1.8.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commercially reasonable efforts to prevent the issuance of any stop order or to obtain its withdrawal if such stop order should be issued;</w:t>
      </w:r>
    </w:p>
    <w:p>
      <w:pPr>
        <w:spacing w:after="0" w:line="180"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3.1.9. at least five (5) days prior to the filing of any Registration Statement or Prospectus or any amendment or supplement to such Registration Statement or Prospectus (other than by way of a document incorporated by reference) furnish a copy thereof to each seller of such Registrable Securities or its counsel;</w:t>
      </w:r>
    </w:p>
    <w:p>
      <w:pPr>
        <w:spacing w:after="0" w:line="176"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 xml:space="preserve">3.1.10.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 xml:space="preserve">3.1.11. permit a representative of the Holder (such representative to be selected by a majority-in-interest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representatives or Underwriters enter into a confidentiality agreement, in form and substance reasonably satisfactory to the Company, prior to the release or disclosure of any such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the Company may not include the name of any Holder or Underwriter or any information regarding any Holder or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both"/>
        <w:spacing w:after="0" w:line="261" w:lineRule="auto"/>
        <w:rPr>
          <w:sz w:val="20"/>
          <w:szCs w:val="20"/>
          <w:color w:val="auto"/>
        </w:rPr>
      </w:pPr>
      <w:r>
        <w:rPr>
          <w:rFonts w:ascii="Times New Roman" w:cs="Times New Roman" w:eastAsia="Times New Roman" w:hAnsi="Times New Roman"/>
          <w:sz w:val="18"/>
          <w:szCs w:val="18"/>
          <w:color w:val="auto"/>
        </w:rPr>
        <w:t>Underwriter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or Underwriter and providing each such Holder or Underwriter a reasonable amount of time to review and comment on such applicable document, which comments the Company shall include unless contrary to applicable law;</w:t>
      </w:r>
    </w:p>
    <w:p>
      <w:pPr>
        <w:spacing w:after="0" w:line="180"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3.1.12. obtain a “comfort” letter from the Company’s independent registered public accountants in the event of an Underwritten Registration, in customary form and covering such matters of the type customarily covered by “comfort” letters as the managing Underwriter may reasonably request, and reasonably satisfactory to a majority-in-interest of the participating Holders;</w:t>
      </w:r>
    </w:p>
    <w:p>
      <w:pPr>
        <w:spacing w:after="0" w:line="176"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3.1.13.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3"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3.1.14. in the event of any Underwritten Offering, enter into and perform its obligations under an underwriting agreement, in usual and customary form, with the managing Underwriter of such offering;</w:t>
      </w:r>
    </w:p>
    <w:p>
      <w:pPr>
        <w:spacing w:after="0" w:line="162"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3.1.15. make available for inspection by the Holders whose Registrable Securities are included in such Registration Statement and who have signed a non-disclosure agreement, any Underwriter participating in any disposition pursuant to such Registration Statement and any attorney, accountant or other professional retained by any Holder whose Registrable Securities are included in such Registration Statement or any Underwriter, all financial and other records, pertinent corporate documents and properties of the Company, as shall be reasonably requested to enable them to exercise their due diligence responsibility, and cause the Company’s officers, directors and employees to supply all information reasonably requested by any of them in connection with such Registration Statement;</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3.1.16. make available to its security holders, as soon as reasonably practicable, an earnings statement covering the period of at least twelve</w:t>
      </w:r>
    </w:p>
    <w:p>
      <w:pPr>
        <w:spacing w:after="0" w:line="27" w:lineRule="exact"/>
        <w:rPr>
          <w:sz w:val="20"/>
          <w:szCs w:val="20"/>
          <w:color w:val="auto"/>
        </w:rPr>
      </w:pPr>
    </w:p>
    <w:p>
      <w:pPr>
        <w:ind w:firstLine="8"/>
        <w:spacing w:after="0" w:line="260" w:lineRule="auto"/>
        <w:tabs>
          <w:tab w:leader="none" w:pos="3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8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3.1.17. if the Registration involves the Registration of Registrable Securities involving gross proceeds in excess of $25,000,000, use commercially reasonable efforts to make available senior executives of the Company to participate in customary “road show,” analyst or investor presentations and other such meetings organized by the Underwriters that may be reasonably requested by the Underwriter in any Underwritten Offering; and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3.1.18. otherwise, in good faith, cooperate reasonably with, and take such customary actions as may reasonably be requested by the Holders, in connection with such Registration.</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Registration Expenses</w:t>
      </w:r>
      <w:r>
        <w:rPr>
          <w:rFonts w:ascii="Times New Roman" w:cs="Times New Roman" w:eastAsia="Times New Roman" w:hAnsi="Times New Roman"/>
          <w:sz w:val="18"/>
          <w:szCs w:val="18"/>
          <w:color w:val="auto"/>
        </w:rPr>
        <w:t>. The Registration Expenses of all Registrations shall be borne by the Company. It is acknowledged by the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Requirements for Participation in Underwritten Offerings</w:t>
      </w:r>
      <w:r>
        <w:rPr>
          <w:rFonts w:ascii="Times New Roman" w:cs="Times New Roman" w:eastAsia="Times New Roman" w:hAnsi="Times New Roman"/>
          <w:sz w:val="18"/>
          <w:szCs w:val="18"/>
          <w:color w:val="auto"/>
        </w:rPr>
        <w:t>. No person may participate in any Underwritten Offering for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Suspension of Sales; Adverse Disclosure</w:t>
      </w:r>
      <w:r>
        <w:rPr>
          <w:rFonts w:ascii="Times New Roman" w:cs="Times New Roman" w:eastAsia="Times New Roman" w:hAnsi="Times New Roman"/>
          <w:sz w:val="18"/>
          <w:szCs w:val="18"/>
          <w:color w:val="auto"/>
        </w:rPr>
        <w:t>. Upon receipt of written notice from the Company that a Registration Statement or 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practicable after the time of such notice), or until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possible, but in no event more than a total of ninety</w:t>
      </w:r>
    </w:p>
    <w:p>
      <w:pPr>
        <w:spacing w:after="0" w:line="5" w:lineRule="exact"/>
        <w:rPr>
          <w:sz w:val="20"/>
          <w:szCs w:val="20"/>
          <w:color w:val="auto"/>
        </w:rPr>
      </w:pPr>
    </w:p>
    <w:p>
      <w:pPr>
        <w:jc w:val="both"/>
        <w:ind w:firstLine="8"/>
        <w:spacing w:after="0" w:line="252" w:lineRule="auto"/>
        <w:tabs>
          <w:tab w:leader="none" w:pos="3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calculated on a non-consecutive basis, determined in good faith by the Company to be necessary for such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day of any such suspension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correspondingly decrease the Aggregate Blocking Period available to the Company during any 12-month period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u w:val="single" w:color="auto"/>
          <w:color w:val="auto"/>
        </w:rPr>
        <w:t>Reporting Obligations</w:t>
      </w:r>
      <w:r>
        <w:rPr>
          <w:rFonts w:ascii="Times New Roman" w:cs="Times New Roman" w:eastAsia="Times New Roman" w:hAnsi="Times New Roman"/>
          <w:sz w:val="18"/>
          <w:szCs w:val="18"/>
          <w:color w:val="auto"/>
        </w:rPr>
        <w:t>. As long as any Holder shall own Registrable Securities, the Company, at all times while it shall be a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both"/>
        <w:spacing w:after="0" w:line="261" w:lineRule="auto"/>
        <w:rPr>
          <w:sz w:val="20"/>
          <w:szCs w:val="20"/>
          <w:color w:val="auto"/>
        </w:rPr>
      </w:pPr>
      <w:r>
        <w:rPr>
          <w:rFonts w:ascii="Times New Roman" w:cs="Times New Roman" w:eastAsia="Times New Roman" w:hAnsi="Times New Roman"/>
          <w:sz w:val="18"/>
          <w:szCs w:val="18"/>
          <w:color w:val="auto"/>
        </w:rPr>
        <w:t>such further action as any Holder may reasonably request, all to the extent required from time to time to enable such Holder to sell or transfer shares of Common Stock held by such Holder without registration under the Securities Act within the limitation of the exemptions provided by Rule 144 or pursuant to any other available exemption from the Securities Act, including providing any legal opinions. Upon the request of any Holder, the Company shall deliver to such Holder a written certification of a duly authorized officer as to whether it has complied with such requirements.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Indemnification and Contribution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4.1.1. The Company agrees to indemnify, to the extent permitted by law, each Holder of Registrable Securities, its officers, directors and each person who controls such Holder (within the meaning of the Securities Act) (the “</w:t>
      </w:r>
      <w:r>
        <w:rPr>
          <w:rFonts w:ascii="Times New Roman" w:cs="Times New Roman" w:eastAsia="Times New Roman" w:hAnsi="Times New Roman"/>
          <w:sz w:val="18"/>
          <w:szCs w:val="18"/>
          <w:b w:val="1"/>
          <w:bCs w:val="1"/>
          <w:color w:val="auto"/>
        </w:rPr>
        <w:t>Holder Indemnified Parties</w:t>
      </w:r>
      <w:r>
        <w:rPr>
          <w:rFonts w:ascii="Times New Roman" w:cs="Times New Roman" w:eastAsia="Times New Roman" w:hAnsi="Times New Roman"/>
          <w:sz w:val="18"/>
          <w:szCs w:val="18"/>
          <w:color w:val="auto"/>
        </w:rPr>
        <w:t>”) against all losses, judgments, claims, actions,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inclusion therein. The Company shall promptly reimburse the Holder Indemnified Parties for any legal and any other expenses reasonably incurred by such Holder Indemnified Party in connection with investigating and defending any such losses, judgments, claims, actions, damages, liabilities or expenses. The Company shall indemnify the Underwriters, their officers, directors and each person who controls such Underwriters (within the meaning of the Securities Act) to the same extent as provided in the foregoing with respect to the indemnification of the Holder.</w:t>
      </w:r>
    </w:p>
    <w:p>
      <w:pPr>
        <w:spacing w:after="0" w:line="194"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judgments, claims, actions,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inclusion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7"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80"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 xml:space="preserve">4.1.5. If the indemnification provided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subsections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above, any legal or other fees, charges or expenses reasonably incurred by such party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Miscellaneous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or communication under this Agreement must be in writing and given by (i) deposit in the United States 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Innventure, Inc., 6900 Tavistock Lakes Boulevard, Suite 400, Orlando, Florida 32827, Attention: Gregory W. Haskell and Roland Austrup, Email: </w:t>
      </w:r>
      <w:r>
        <w:rPr>
          <w:rFonts w:ascii="Times New Roman" w:cs="Times New Roman" w:eastAsia="Times New Roman" w:hAnsi="Times New Roman"/>
          <w:sz w:val="18"/>
          <w:szCs w:val="18"/>
          <w:u w:val="single" w:color="auto"/>
          <w:color w:val="auto"/>
        </w:rPr>
        <w:t>bhaskell@innventure.com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raustrup@innventure.com</w:t>
      </w:r>
      <w:r>
        <w:rPr>
          <w:rFonts w:ascii="Times New Roman" w:cs="Times New Roman" w:eastAsia="Times New Roman" w:hAnsi="Times New Roman"/>
          <w:sz w:val="18"/>
          <w:szCs w:val="18"/>
          <w:color w:val="auto"/>
        </w:rPr>
        <w:t xml:space="preserve"> and, if to any Holder, at such Holder’s address or facsimile number as set forth in the Company’s books and records. Any party may change its address for notice at any time and from time to time by written notice to the other parties hereto.</w:t>
      </w:r>
    </w:p>
    <w:p>
      <w:pPr>
        <w:spacing w:after="0" w:line="18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u w:val="single" w:color="auto"/>
          <w:color w:val="auto"/>
        </w:rPr>
        <w:t>Assignment; No Third Party Beneficiaries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5.2.1. This Agreement and the rights, duties and obligations of the Company hereunder may not be assigned or delegated by the Company in whole or in part.</w:t>
      </w:r>
    </w:p>
    <w:p>
      <w:pPr>
        <w:spacing w:after="0" w:line="162"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5.2.2. Prior to the expiration of any applicable lock-up period, no Holder may assign or delegate such Holder’s rights, duties or obligations under this Agreement, in whole or in part, in violation of the applicable lock-up agreement, except in connection with a transfer of Registrable Securities by such Holder to a Permitted Transferee.</w:t>
      </w:r>
    </w:p>
    <w:p>
      <w:pPr>
        <w:spacing w:after="0" w:line="176"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62"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 xml:space="preserve">5.2.4. This Agreement shall not confer any rights or benefits on any persons that are not parties hereto, other than as expressly set forth in this Agreement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null and void.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multiple counterparts (including facsimile, electronic signature or PDF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which shall be deemed an original, and all of which together shall constitute the same instrument, but only one of which need be produced.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(including all agreements entered into pursuant hereto and all certificates and instruments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b w:val="1"/>
          <w:bCs w:val="1"/>
          <w:u w:val="single" w:color="auto"/>
          <w:color w:val="auto"/>
        </w:rPr>
        <w:t>Governing Law; Venue</w:t>
      </w:r>
      <w:r>
        <w:rPr>
          <w:rFonts w:ascii="Times New Roman" w:cs="Times New Roman" w:eastAsia="Times New Roman" w:hAnsi="Times New Roman"/>
          <w:sz w:val="18"/>
          <w:szCs w:val="18"/>
          <w:color w:val="auto"/>
        </w:rPr>
        <w:t>. NOTWITHSTANDING THE PLACE WHERE THIS AGREEMENT MAY BE EXECUTED BY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THE PARTIES EXPRESSLY AGREE THAT THIS AGREEMENT SHALL BE GOVERNED BY AND CONSTRUED UNDER THE LAWS OF THE STATE OF NEW YORK AS APPLIED TO AGREEMENTS AMONG NEW YORK RESIDENTS ENTERED INTO AND TO BE PERFORMED ENTIRELY WITHIN NEW YORK, WITHOUT REGARD TO THE CONFLICT OF LAW PROVISIONS OF SUCH JURISDICTION.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5.7. </w:t>
      </w:r>
      <w:r>
        <w:rPr>
          <w:rFonts w:ascii="Times New Roman" w:cs="Times New Roman" w:eastAsia="Times New Roman" w:hAnsi="Times New Roman"/>
          <w:sz w:val="18"/>
          <w:szCs w:val="18"/>
          <w:b w:val="1"/>
          <w:bCs w:val="1"/>
          <w:u w:val="single" w:color="auto"/>
          <w:color w:val="auto"/>
        </w:rPr>
        <w:t>Waiver of Trial by Jury</w:t>
      </w:r>
      <w:r>
        <w:rPr>
          <w:rFonts w:ascii="Times New Roman" w:cs="Times New Roman" w:eastAsia="Times New Roman" w:hAnsi="Times New Roman"/>
          <w:sz w:val="18"/>
          <w:szCs w:val="18"/>
          <w:color w:val="auto"/>
        </w:rPr>
        <w:t>. Each party hereby irrevocably and unconditionally waives the right to a trial by jury in any action, suit,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counterclaim or other proceeding (whether based on contract, tort or otherwise) arising out of, connected with or relating to this Agreement, the transactions contemplated hereby, or the actions of the Sponsor in the negotiation, administration, performance or enforcement hereof.</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5.8. </w:t>
      </w:r>
      <w:r>
        <w:rPr>
          <w:rFonts w:ascii="Times New Roman" w:cs="Times New Roman" w:eastAsia="Times New Roman" w:hAnsi="Times New Roman"/>
          <w:sz w:val="18"/>
          <w:szCs w:val="18"/>
          <w:b w:val="1"/>
          <w:bCs w:val="1"/>
          <w:u w:val="single" w:color="auto"/>
          <w:color w:val="auto"/>
        </w:rPr>
        <w:t>Amendments and Modifications</w:t>
      </w:r>
      <w:r>
        <w:rPr>
          <w:rFonts w:ascii="Times New Roman" w:cs="Times New Roman" w:eastAsia="Times New Roman" w:hAnsi="Times New Roman"/>
          <w:sz w:val="18"/>
          <w:szCs w:val="18"/>
          <w:color w:val="auto"/>
        </w:rPr>
        <w:t>. Upon the written consent of the Company and the Holders of at least a majority in interest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Registrable Securities at the time in question,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any amendment hereto or waiver hereof that affects either of (x) the Existing Holders as a group, (y) or the New Holders as a group, respectively, in a manner that is different from any other Holders, as applicable, shall require the prior written consent of (1) a majority-in-interest of the Registrable Securities held by such Existing Holders, or (2) a majority-in-interest of the Registrable Securities held by such New Holders, as applicable, prior to entering into such amendment or waiver; provided, further, that notwithstanding the foregoing, any amendment hereto or waiver hereof that affects one Holder or group of affiliated Holders, solely in its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both"/>
        <w:spacing w:after="0" w:line="258" w:lineRule="auto"/>
        <w:rPr>
          <w:sz w:val="20"/>
          <w:szCs w:val="20"/>
          <w:color w:val="auto"/>
        </w:rPr>
      </w:pPr>
      <w:r>
        <w:rPr>
          <w:rFonts w:ascii="Times New Roman" w:cs="Times New Roman" w:eastAsia="Times New Roman" w:hAnsi="Times New Roman"/>
          <w:sz w:val="18"/>
          <w:szCs w:val="18"/>
          <w:color w:val="auto"/>
        </w:rPr>
        <w:t>capacity as a holder of the shares of capital stock of the Company, in a manner that is materially different from the other Holders (in such capacity) shall require the consent of the Holder or group of affiliated Holders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5.9. </w:t>
      </w:r>
      <w:r>
        <w:rPr>
          <w:rFonts w:ascii="Times New Roman" w:cs="Times New Roman" w:eastAsia="Times New Roman" w:hAnsi="Times New Roman"/>
          <w:sz w:val="18"/>
          <w:szCs w:val="18"/>
          <w:b w:val="1"/>
          <w:bCs w:val="1"/>
          <w:u w:val="single" w:color="auto"/>
          <w:color w:val="auto"/>
        </w:rPr>
        <w:t>Titles and Headings</w:t>
      </w:r>
      <w:r>
        <w:rPr>
          <w:rFonts w:ascii="Times New Roman" w:cs="Times New Roman" w:eastAsia="Times New Roman" w:hAnsi="Times New Roman"/>
          <w:sz w:val="18"/>
          <w:szCs w:val="18"/>
          <w:color w:val="auto"/>
        </w:rPr>
        <w:t>. Titles and headings of sections of this Agreement are for convenience only and shall not affect the construction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 of this Agreement.</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5.10. </w:t>
      </w:r>
      <w:r>
        <w:rPr>
          <w:rFonts w:ascii="Times New Roman" w:cs="Times New Roman" w:eastAsia="Times New Roman" w:hAnsi="Times New Roman"/>
          <w:sz w:val="18"/>
          <w:szCs w:val="18"/>
          <w:b w:val="1"/>
          <w:bCs w:val="1"/>
          <w:u w:val="single" w:color="auto"/>
          <w:color w:val="auto"/>
        </w:rPr>
        <w:t>Waivers and Extensions</w:t>
      </w:r>
      <w:r>
        <w:rPr>
          <w:rFonts w:ascii="Times New Roman" w:cs="Times New Roman" w:eastAsia="Times New Roman" w:hAnsi="Times New Roman"/>
          <w:sz w:val="18"/>
          <w:szCs w:val="18"/>
          <w:color w:val="auto"/>
        </w:rPr>
        <w:t>. Any party to this Agreement may waive any right, breach or default which such party has the right to waive,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b w:val="1"/>
          <w:bCs w:val="1"/>
          <w:u w:val="single" w:color="auto"/>
          <w:color w:val="auto"/>
        </w:rPr>
        <w:t>Remedies Cumulative</w:t>
      </w:r>
      <w:r>
        <w:rPr>
          <w:rFonts w:ascii="Times New Roman" w:cs="Times New Roman" w:eastAsia="Times New Roman" w:hAnsi="Times New Roman"/>
          <w:sz w:val="18"/>
          <w:szCs w:val="18"/>
          <w:color w:val="auto"/>
        </w:rPr>
        <w:t>. In the event that the Company fails to observe or perform any covenant or agreement to be observed or performed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the Holders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5.12. </w:t>
      </w:r>
      <w:r>
        <w:rPr>
          <w:rFonts w:ascii="Times New Roman" w:cs="Times New Roman" w:eastAsia="Times New Roman" w:hAnsi="Times New Roman"/>
          <w:sz w:val="18"/>
          <w:szCs w:val="18"/>
          <w:b w:val="1"/>
          <w:bCs w:val="1"/>
          <w:u w:val="single" w:color="auto"/>
          <w:color w:val="auto"/>
        </w:rPr>
        <w:t>Other Registration Rights</w:t>
      </w:r>
      <w:r>
        <w:rPr>
          <w:rFonts w:ascii="Times New Roman" w:cs="Times New Roman" w:eastAsia="Times New Roman" w:hAnsi="Times New Roman"/>
          <w:sz w:val="18"/>
          <w:szCs w:val="18"/>
          <w:color w:val="auto"/>
        </w:rPr>
        <w:t>. The Company represents and warrants that no person, other than a Holder of Registrable Securities, has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5.13. </w:t>
      </w:r>
      <w:r>
        <w:rPr>
          <w:rFonts w:ascii="Times New Roman" w:cs="Times New Roman" w:eastAsia="Times New Roman" w:hAnsi="Times New Roman"/>
          <w:sz w:val="18"/>
          <w:szCs w:val="18"/>
          <w:b w:val="1"/>
          <w:bCs w:val="1"/>
          <w:u w:val="single" w:color="auto"/>
          <w:color w:val="auto"/>
        </w:rPr>
        <w:t>Legend Removal</w:t>
      </w:r>
      <w:r>
        <w:rPr>
          <w:rFonts w:ascii="Times New Roman" w:cs="Times New Roman" w:eastAsia="Times New Roman" w:hAnsi="Times New Roman"/>
          <w:sz w:val="18"/>
          <w:szCs w:val="18"/>
          <w:color w:val="auto"/>
        </w:rPr>
        <w:t>. If a Holder holds Registrable Securities that are eligible to be sold without restriction under Rule 144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set forth under Rule 144(i)) or pursuant to an effective Registration Statement, then, at such Holder’s request, accompanied by such written representations and other documents as the Company or its transfer agent shall reasonably request, the Company shall, reasonably promptly, cause the Company’s transfer agent to remove any restrictive legend set forth on the Registrable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both"/>
        <w:spacing w:after="0" w:line="266" w:lineRule="auto"/>
        <w:rPr>
          <w:sz w:val="20"/>
          <w:szCs w:val="20"/>
          <w:color w:val="auto"/>
        </w:rPr>
      </w:pPr>
      <w:r>
        <w:rPr>
          <w:rFonts w:ascii="Times New Roman" w:cs="Times New Roman" w:eastAsia="Times New Roman" w:hAnsi="Times New Roman"/>
          <w:sz w:val="18"/>
          <w:szCs w:val="18"/>
          <w:color w:val="auto"/>
        </w:rPr>
        <w:t>Securities held by such Holder in connection with any sale of such Registrable Securities pursuant to Rule 144 or the effective Registration Statement, as applicable (including, if required by the Company’s transfer agent, by delivering to the Company’s transfer agent a direction letter and opinion of counsel in form reasonably acceptable to the Company’s transfer agent).</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5.14.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This Agreement shall terminate upon the earlier of (i) the tenth anniversary of the date of this Agreement and (ii) the date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no Registrable Securities remain outstanding. The provisions of Section 3.5 and Article IV shall survive any termination.</w:t>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caused this Agreement to be executed as of the date first written above.</w:t>
      </w: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26035</wp:posOffset>
            </wp:positionV>
            <wp:extent cx="334327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267335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7" w:right="1440" w:bottom="1440" w:gutter="0" w:footer="0" w:header="0"/>
        </w:sectPr>
      </w:pPr>
    </w:p>
    <w:bookmarkStart w:id="103" w:name="page104"/>
    <w:bookmarkEnd w:id="103"/>
    <w:p>
      <w:pPr>
        <w:ind w:left="4520"/>
        <w:spacing w:after="0"/>
        <w:rPr>
          <w:sz w:val="20"/>
          <w:szCs w:val="20"/>
          <w:color w:val="auto"/>
        </w:rPr>
      </w:pPr>
      <w:r>
        <w:rPr>
          <w:rFonts w:ascii="Times New Roman" w:cs="Times New Roman" w:eastAsia="Times New Roman" w:hAnsi="Times New Roman"/>
          <w:sz w:val="18"/>
          <w:szCs w:val="18"/>
          <w:color w:val="auto"/>
        </w:rPr>
        <w:t>SPAC:</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LEARN CW INVESTMENT CORPORATION</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SPONSOR:</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CWAM LC SPONSOR LLC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ABF Manager LLC, its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Adam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Adam Fisher</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Sole Member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4" w:name="page105"/>
    <w:bookmarkEnd w:id="104"/>
    <w:p>
      <w:pPr>
        <w:ind w:left="4520"/>
        <w:spacing w:after="0"/>
        <w:rPr>
          <w:sz w:val="20"/>
          <w:szCs w:val="20"/>
          <w:color w:val="auto"/>
        </w:rPr>
      </w:pPr>
      <w:r>
        <w:rPr>
          <w:rFonts w:ascii="Times New Roman" w:cs="Times New Roman" w:eastAsia="Times New Roman" w:hAnsi="Times New Roman"/>
          <w:sz w:val="18"/>
          <w:szCs w:val="18"/>
          <w:color w:val="auto"/>
        </w:rPr>
        <w:t>EXISTING HOLDERS: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5" w:name="page106"/>
    <w:bookmarkEnd w:id="105"/>
    <w:p>
      <w:pPr>
        <w:ind w:left="4520"/>
        <w:spacing w:after="0"/>
        <w:rPr>
          <w:sz w:val="20"/>
          <w:szCs w:val="20"/>
          <w:color w:val="auto"/>
        </w:rPr>
      </w:pPr>
      <w:r>
        <w:rPr>
          <w:rFonts w:ascii="Times New Roman" w:cs="Times New Roman" w:eastAsia="Times New Roman" w:hAnsi="Times New Roman"/>
          <w:sz w:val="18"/>
          <w:szCs w:val="18"/>
          <w:color w:val="auto"/>
        </w:rPr>
        <w:t>By: /s/ Adam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Adam Fisher</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6" w:name="page107"/>
    <w:bookmarkEnd w:id="106"/>
    <w:p>
      <w:pPr>
        <w:ind w:left="4500"/>
        <w:spacing w:after="0"/>
        <w:rPr>
          <w:sz w:val="20"/>
          <w:szCs w:val="20"/>
          <w:color w:val="auto"/>
        </w:rPr>
      </w:pPr>
      <w:r>
        <w:rPr>
          <w:rFonts w:ascii="Times New Roman" w:cs="Times New Roman" w:eastAsia="Times New Roman" w:hAnsi="Times New Roman"/>
          <w:sz w:val="17"/>
          <w:szCs w:val="17"/>
          <w:color w:val="auto"/>
        </w:rPr>
        <w:t>The 2011 Jonathan R Goldman and Anuranjita</w:t>
      </w:r>
    </w:p>
    <w:p>
      <w:pPr>
        <w:spacing w:after="0" w:line="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Tewary Revocable Trust</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Anuranjita Tewary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Anuranjita Tewary</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7" w:name="page108"/>
    <w:bookmarkEnd w:id="107"/>
    <w:p>
      <w:pPr>
        <w:ind w:left="4520"/>
        <w:spacing w:after="0"/>
        <w:rPr>
          <w:sz w:val="20"/>
          <w:szCs w:val="20"/>
          <w:color w:val="auto"/>
        </w:rPr>
      </w:pPr>
      <w:r>
        <w:rPr>
          <w:rFonts w:ascii="Times New Roman" w:cs="Times New Roman" w:eastAsia="Times New Roman" w:hAnsi="Times New Roman"/>
          <w:sz w:val="18"/>
          <w:szCs w:val="18"/>
          <w:color w:val="auto"/>
        </w:rPr>
        <w:t>By: /s/ Daniel H.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Daniel H. Stern</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8" w:name="page109"/>
    <w:bookmarkEnd w:id="108"/>
    <w:p>
      <w:pPr>
        <w:ind w:left="4520"/>
        <w:spacing w:after="0"/>
        <w:rPr>
          <w:sz w:val="20"/>
          <w:szCs w:val="20"/>
          <w:color w:val="auto"/>
        </w:rPr>
      </w:pPr>
      <w:r>
        <w:rPr>
          <w:rFonts w:ascii="Times New Roman" w:cs="Times New Roman" w:eastAsia="Times New Roman" w:hAnsi="Times New Roman"/>
          <w:sz w:val="18"/>
          <w:szCs w:val="18"/>
          <w:color w:val="auto"/>
        </w:rPr>
        <w:t>By: /s/ Peter Relan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Peter Relan</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9" w:name="page110"/>
    <w:bookmarkEnd w:id="109"/>
    <w:p>
      <w:pPr>
        <w:ind w:left="4520"/>
        <w:spacing w:after="0"/>
        <w:rPr>
          <w:sz w:val="20"/>
          <w:szCs w:val="20"/>
          <w:color w:val="auto"/>
        </w:rPr>
      </w:pPr>
      <w:r>
        <w:rPr>
          <w:rFonts w:ascii="Times New Roman" w:cs="Times New Roman" w:eastAsia="Times New Roman" w:hAnsi="Times New Roman"/>
          <w:sz w:val="18"/>
          <w:szCs w:val="18"/>
          <w:color w:val="auto"/>
        </w:rPr>
        <w:t>By: /s/ Ellen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Ellen Levy</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360045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225" w:lineRule="exact"/>
        <w:rPr>
          <w:sz w:val="20"/>
          <w:szCs w:val="20"/>
          <w:color w:val="auto"/>
        </w:rPr>
      </w:pPr>
    </w:p>
    <w:p>
      <w:pPr>
        <w:jc w:val="both"/>
        <w:ind w:firstLine="810"/>
        <w:spacing w:after="0" w:line="268" w:lineRule="auto"/>
        <w:rPr>
          <w:sz w:val="20"/>
          <w:szCs w:val="20"/>
          <w:color w:val="auto"/>
        </w:rPr>
      </w:pPr>
      <w:r>
        <w:rPr>
          <w:rFonts w:ascii="Times New Roman" w:cs="Times New Roman" w:eastAsia="Times New Roman" w:hAnsi="Times New Roman"/>
          <w:sz w:val="18"/>
          <w:szCs w:val="18"/>
          <w:color w:val="auto"/>
        </w:rPr>
        <w:t>THIS INVESTORS’ RIGHTS AGREEMENT (this “</w:t>
      </w:r>
      <w:r>
        <w:rPr>
          <w:rFonts w:ascii="Times New Roman" w:cs="Times New Roman" w:eastAsia="Times New Roman" w:hAnsi="Times New Roman"/>
          <w:sz w:val="18"/>
          <w:szCs w:val="18"/>
          <w:b w:val="1"/>
          <w:bCs w:val="1"/>
          <w:u w:val="single" w:color="auto"/>
          <w:color w:val="auto"/>
        </w:rPr>
        <w:t>Agreemen</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 is entered into as of the 2nd day of October, 2024, by and among Innventure, Inc. f/k/a Learn SPAC Holdco, Inc. (“</w:t>
      </w:r>
      <w:r>
        <w:rPr>
          <w:rFonts w:ascii="Times New Roman" w:cs="Times New Roman" w:eastAsia="Times New Roman" w:hAnsi="Times New Roman"/>
          <w:sz w:val="18"/>
          <w:szCs w:val="18"/>
          <w:b w:val="1"/>
          <w:bCs w:val="1"/>
          <w:color w:val="auto"/>
        </w:rPr>
        <w:t>Holdco</w:t>
      </w:r>
      <w:r>
        <w:rPr>
          <w:rFonts w:ascii="Times New Roman" w:cs="Times New Roman" w:eastAsia="Times New Roman" w:hAnsi="Times New Roman"/>
          <w:sz w:val="18"/>
          <w:szCs w:val="18"/>
          <w:color w:val="auto"/>
        </w:rPr>
        <w:t>”), a Delaware corporation, and the undersigned parties listed under Founding Investors on the signature page hereto (each, an “</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collectively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810"/>
        <w:spacing w:after="0" w:line="258" w:lineRule="auto"/>
        <w:rPr>
          <w:sz w:val="20"/>
          <w:szCs w:val="20"/>
          <w:color w:val="auto"/>
        </w:rPr>
      </w:pPr>
      <w:r>
        <w:rPr>
          <w:rFonts w:ascii="Times New Roman" w:cs="Times New Roman" w:eastAsia="Times New Roman" w:hAnsi="Times New Roman"/>
          <w:sz w:val="18"/>
          <w:szCs w:val="18"/>
          <w:color w:val="auto"/>
        </w:rPr>
        <w:t>WHEREAS, Holdco is party to that certain Business Combination Agreement, dated as of October 24, 2023 (as amended, amended and restated, supplemented or otherwise modified from time to time, the “</w:t>
      </w:r>
      <w:r>
        <w:rPr>
          <w:rFonts w:ascii="Times New Roman" w:cs="Times New Roman" w:eastAsia="Times New Roman" w:hAnsi="Times New Roman"/>
          <w:sz w:val="18"/>
          <w:szCs w:val="18"/>
          <w:b w:val="1"/>
          <w:bCs w:val="1"/>
          <w:u w:val="single" w:color="auto"/>
          <w:color w:val="auto"/>
        </w:rPr>
        <w:t>BCA</w:t>
      </w:r>
      <w:r>
        <w:rPr>
          <w:rFonts w:ascii="Times New Roman" w:cs="Times New Roman" w:eastAsia="Times New Roman" w:hAnsi="Times New Roman"/>
          <w:sz w:val="18"/>
          <w:szCs w:val="18"/>
          <w:color w:val="auto"/>
        </w:rPr>
        <w:t>”), by and among Holdco, Learn CW Investment Corporation, LCW Merger Sub, Inc., Innventure LLC (“</w:t>
      </w:r>
      <w:r>
        <w:rPr>
          <w:rFonts w:ascii="Times New Roman" w:cs="Times New Roman" w:eastAsia="Times New Roman" w:hAnsi="Times New Roman"/>
          <w:sz w:val="18"/>
          <w:szCs w:val="18"/>
          <w:b w:val="1"/>
          <w:bCs w:val="1"/>
          <w:u w:val="single" w:color="auto"/>
          <w:color w:val="auto"/>
        </w:rPr>
        <w:t>Innventure</w:t>
      </w:r>
      <w:r>
        <w:rPr>
          <w:rFonts w:ascii="Times New Roman" w:cs="Times New Roman" w:eastAsia="Times New Roman" w:hAnsi="Times New Roman"/>
          <w:sz w:val="18"/>
          <w:szCs w:val="18"/>
          <w:color w:val="auto"/>
        </w:rPr>
        <w:t>”), and Innventure Merger Sub, LLC (“</w:t>
      </w:r>
      <w:r>
        <w:rPr>
          <w:rFonts w:ascii="Times New Roman" w:cs="Times New Roman" w:eastAsia="Times New Roman" w:hAnsi="Times New Roman"/>
          <w:sz w:val="18"/>
          <w:szCs w:val="18"/>
          <w:b w:val="1"/>
          <w:bCs w:val="1"/>
          <w:u w:val="single" w:color="auto"/>
          <w:color w:val="auto"/>
        </w:rPr>
        <w:t>Innventure Merger Sub</w:t>
      </w:r>
      <w:r>
        <w:rPr>
          <w:rFonts w:ascii="Times New Roman" w:cs="Times New Roman" w:eastAsia="Times New Roman" w:hAnsi="Times New Roman"/>
          <w:sz w:val="18"/>
          <w:szCs w:val="18"/>
          <w:color w:val="auto"/>
        </w:rPr>
        <w:t>”), pursuant to which, among other things, Innventure Merger Sub merged with and into Innventure, with Innventure being the surviving company and a wholly-owned subsidiary of Holdco, and Innventure members receiving Common Shares of Holdco in exchange for their membership interests in Innventure as provided by the BCA; and</w:t>
      </w:r>
    </w:p>
    <w:p>
      <w:pPr>
        <w:spacing w:after="0" w:line="183" w:lineRule="exact"/>
        <w:rPr>
          <w:sz w:val="20"/>
          <w:szCs w:val="20"/>
          <w:color w:val="auto"/>
        </w:rPr>
      </w:pPr>
    </w:p>
    <w:p>
      <w:pPr>
        <w:jc w:val="both"/>
        <w:ind w:firstLine="810"/>
        <w:spacing w:after="0" w:line="282" w:lineRule="auto"/>
        <w:rPr>
          <w:sz w:val="20"/>
          <w:szCs w:val="20"/>
          <w:color w:val="auto"/>
        </w:rPr>
      </w:pPr>
      <w:r>
        <w:rPr>
          <w:rFonts w:ascii="Times New Roman" w:cs="Times New Roman" w:eastAsia="Times New Roman" w:hAnsi="Times New Roman"/>
          <w:sz w:val="18"/>
          <w:szCs w:val="18"/>
          <w:color w:val="auto"/>
        </w:rPr>
        <w:t>WHEREAS, in connection with the transactions contemplated by the BCA, Holdco has agreed to grant to the Founding Investors certain rights with respect to nomination of directors on the terms and conditions set forth herein.</w:t>
      </w:r>
    </w:p>
    <w:p>
      <w:pPr>
        <w:spacing w:after="0" w:line="162" w:lineRule="exact"/>
        <w:rPr>
          <w:sz w:val="20"/>
          <w:szCs w:val="20"/>
          <w:color w:val="auto"/>
        </w:rPr>
      </w:pPr>
    </w:p>
    <w:p>
      <w:pPr>
        <w:jc w:val="both"/>
        <w:ind w:right="20" w:firstLine="81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62" w:lineRule="exact"/>
        <w:rPr>
          <w:sz w:val="20"/>
          <w:szCs w:val="20"/>
          <w:color w:val="auto"/>
        </w:rPr>
      </w:pPr>
    </w:p>
    <w:p>
      <w:pPr>
        <w:ind w:left="820" w:hanging="812"/>
        <w:spacing w:after="0"/>
        <w:tabs>
          <w:tab w:leader="none" w:pos="8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used herein have the following meanings:</w:t>
      </w:r>
    </w:p>
    <w:p>
      <w:pPr>
        <w:spacing w:after="0" w:line="221" w:lineRule="exact"/>
        <w:rPr>
          <w:sz w:val="20"/>
          <w:szCs w:val="20"/>
          <w:color w:val="auto"/>
        </w:rPr>
      </w:pPr>
    </w:p>
    <w:p>
      <w:pPr>
        <w:jc w:val="both"/>
        <w:ind w:firstLine="810"/>
        <w:spacing w:after="0" w:line="28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with respect to any specified person, any person that, directly or indirectly, controls, is controlled by, or is under common control with, such specified person, through one or more intermediaries or otherwise.</w:t>
      </w:r>
    </w:p>
    <w:p>
      <w:pPr>
        <w:spacing w:after="0" w:line="155" w:lineRule="exact"/>
        <w:rPr>
          <w:sz w:val="20"/>
          <w:szCs w:val="20"/>
          <w:color w:val="auto"/>
        </w:rPr>
      </w:pPr>
    </w:p>
    <w:p>
      <w:pPr>
        <w:ind w:left="820"/>
        <w:spacing w:after="0"/>
        <w:tabs>
          <w:tab w:leader="none" w:pos="12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color w:val="auto"/>
        </w:rPr>
        <w:t>” is defined in the preamble to this Agreement.</w:t>
      </w:r>
    </w:p>
    <w:p>
      <w:pPr>
        <w:spacing w:after="0" w:line="225" w:lineRule="exact"/>
        <w:rPr>
          <w:sz w:val="20"/>
          <w:szCs w:val="20"/>
          <w:color w:val="auto"/>
        </w:rPr>
      </w:pPr>
    </w:p>
    <w:p>
      <w:pPr>
        <w:ind w:left="820"/>
        <w:spacing w:after="0"/>
        <w:tabs>
          <w:tab w:leader="none" w:pos="1240" w:val="left"/>
        </w:tabs>
        <w:rPr>
          <w:sz w:val="20"/>
          <w:szCs w:val="20"/>
          <w:color w:val="auto"/>
        </w:rPr>
      </w:pPr>
      <w:r>
        <w:rPr>
          <w:rFonts w:ascii="Times New Roman" w:cs="Times New Roman" w:eastAsia="Times New Roman" w:hAnsi="Times New Roman"/>
          <w:sz w:val="18"/>
          <w:szCs w:val="18"/>
          <w:color w:val="auto"/>
        </w:rPr>
        <w:t>1.3</w:t>
        <w:tab/>
        <w:t>“</w:t>
      </w:r>
      <w:r>
        <w:rPr>
          <w:rFonts w:ascii="Times New Roman" w:cs="Times New Roman" w:eastAsia="Times New Roman" w:hAnsi="Times New Roman"/>
          <w:sz w:val="18"/>
          <w:szCs w:val="18"/>
          <w:b w:val="1"/>
          <w:bCs w:val="1"/>
          <w:u w:val="single" w:color="auto"/>
          <w:color w:val="auto"/>
        </w:rPr>
        <w:t>BCA</w:t>
      </w:r>
      <w:r>
        <w:rPr>
          <w:rFonts w:ascii="Times New Roman" w:cs="Times New Roman" w:eastAsia="Times New Roman" w:hAnsi="Times New Roman"/>
          <w:sz w:val="18"/>
          <w:szCs w:val="18"/>
          <w:color w:val="auto"/>
        </w:rPr>
        <w:t>” is defined in the recitals to this Agreement.</w:t>
      </w:r>
    </w:p>
    <w:p>
      <w:pPr>
        <w:spacing w:after="0" w:line="225" w:lineRule="exact"/>
        <w:rPr>
          <w:sz w:val="20"/>
          <w:szCs w:val="20"/>
          <w:color w:val="auto"/>
        </w:rPr>
      </w:pPr>
    </w:p>
    <w:p>
      <w:pPr>
        <w:ind w:left="820"/>
        <w:spacing w:after="0"/>
        <w:tabs>
          <w:tab w:leader="none" w:pos="1240" w:val="left"/>
        </w:tabs>
        <w:rPr>
          <w:sz w:val="20"/>
          <w:szCs w:val="20"/>
          <w:color w:val="auto"/>
        </w:rPr>
      </w:pPr>
      <w:r>
        <w:rPr>
          <w:rFonts w:ascii="Times New Roman" w:cs="Times New Roman" w:eastAsia="Times New Roman" w:hAnsi="Times New Roman"/>
          <w:sz w:val="18"/>
          <w:szCs w:val="18"/>
          <w:color w:val="auto"/>
        </w:rPr>
        <w:t>1.4</w:t>
        <w:tab/>
        <w:t>“</w:t>
      </w:r>
      <w:r>
        <w:rPr>
          <w:rFonts w:ascii="Times New Roman" w:cs="Times New Roman" w:eastAsia="Times New Roman" w:hAnsi="Times New Roman"/>
          <w:sz w:val="18"/>
          <w:szCs w:val="18"/>
          <w:b w:val="1"/>
          <w:bCs w:val="1"/>
          <w:u w:val="single" w:color="auto"/>
          <w:color w:val="auto"/>
        </w:rPr>
        <w:t>Beneficially Own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Beneficially Owned</w:t>
      </w:r>
      <w:r>
        <w:rPr>
          <w:rFonts w:ascii="Times New Roman" w:cs="Times New Roman" w:eastAsia="Times New Roman" w:hAnsi="Times New Roman"/>
          <w:sz w:val="18"/>
          <w:szCs w:val="18"/>
          <w:color w:val="auto"/>
        </w:rPr>
        <w:t>” has the meaning ascribed to it in Section 13(d) of the Exchange Act.</w:t>
      </w:r>
    </w:p>
    <w:p>
      <w:pPr>
        <w:spacing w:after="0" w:line="225" w:lineRule="exact"/>
        <w:rPr>
          <w:sz w:val="20"/>
          <w:szCs w:val="20"/>
          <w:color w:val="auto"/>
        </w:rPr>
      </w:pPr>
    </w:p>
    <w:p>
      <w:pPr>
        <w:ind w:left="820"/>
        <w:spacing w:after="0"/>
        <w:tabs>
          <w:tab w:leader="none" w:pos="1240" w:val="left"/>
        </w:tabs>
        <w:rPr>
          <w:sz w:val="20"/>
          <w:szCs w:val="20"/>
          <w:color w:val="auto"/>
        </w:rPr>
      </w:pPr>
      <w:r>
        <w:rPr>
          <w:rFonts w:ascii="Times New Roman" w:cs="Times New Roman" w:eastAsia="Times New Roman" w:hAnsi="Times New Roman"/>
          <w:sz w:val="18"/>
          <w:szCs w:val="18"/>
          <w:color w:val="auto"/>
        </w:rPr>
        <w:t>1.5</w:t>
        <w:tab/>
        <w:t>“</w:t>
      </w:r>
      <w:r>
        <w:rPr>
          <w:rFonts w:ascii="Times New Roman" w:cs="Times New Roman" w:eastAsia="Times New Roman" w:hAnsi="Times New Roman"/>
          <w:sz w:val="18"/>
          <w:szCs w:val="18"/>
          <w:b w:val="1"/>
          <w:bCs w:val="1"/>
          <w:u w:val="single" w:color="auto"/>
          <w:color w:val="auto"/>
        </w:rPr>
        <w:t>Board of Directors</w:t>
      </w:r>
      <w:r>
        <w:rPr>
          <w:rFonts w:ascii="Times New Roman" w:cs="Times New Roman" w:eastAsia="Times New Roman" w:hAnsi="Times New Roman"/>
          <w:sz w:val="18"/>
          <w:szCs w:val="18"/>
          <w:color w:val="auto"/>
        </w:rPr>
        <w:t>” means the board of directors of Holdco.</w:t>
      </w:r>
    </w:p>
    <w:p>
      <w:pPr>
        <w:spacing w:after="0" w:line="225" w:lineRule="exact"/>
        <w:rPr>
          <w:sz w:val="20"/>
          <w:szCs w:val="20"/>
          <w:color w:val="auto"/>
        </w:rPr>
      </w:pPr>
    </w:p>
    <w:p>
      <w:pPr>
        <w:ind w:left="820"/>
        <w:spacing w:after="0"/>
        <w:tabs>
          <w:tab w:leader="none" w:pos="1240" w:val="left"/>
        </w:tabs>
        <w:rPr>
          <w:sz w:val="20"/>
          <w:szCs w:val="20"/>
          <w:color w:val="auto"/>
        </w:rPr>
      </w:pPr>
      <w:r>
        <w:rPr>
          <w:rFonts w:ascii="Times New Roman" w:cs="Times New Roman" w:eastAsia="Times New Roman" w:hAnsi="Times New Roman"/>
          <w:sz w:val="18"/>
          <w:szCs w:val="18"/>
          <w:color w:val="auto"/>
        </w:rPr>
        <w:t>1.6</w:t>
        <w:tab/>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has the meaning set forth in the BCA.</w:t>
      </w:r>
    </w:p>
    <w:p>
      <w:pPr>
        <w:spacing w:after="0" w:line="225" w:lineRule="exact"/>
        <w:rPr>
          <w:sz w:val="20"/>
          <w:szCs w:val="20"/>
          <w:color w:val="auto"/>
        </w:rPr>
      </w:pPr>
    </w:p>
    <w:p>
      <w:pPr>
        <w:jc w:val="both"/>
        <w:ind w:firstLine="810"/>
        <w:spacing w:after="0" w:line="286"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Securities and Exchange Commission, or any other Federal agency then administering the Securities Act or the Exchange Act.</w:t>
      </w:r>
    </w:p>
    <w:p>
      <w:pPr>
        <w:spacing w:after="0" w:line="155" w:lineRule="exact"/>
        <w:rPr>
          <w:sz w:val="20"/>
          <w:szCs w:val="20"/>
          <w:color w:val="auto"/>
        </w:rPr>
      </w:pPr>
    </w:p>
    <w:p>
      <w:pPr>
        <w:ind w:left="820"/>
        <w:spacing w:after="0"/>
        <w:tabs>
          <w:tab w:leader="none" w:pos="1240" w:val="left"/>
        </w:tabs>
        <w:rPr>
          <w:sz w:val="20"/>
          <w:szCs w:val="20"/>
          <w:color w:val="auto"/>
        </w:rPr>
      </w:pPr>
      <w:r>
        <w:rPr>
          <w:rFonts w:ascii="Times New Roman" w:cs="Times New Roman" w:eastAsia="Times New Roman" w:hAnsi="Times New Roman"/>
          <w:sz w:val="18"/>
          <w:szCs w:val="18"/>
          <w:color w:val="auto"/>
        </w:rPr>
        <w:t>1.8</w:t>
        <w:tab/>
        <w:t>“</w:t>
      </w:r>
      <w:r>
        <w:rPr>
          <w:rFonts w:ascii="Times New Roman" w:cs="Times New Roman" w:eastAsia="Times New Roman" w:hAnsi="Times New Roman"/>
          <w:sz w:val="18"/>
          <w:szCs w:val="18"/>
          <w:b w:val="1"/>
          <w:bCs w:val="1"/>
          <w:u w:val="single" w:color="auto"/>
          <w:color w:val="auto"/>
        </w:rPr>
        <w:t>Common Shares</w:t>
      </w:r>
      <w:r>
        <w:rPr>
          <w:rFonts w:ascii="Times New Roman" w:cs="Times New Roman" w:eastAsia="Times New Roman" w:hAnsi="Times New Roman"/>
          <w:sz w:val="18"/>
          <w:szCs w:val="18"/>
          <w:color w:val="auto"/>
        </w:rPr>
        <w:t>” means shares of Common Stock of Holdco, par value $0.0001 per share.</w:t>
      </w:r>
    </w:p>
    <w:p>
      <w:pPr>
        <w:spacing w:after="0" w:line="225" w:lineRule="exact"/>
        <w:rPr>
          <w:sz w:val="20"/>
          <w:szCs w:val="20"/>
          <w:color w:val="auto"/>
        </w:rPr>
      </w:pPr>
    </w:p>
    <w:p>
      <w:pPr>
        <w:jc w:val="both"/>
        <w:ind w:firstLine="810"/>
        <w:spacing w:after="0" w:line="286"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 all as the same shall be in effect at the time.</w:t>
      </w:r>
    </w:p>
    <w:p>
      <w:pPr>
        <w:spacing w:after="0" w:line="1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u w:val="single" w:color="auto"/>
          <w:color w:val="auto"/>
        </w:rPr>
        <w:t>Founding Investor</w:t>
      </w:r>
      <w:r>
        <w:rPr>
          <w:rFonts w:ascii="Times New Roman" w:cs="Times New Roman" w:eastAsia="Times New Roman" w:hAnsi="Times New Roman"/>
          <w:sz w:val="18"/>
          <w:szCs w:val="18"/>
          <w:color w:val="auto"/>
        </w:rPr>
        <w:t xml:space="preserve">” means each of the persons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each of their Permitted Transferees.</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u w:val="single" w:color="auto"/>
          <w:color w:val="auto"/>
        </w:rPr>
        <w:t>Founding Investor Shares</w:t>
      </w:r>
      <w:r>
        <w:rPr>
          <w:rFonts w:ascii="Times New Roman" w:cs="Times New Roman" w:eastAsia="Times New Roman" w:hAnsi="Times New Roman"/>
          <w:sz w:val="18"/>
          <w:szCs w:val="18"/>
          <w:color w:val="auto"/>
        </w:rPr>
        <w:t>” means those Common Shares Beneficially Owned by the Founding Investors.</w:t>
      </w:r>
    </w:p>
    <w:p>
      <w:pPr>
        <w:spacing w:after="0" w:line="225" w:lineRule="exact"/>
        <w:rPr>
          <w:sz w:val="20"/>
          <w:szCs w:val="20"/>
          <w:color w:val="auto"/>
        </w:rPr>
      </w:pPr>
    </w:p>
    <w:p>
      <w:pPr>
        <w:jc w:val="both"/>
        <w:ind w:firstLine="810"/>
        <w:spacing w:after="0" w:line="268"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u w:val="single" w:color="auto"/>
          <w:color w:val="auto"/>
        </w:rPr>
        <w:t>Independent Director</w:t>
      </w:r>
      <w:r>
        <w:rPr>
          <w:rFonts w:ascii="Times New Roman" w:cs="Times New Roman" w:eastAsia="Times New Roman" w:hAnsi="Times New Roman"/>
          <w:sz w:val="18"/>
          <w:szCs w:val="18"/>
          <w:color w:val="auto"/>
        </w:rPr>
        <w:t>” shall mean a director who complies with the independence requirements for directors with respect to Holdco (without reference to any applicable exemptions from such requirements, and without reference to any heightened requirements for service on the audit committee of the Board of Directors) for companies listed on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1" w:name="page112"/>
    <w:bookmarkEnd w:id="111"/>
    <w:p>
      <w:pPr>
        <w:ind w:left="820"/>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jc w:val="both"/>
        <w:ind w:firstLine="810"/>
        <w:spacing w:after="0" w:line="286"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u w:val="single" w:color="auto"/>
          <w:color w:val="auto"/>
        </w:rPr>
        <w:t>Majority Founding Investor Direction</w:t>
      </w:r>
      <w:r>
        <w:rPr>
          <w:rFonts w:ascii="Times New Roman" w:cs="Times New Roman" w:eastAsia="Times New Roman" w:hAnsi="Times New Roman"/>
          <w:sz w:val="18"/>
          <w:szCs w:val="18"/>
          <w:color w:val="auto"/>
        </w:rPr>
        <w:t>” means a direction to nominate directors received by Holdco from Founding Investors holding more than 50% of the Founding Investor Shares.</w:t>
      </w:r>
    </w:p>
    <w:p>
      <w:pPr>
        <w:spacing w:after="0" w:line="1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u w:val="single" w:color="auto"/>
          <w:color w:val="auto"/>
        </w:rPr>
        <w:t>Management Director</w:t>
      </w:r>
      <w:r>
        <w:rPr>
          <w:rFonts w:ascii="Times New Roman" w:cs="Times New Roman" w:eastAsia="Times New Roman" w:hAnsi="Times New Roman"/>
          <w:sz w:val="18"/>
          <w:szCs w:val="18"/>
          <w:color w:val="auto"/>
        </w:rPr>
        <w:t>” shall mean a director who is an executive officer of Holdco.</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u w:val="single" w:color="auto"/>
          <w:color w:val="auto"/>
        </w:rPr>
        <w:t>Minimum Holding Condition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10"/>
        <w:spacing w:after="0" w:line="268"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u w:val="single" w:color="auto"/>
          <w:color w:val="auto"/>
        </w:rPr>
        <w:t>Permitted Transferees</w:t>
      </w:r>
      <w:r>
        <w:rPr>
          <w:rFonts w:ascii="Times New Roman" w:cs="Times New Roman" w:eastAsia="Times New Roman" w:hAnsi="Times New Roman"/>
          <w:sz w:val="18"/>
          <w:szCs w:val="18"/>
          <w:color w:val="auto"/>
        </w:rPr>
        <w:t>” means (a) with respect to any Investor, its (i) officers, directors, members, consultants or Affiliates, (ii) relatives and trusts for estate planning purposes, (iii) descendants upon death or (iv) pursuant to a qualified domestic relations order, (b) Holdco, and (c) any other Investor.</w:t>
      </w:r>
    </w:p>
    <w:p>
      <w:pPr>
        <w:spacing w:after="0" w:line="171" w:lineRule="exact"/>
        <w:rPr>
          <w:sz w:val="20"/>
          <w:szCs w:val="20"/>
          <w:color w:val="auto"/>
        </w:rPr>
      </w:pPr>
    </w:p>
    <w:p>
      <w:pPr>
        <w:jc w:val="both"/>
        <w:ind w:firstLine="810"/>
        <w:spacing w:after="0" w:line="268"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 individual, corporation, partnership, limited partnership, limited liability company, syndicate, person (including a “person” as defined in Section 13(d)(3) of the Exchange Act), trust, association or entity or government, political subdivision, agency or instrumentality of a government.</w:t>
      </w:r>
    </w:p>
    <w:p>
      <w:pPr>
        <w:spacing w:after="0" w:line="171" w:lineRule="exact"/>
        <w:rPr>
          <w:sz w:val="20"/>
          <w:szCs w:val="20"/>
          <w:color w:val="auto"/>
        </w:rPr>
      </w:pPr>
    </w:p>
    <w:p>
      <w:pPr>
        <w:jc w:val="both"/>
        <w:ind w:firstLine="810"/>
        <w:spacing w:after="0" w:line="286"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 all as the same shall be in effect at the time.</w:t>
      </w:r>
    </w:p>
    <w:p>
      <w:pPr>
        <w:spacing w:after="0" w:line="159" w:lineRule="exact"/>
        <w:rPr>
          <w:sz w:val="20"/>
          <w:szCs w:val="20"/>
          <w:color w:val="auto"/>
        </w:rPr>
      </w:pPr>
    </w:p>
    <w:p>
      <w:pPr>
        <w:ind w:left="820" w:hanging="812"/>
        <w:spacing w:after="0"/>
        <w:tabs>
          <w:tab w:leader="none" w:pos="8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Designees</w:t>
      </w:r>
    </w:p>
    <w:p>
      <w:pPr>
        <w:spacing w:after="0" w:line="225" w:lineRule="exact"/>
        <w:rPr>
          <w:rFonts w:ascii="Times New Roman" w:cs="Times New Roman" w:eastAsia="Times New Roman" w:hAnsi="Times New Roman"/>
          <w:sz w:val="18"/>
          <w:szCs w:val="18"/>
          <w:color w:val="auto"/>
        </w:rPr>
      </w:pPr>
    </w:p>
    <w:p>
      <w:pPr>
        <w:jc w:val="both"/>
        <w:ind w:left="820" w:firstLine="1132"/>
        <w:spacing w:after="0" w:line="253" w:lineRule="auto"/>
        <w:tabs>
          <w:tab w:leader="none" w:pos="2738"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Closing, the Board shall initially consist of nine (9) directors, including Gregory W. Haskell, David Yablunosky, Michael Otworth, Suzanne Niemeyer, James O. Donnally, Bruce Brown, Elizabeth Williams, Daniel J. Hennessy, and Michael Amalfitano. In accordance with the certificate of incorporation of Holdco, the Board will be divided into three (3) classes serving staggered three-year terms. The initial term of the Class I directors shall expire at the first (1st) annual meeting of the stockholders of Holdco following the Closing Date at which directors are elected. The initial term of the Class II directors shall expire at the second (2nd) annual meeting of the stockholders of Holdco following the Closing Date at which directors are elected. The initial term of the Class III directors shall expire at the third (3rd) annual meeting of the stockholders of Holdco following the Closing Date at which directors are elected. Gregory W. Haskell, Daniel J. Hennessy and Michael Amalfitano will be assigned to Class I, David Yablunosky, James O. Donnally, and Bruce Brown will be assigned to Class II, and Michael Otworth, Suzanne Niemeyer, and Elizabeth Williams will be assigned to Class III. From and after the Closing, the rights of the Founding Investors to designate directors to the Board and its committees shall be as set forth in the remainder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820" w:firstLine="1132"/>
        <w:spacing w:after="0" w:line="256" w:lineRule="auto"/>
        <w:tabs>
          <w:tab w:leader="none" w:pos="2564"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Closing Date, in respect of each annual meeting or special meeting of the stockholders of Holdco at which directors are to be elected, the Founding Investors, collectively, shall have the right, but not the obligation, to nominate for election to the Board of Directors in any applicable election that number of individuals determined in accordance with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below (the “</w:t>
      </w:r>
      <w:r>
        <w:rPr>
          <w:rFonts w:ascii="Times New Roman" w:cs="Times New Roman" w:eastAsia="Times New Roman" w:hAnsi="Times New Roman"/>
          <w:sz w:val="18"/>
          <w:szCs w:val="18"/>
          <w:b w:val="1"/>
          <w:bCs w:val="1"/>
          <w:u w:val="single" w:color="auto"/>
          <w:color w:val="auto"/>
        </w:rPr>
        <w:t>Founding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Investor Nominees</w:t>
      </w:r>
      <w:r>
        <w:rPr>
          <w:rFonts w:ascii="Times New Roman" w:cs="Times New Roman" w:eastAsia="Times New Roman" w:hAnsi="Times New Roman"/>
          <w:sz w:val="18"/>
          <w:szCs w:val="18"/>
          <w:color w:val="auto"/>
        </w:rPr>
        <w:t>”). Holdco will use reasonable best efforts, including taking all necessary action (to the extent permitted by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the extent such action is consistent with the fiduciary duties of the directors under Delaware law), to cause the Founding Investor Nominees to be elected to serve as directors on the Board of Directors.</w:t>
      </w:r>
    </w:p>
    <w:p>
      <w:pPr>
        <w:spacing w:after="0" w:line="187" w:lineRule="exact"/>
        <w:rPr>
          <w:rFonts w:ascii="Times New Roman" w:cs="Times New Roman" w:eastAsia="Times New Roman" w:hAnsi="Times New Roman"/>
          <w:sz w:val="18"/>
          <w:szCs w:val="18"/>
          <w:color w:val="auto"/>
        </w:rPr>
      </w:pPr>
    </w:p>
    <w:p>
      <w:pPr>
        <w:jc w:val="both"/>
        <w:ind w:left="820" w:firstLine="1132"/>
        <w:spacing w:after="0" w:line="266" w:lineRule="auto"/>
        <w:tabs>
          <w:tab w:leader="none" w:pos="2581"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Founding Investor Nominees which Holdco shall cause to be elected at each annual meeting or special meeting of the stockholders of Holdco at which directors are to be elected is that number which, assuming all such individuals are successfully elected to the Board of Directors,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ind w:left="820"/>
        <w:spacing w:after="0" w:line="282" w:lineRule="auto"/>
        <w:rPr>
          <w:sz w:val="20"/>
          <w:szCs w:val="20"/>
          <w:color w:val="auto"/>
        </w:rPr>
      </w:pPr>
      <w:r>
        <w:rPr>
          <w:rFonts w:ascii="Times New Roman" w:cs="Times New Roman" w:eastAsia="Times New Roman" w:hAnsi="Times New Roman"/>
          <w:sz w:val="18"/>
          <w:szCs w:val="18"/>
          <w:color w:val="auto"/>
        </w:rPr>
        <w:t>taken together with any incumbent director of a different class nominated by the Founding Investors and not standing for election in such election, would result in the number of directors on the Board of Directors nominated by the Founding Investors as specified below:</w:t>
      </w:r>
    </w:p>
    <w:p>
      <w:pPr>
        <w:spacing w:after="0" w:line="162" w:lineRule="exact"/>
        <w:rPr>
          <w:sz w:val="20"/>
          <w:szCs w:val="20"/>
          <w:color w:val="auto"/>
        </w:rPr>
      </w:pPr>
    </w:p>
    <w:p>
      <w:pPr>
        <w:ind w:left="1300" w:right="20" w:firstLine="1786"/>
        <w:spacing w:after="0" w:line="282" w:lineRule="auto"/>
        <w:tabs>
          <w:tab w:leader="none" w:pos="377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seven (7) directors, so long as the Founding Investors collectively beneficially own (directly or indirectly) greater than 70% of the outstanding Common Shares;</w:t>
      </w:r>
    </w:p>
    <w:p>
      <w:pPr>
        <w:spacing w:after="0" w:line="161" w:lineRule="exact"/>
        <w:rPr>
          <w:rFonts w:ascii="Times New Roman" w:cs="Times New Roman" w:eastAsia="Times New Roman" w:hAnsi="Times New Roman"/>
          <w:sz w:val="18"/>
          <w:szCs w:val="18"/>
          <w:color w:val="auto"/>
        </w:rPr>
      </w:pPr>
    </w:p>
    <w:p>
      <w:pPr>
        <w:ind w:left="1300" w:firstLine="1786"/>
        <w:spacing w:after="0" w:line="282" w:lineRule="auto"/>
        <w:tabs>
          <w:tab w:leader="none" w:pos="377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six (6) directors, so long as the Founding Investors collectively beneficially own more than 50% of the outstanding Common Shares but less than 70% of the outstanding Common Shares;</w:t>
      </w:r>
    </w:p>
    <w:p>
      <w:pPr>
        <w:spacing w:after="0" w:line="161" w:lineRule="exact"/>
        <w:rPr>
          <w:rFonts w:ascii="Times New Roman" w:cs="Times New Roman" w:eastAsia="Times New Roman" w:hAnsi="Times New Roman"/>
          <w:sz w:val="18"/>
          <w:szCs w:val="18"/>
          <w:color w:val="auto"/>
        </w:rPr>
      </w:pPr>
    </w:p>
    <w:p>
      <w:pPr>
        <w:ind w:left="1300" w:firstLine="1786"/>
        <w:spacing w:after="0" w:line="282" w:lineRule="auto"/>
        <w:tabs>
          <w:tab w:leader="none" w:pos="37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four (4) directors, so long as the Founding Investors collectively beneficially own at least 40% of the outstanding Common Shares but less than 50% of the outstanding Common Shares;</w:t>
      </w:r>
    </w:p>
    <w:p>
      <w:pPr>
        <w:spacing w:after="0" w:line="161" w:lineRule="exact"/>
        <w:rPr>
          <w:rFonts w:ascii="Times New Roman" w:cs="Times New Roman" w:eastAsia="Times New Roman" w:hAnsi="Times New Roman"/>
          <w:sz w:val="18"/>
          <w:szCs w:val="18"/>
          <w:color w:val="auto"/>
        </w:rPr>
      </w:pPr>
    </w:p>
    <w:p>
      <w:pPr>
        <w:ind w:left="1300" w:firstLine="1786"/>
        <w:spacing w:after="0" w:line="282" w:lineRule="auto"/>
        <w:tabs>
          <w:tab w:leader="none" w:pos="37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three (3) directors, so long as the Founding Investors collectively beneficially own at least 20% of the outstanding Common Shares but less than 40% of the outstanding Common Shares; and</w:t>
      </w:r>
    </w:p>
    <w:p>
      <w:pPr>
        <w:spacing w:after="0" w:line="161" w:lineRule="exact"/>
        <w:rPr>
          <w:rFonts w:ascii="Times New Roman" w:cs="Times New Roman" w:eastAsia="Times New Roman" w:hAnsi="Times New Roman"/>
          <w:sz w:val="18"/>
          <w:szCs w:val="18"/>
          <w:color w:val="auto"/>
        </w:rPr>
      </w:pPr>
    </w:p>
    <w:p>
      <w:pPr>
        <w:ind w:left="1300" w:firstLine="1786"/>
        <w:spacing w:after="0" w:line="282" w:lineRule="auto"/>
        <w:tabs>
          <w:tab w:leader="none" w:pos="365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two (2) directors, so long as the Founding Investors collectively beneficially own at least 5% of the outstanding Common Shares but less than 20% of the outstanding Common Shares.</w:t>
      </w:r>
    </w:p>
    <w:p>
      <w:pPr>
        <w:spacing w:after="0" w:line="162" w:lineRule="exact"/>
        <w:rPr>
          <w:sz w:val="20"/>
          <w:szCs w:val="20"/>
          <w:color w:val="auto"/>
        </w:rPr>
      </w:pPr>
    </w:p>
    <w:p>
      <w:pPr>
        <w:ind w:right="20" w:firstLine="810"/>
        <w:spacing w:after="0" w:line="282" w:lineRule="auto"/>
        <w:rPr>
          <w:sz w:val="20"/>
          <w:szCs w:val="20"/>
          <w:color w:val="auto"/>
        </w:rPr>
      </w:pPr>
      <w:r>
        <w:rPr>
          <w:rFonts w:ascii="Times New Roman" w:cs="Times New Roman" w:eastAsia="Times New Roman" w:hAnsi="Times New Roman"/>
          <w:sz w:val="18"/>
          <w:szCs w:val="18"/>
          <w:color w:val="auto"/>
        </w:rPr>
        <w:t>In the event the size of the Board is increased or decreased at any time to other than nine (9) directors, the Founding Investors’ collective nomination rights under this Section 2.1 shall be proportionately increased or decreased, respectively, rounded up to the nearest whole number.</w:t>
      </w:r>
    </w:p>
    <w:p>
      <w:pPr>
        <w:spacing w:after="0" w:line="162" w:lineRule="exact"/>
        <w:rPr>
          <w:sz w:val="20"/>
          <w:szCs w:val="20"/>
          <w:color w:val="auto"/>
        </w:rPr>
      </w:pPr>
    </w:p>
    <w:p>
      <w:pPr>
        <w:jc w:val="both"/>
        <w:ind w:left="820" w:firstLine="1132"/>
        <w:spacing w:after="0" w:line="266" w:lineRule="auto"/>
        <w:tabs>
          <w:tab w:leader="none" w:pos="250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rights granted to the Founding Investors to designate members of the Board are additive to, and not intended to limit in any way, the rights that Founding Investors or any of their respective Affiliates may have to nominate, elect or remove directors under Holdco’s certificate of incorporation, bylaws or the Delaware General Corporation Law.</w:t>
      </w:r>
    </w:p>
    <w:p>
      <w:pPr>
        <w:spacing w:after="0" w:line="175" w:lineRule="exact"/>
        <w:rPr>
          <w:rFonts w:ascii="Times New Roman" w:cs="Times New Roman" w:eastAsia="Times New Roman" w:hAnsi="Times New Roman"/>
          <w:sz w:val="18"/>
          <w:szCs w:val="18"/>
          <w:color w:val="auto"/>
        </w:rPr>
      </w:pPr>
    </w:p>
    <w:p>
      <w:pPr>
        <w:jc w:val="both"/>
        <w:ind w:left="820" w:firstLine="1132"/>
        <w:spacing w:after="0" w:line="255" w:lineRule="auto"/>
        <w:tabs>
          <w:tab w:leader="none" w:pos="245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Holdco agrees, to the fullest extent permitted by applicable law (including with respect to any applicable fiduciary duties under Delaware law), that taking all necessary corporate action to effectuate the above will include (i) including the Persons designated pursuant to this Section 2.1(b) in the slate of nominees recommended by the Board for election at any meeting of stockholders called for the purpose of electing directors, (ii) nominating and recommending each such individual to be elected as a director as provided herein, (iii) soliciting proxies or consents in favor thereof, and (iv) without limiting the foregoing, otherwise using its reasonable best efforts to cause such nominees to be elected to the Board, including providing at least as high a level of support for the election of such nominees as it provides to any other individual standing for election as a director.</w:t>
      </w:r>
    </w:p>
    <w:p>
      <w:pPr>
        <w:spacing w:after="0" w:line="188" w:lineRule="exact"/>
        <w:rPr>
          <w:rFonts w:ascii="Times New Roman" w:cs="Times New Roman" w:eastAsia="Times New Roman" w:hAnsi="Times New Roman"/>
          <w:sz w:val="18"/>
          <w:szCs w:val="18"/>
          <w:color w:val="auto"/>
        </w:rPr>
      </w:pPr>
    </w:p>
    <w:p>
      <w:pPr>
        <w:jc w:val="both"/>
        <w:ind w:left="820" w:firstLine="1132"/>
        <w:spacing w:after="0" w:line="261" w:lineRule="auto"/>
        <w:tabs>
          <w:tab w:leader="none" w:pos="258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vacancy is created on the Board at any time by the death, disability, resignation or removal of a Director designated by the Founding Investors pursuant to this Agreement, then the Founding Investors will be entitled to designate an individual to fill the vacancy. Holdco will take all necessary action (to the extent permitted by applicable law and to the extent such action is consistent with the fiduciary duties of the directors under Delaware law) to cause such replacement designee to become a member of the Board.</w:t>
      </w:r>
    </w:p>
    <w:p>
      <w:pPr>
        <w:spacing w:after="0" w:line="179" w:lineRule="exact"/>
        <w:rPr>
          <w:rFonts w:ascii="Times New Roman" w:cs="Times New Roman" w:eastAsia="Times New Roman" w:hAnsi="Times New Roman"/>
          <w:sz w:val="18"/>
          <w:szCs w:val="18"/>
          <w:color w:val="auto"/>
        </w:rPr>
      </w:pPr>
    </w:p>
    <w:p>
      <w:pPr>
        <w:ind w:left="820" w:hanging="812"/>
        <w:spacing w:after="0"/>
        <w:tabs>
          <w:tab w:leader="none" w:pos="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10"/>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 This Agreement and the rights, duties and obligations of Holdco hereunder may not be assigned or delegated by Holdco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both"/>
        <w:ind w:firstLine="810"/>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consents, approvals or other communications (collectively,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To Holdco:</w:t>
            </w: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6900 Tavistock Lakes Boulevard</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Suite 400</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Orlando, Florida 32827</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Attn: Bill Haskell; Roland Austrup</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Email: bhaskell@innventure.com;</w:t>
            </w:r>
          </w:p>
        </w:tc>
        <w:tc>
          <w:tcPr>
            <w:tcW w:w="0" w:type="dxa"/>
            <w:vAlign w:val="bottom"/>
          </w:tcPr>
          <w:p>
            <w:pPr>
              <w:spacing w:after="0"/>
              <w:rPr>
                <w:sz w:val="1"/>
                <w:szCs w:val="1"/>
                <w:color w:val="auto"/>
              </w:rPr>
            </w:pPr>
          </w:p>
        </w:tc>
      </w:tr>
      <w:tr>
        <w:trPr>
          <w:trHeight w:val="234"/>
        </w:trPr>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with a copy (which shall not</w:t>
            </w: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raustrup@innventure.com</w:t>
            </w:r>
          </w:p>
        </w:tc>
        <w:tc>
          <w:tcPr>
            <w:tcW w:w="0" w:type="dxa"/>
            <w:vAlign w:val="bottom"/>
          </w:tcPr>
          <w:p>
            <w:pPr>
              <w:spacing w:after="0"/>
              <w:rPr>
                <w:sz w:val="1"/>
                <w:szCs w:val="1"/>
                <w:color w:val="auto"/>
              </w:rPr>
            </w:pPr>
          </w:p>
        </w:tc>
      </w:tr>
      <w:tr>
        <w:trPr>
          <w:trHeight w:val="198"/>
        </w:trPr>
        <w:tc>
          <w:tcPr>
            <w:tcW w:w="2140" w:type="dxa"/>
            <w:vAlign w:val="bottom"/>
            <w:vMerge w:val="continue"/>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constitute notice) to:</w:t>
            </w: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Jones Day</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1221 Peachtree Street, N.E., Suite 400</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Atlanta, Georgia 30361</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Attn: Joel T. May; Patrick S. Baldwin;</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Thomas L. Short</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Email: jtmay@jonesday.com;</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pbaldwin@jonesday.com;</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tshort@jonesday.com</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a Founding Investor, to the address set forth below such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0"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each of which shall be deemed an original, and all of which taken together shall constitute one and the same instrument. Delivery of a signed counterpart of this Agreement by facsimile or email/pdf transmission shall constitute valid and sufficient delivery thereof.</w:t>
      </w:r>
    </w:p>
    <w:p>
      <w:pPr>
        <w:spacing w:after="0" w:line="176"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76" w:lineRule="exact"/>
        <w:rPr>
          <w:sz w:val="20"/>
          <w:szCs w:val="20"/>
          <w:color w:val="auto"/>
        </w:rPr>
      </w:pPr>
    </w:p>
    <w:p>
      <w:pPr>
        <w:jc w:val="both"/>
        <w:ind w:firstLine="810"/>
        <w:spacing w:after="0" w:line="28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Modifications and Amendments</w:t>
      </w:r>
      <w:r>
        <w:rPr>
          <w:rFonts w:ascii="Times New Roman" w:cs="Times New Roman" w:eastAsia="Times New Roman" w:hAnsi="Times New Roman"/>
          <w:sz w:val="18"/>
          <w:szCs w:val="18"/>
          <w:color w:val="auto"/>
        </w:rPr>
        <w:t>. No amendment, modification or termination of this Agreement shall be binding upon any party unless executed in writing by such party.</w:t>
      </w:r>
    </w:p>
    <w:p>
      <w:pPr>
        <w:spacing w:after="0" w:line="162" w:lineRule="exact"/>
        <w:rPr>
          <w:sz w:val="20"/>
          <w:szCs w:val="20"/>
          <w:color w:val="auto"/>
        </w:rPr>
      </w:pPr>
    </w:p>
    <w:p>
      <w:pPr>
        <w:jc w:val="both"/>
        <w:ind w:right="20" w:firstLine="810"/>
        <w:spacing w:after="0" w:line="282"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Titles and headings of sections of this Agreement are for convenience only and shall not affect the construction of any provision of this Agreement.</w:t>
      </w:r>
    </w:p>
    <w:p>
      <w:pPr>
        <w:spacing w:after="0" w:line="162" w:lineRule="exact"/>
        <w:rPr>
          <w:sz w:val="20"/>
          <w:szCs w:val="20"/>
          <w:color w:val="auto"/>
        </w:rPr>
      </w:pPr>
    </w:p>
    <w:p>
      <w:pPr>
        <w:jc w:val="both"/>
        <w:ind w:firstLine="810"/>
        <w:spacing w:after="0" w:line="256"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Waivers and Extensions</w:t>
      </w:r>
      <w:r>
        <w:rPr>
          <w:rFonts w:ascii="Times New Roman" w:cs="Times New Roman" w:eastAsia="Times New Roman" w:hAnsi="Times New Roman"/>
          <w:sz w:val="18"/>
          <w:szCs w:val="18"/>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jc w:val="both"/>
        <w:ind w:firstLine="810"/>
        <w:spacing w:after="0" w:line="25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In the event that Holdco fails to observe or perform any covenant or agreement to be observed or performed under this Agreement, the Investor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87" w:lineRule="exact"/>
        <w:rPr>
          <w:sz w:val="20"/>
          <w:szCs w:val="20"/>
          <w:color w:val="auto"/>
        </w:rPr>
      </w:pPr>
    </w:p>
    <w:p>
      <w:pPr>
        <w:jc w:val="both"/>
        <w:ind w:firstLine="810"/>
        <w:spacing w:after="0" w:line="253"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Governing Law; Dispute Resolution</w:t>
      </w:r>
      <w:r>
        <w:rPr>
          <w:rFonts w:ascii="Times New Roman" w:cs="Times New Roman" w:eastAsia="Times New Roman" w:hAnsi="Times New Roman"/>
          <w:sz w:val="18"/>
          <w:szCs w:val="18"/>
          <w:color w:val="auto"/>
        </w:rPr>
        <w:t>. This Agreement shall be governed by the laws of the State of Delaware applicable to contracts entered into and to be performed solely within such state, without giving effect to principles or rules of conflict of laws to the extent such principles or rules would require or permit the application of Laws of another jurisdiction. The parties (a) hereby irrevocably and unconditionally submit to the jurisdiction of Court of Chancery of the State of Delaware and any State of Delaware appellate court therefrom for the purpose of any suit, action or other proceeding arising out of or based upon this Agreement, (b) agree not to commence any suit, action or other proceeding arising out of or based upon this Agreement except in the Court of Chancery of the State of Delaware and any State of Delaware appellate court therefrom,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94" w:lineRule="exact"/>
        <w:rPr>
          <w:sz w:val="20"/>
          <w:szCs w:val="20"/>
          <w:color w:val="auto"/>
        </w:rPr>
      </w:pPr>
    </w:p>
    <w:p>
      <w:pPr>
        <w:jc w:val="both"/>
        <w:ind w:firstLine="810"/>
        <w:spacing w:after="0" w:line="254"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Waiver of Trial by Jury</w:t>
      </w:r>
      <w:r>
        <w:rPr>
          <w:rFonts w:ascii="Times New Roman" w:cs="Times New Roman" w:eastAsia="Times New Roman" w:hAnsi="Times New Roman"/>
          <w:sz w:val="18"/>
          <w:szCs w:val="18"/>
          <w:color w:val="auto"/>
        </w:rPr>
        <w:t>. EACH PARTY HEREBY IRREVOCABLY AND UNCONDITIONALLY WAIVES THE RIGHT TO A TRIAL BY JURY OF ANY CLAIM OR CAUSE OF ACTION BASED UPON OR ARISING OUT OF THIS AGREEMENT OR THE SUBJECT MATTER HEREOF. THE SCOPE OF THIS WAVIER IS INTENDED TO BE ALL-ENCOMPASSING OF ANY AND ALL DISPUTES THAT MAY BE FILED IN ANY COURT AND THAT RELATE TO THE SUBJECT MATTER OF THIS AGREEMENT, INCLUDING, WITHOUT LIMITATION, CONTRACT CLAIMS, TORT OR DELICT CLAIMS (INCLUDING NEGLIGENCE), BREACH OF DUTY CLAIMS AND ALL OTHER COMMON LAW, CIVIL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RIGHT TO A TRIAL BY JURY FOLLOWING CONSULTATION WITH LEGAL COUNSEL.</w:t>
      </w:r>
    </w:p>
    <w:p>
      <w:pPr>
        <w:spacing w:after="0" w:line="188"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Each party will bear its own costs in respect of any disputes arising under this Agreement. The prevailing party shall be entitled to reasonable legal fees, costs and necessary disbursements in addition to any other relief to which such party may be entitled. Each of the parties to this Agreement consents to personal jurisdiction for any equitable action sought in any court of competent jurisdiction.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ind w:firstLine="810"/>
        <w:spacing w:after="0" w:line="282" w:lineRule="auto"/>
        <w:rPr>
          <w:sz w:val="20"/>
          <w:szCs w:val="20"/>
          <w:color w:val="auto"/>
        </w:rPr>
      </w:pPr>
      <w:r>
        <w:rPr>
          <w:rFonts w:ascii="Times New Roman" w:cs="Times New Roman" w:eastAsia="Times New Roman" w:hAnsi="Times New Roman"/>
          <w:sz w:val="18"/>
          <w:szCs w:val="18"/>
          <w:color w:val="221E1F"/>
        </w:rPr>
        <w:t>IN WITNESS WHEREOF, the parties have caused this Investors’ Rights Agreement to be executed and delivered by their duly authorized representatives as of the date first written above.</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21E1F"/>
        </w:rPr>
        <w:t>INNVENTURE, INC. F/K/A LEARN SPAC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21E1F"/>
        </w:rPr>
        <w:t>HOLDCO, INC.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color w:val="221E1F"/>
        </w:rPr>
        <w:t>/s/ Michael Otworth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221E1F"/>
        </w:rPr>
        <w:t>Name: Michael Otworth</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Executive Chairman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21E1F"/>
        </w:rPr>
        <w:t>FOUNDING INVESTORS: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MICHAEL OTWORTH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OTWORTH</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RICHARD BRENNER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21E1F"/>
        </w:rPr>
        <w:t>RICHARD BRENNER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JOHN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JOHN SCOTT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21E1F"/>
        </w:rPr>
        <w:t>/s/ BILL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21E1F"/>
        </w:rPr>
        <w:t>BILL HASKELL</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DAVID E.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21E1F"/>
        </w:rPr>
        <w:t>DAVID E. YABLUNOSKY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ROLAND AUSTRUP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ROLAND AUSTRUP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GREG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GREG WASSON</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21E1F"/>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Indemnification Agreement (this “</w:t>
      </w:r>
      <w:r>
        <w:rPr>
          <w:rFonts w:ascii="Times New Roman" w:cs="Times New Roman" w:eastAsia="Times New Roman" w:hAnsi="Times New Roman"/>
          <w:sz w:val="18"/>
          <w:szCs w:val="18"/>
          <w:u w:val="single" w:color="auto"/>
          <w:color w:val="auto"/>
        </w:rPr>
        <w:t>Agreemen</w:t>
      </w:r>
      <w:r>
        <w:rPr>
          <w:rFonts w:ascii="Times New Roman" w:cs="Times New Roman" w:eastAsia="Times New Roman" w:hAnsi="Times New Roman"/>
          <w:sz w:val="18"/>
          <w:szCs w:val="18"/>
          <w:color w:val="auto"/>
        </w:rPr>
        <w:t>t”) is effective as of October 2, 2024 by and between Innventure, Inc. (formerly known as Learn SPAC HoldCo,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[Indemnitee]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This Agreement supersedes and replaces any and all previous agreements, if any, between the Company and the Indemnitee covering indemnification.</w:t>
      </w:r>
    </w:p>
    <w:p>
      <w:pPr>
        <w:spacing w:after="0" w:line="176" w:lineRule="exact"/>
        <w:rPr>
          <w:sz w:val="20"/>
          <w:szCs w:val="20"/>
          <w:color w:val="auto"/>
        </w:rPr>
      </w:pPr>
    </w:p>
    <w:p>
      <w:pPr>
        <w:ind w:firstLine="656"/>
        <w:spacing w:after="0" w:line="282" w:lineRule="auto"/>
        <w:tabs>
          <w:tab w:leader="none" w:pos="118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the difficulty in obtaining liability insurance for its directors, officers, employees, controlling persons, fiduciaries and other agents and affiliates, the significant cost of such insurance and the general limitations in the coverage of such insurance.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recognizes the substantial increase in corporate litigation in general, subjecting directors, officers, employees, controlling persons, fiduciaries and other agents and affiliates to expensive litigation risks at the same time as the availability and coverage of liability insurance has been severely limited.</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protection available to directors, officers, employees, controlling persons, fiduciaries and other agents and affiliates of the Company may not be adequate under the present circumstances, and directors, officers, employees, controlling persons, fiduciaries and other agents and affiliates of the Company (or persons who may be alleged or deemed to be the same), including the Indemnitee, may not be willing to serve or continue to serve or be associated with the Company in such capacities without additional protection.</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 desires to attract and retain the involvement of highly qualified persons, such as Indemnitee, to serve and be associated with the Company, and (b) accordingly, wishes to provide for the indemnification and advancement of expenses to the Indemnitee to the maximum extent permitted by law.</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7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view of the considerations set forth above, the Company desires that Indemnitee shall be indemnified and advanced expenses by the Company as set forth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mutual promises and covenants contained herein, the receipt and sufficiency of which are hereby acknowledged, the parties hereto agree as follows:</w:t>
      </w:r>
    </w:p>
    <w:p>
      <w:pPr>
        <w:spacing w:after="0" w:line="158" w:lineRule="exact"/>
        <w:rPr>
          <w:sz w:val="20"/>
          <w:szCs w:val="20"/>
          <w:color w:val="auto"/>
        </w:rPr>
      </w:pPr>
    </w:p>
    <w:p>
      <w:pPr>
        <w:ind w:left="1340" w:hanging="684"/>
        <w:spacing w:after="0"/>
        <w:tabs>
          <w:tab w:leader="none" w:pos="13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Definitions.</w:t>
      </w:r>
    </w:p>
    <w:p>
      <w:pPr>
        <w:spacing w:after="0" w:line="227"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198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shall be deemed to have occurred if, on or after the date of this Agreement, (i) any “person” (as such term is used in Sections 13(d) and 14(d) of the Securities Exchange Act of 1934, as amended), other than a trustee or other fiduciary holding securities under an employee benefit plan of the Company acting in such capacity or a corporation owned directly or indirectly by the stockholders of the Company in substantially the same proportions as their ownership of stock of the Company, becomes the “beneficial owner” (as defined in Rule 13d-3 under said Act), directly or indirectly, of securities of the Company representing more than fifty percent (50%) of the total voting power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7" w:name="page118"/>
    <w:bookmarkEnd w:id="117"/>
    <w:p>
      <w:pPr>
        <w:jc w:val="both"/>
        <w:spacing w:after="0" w:line="253" w:lineRule="auto"/>
        <w:rPr>
          <w:sz w:val="20"/>
          <w:szCs w:val="20"/>
          <w:color w:val="auto"/>
        </w:rPr>
      </w:pPr>
      <w:r>
        <w:rPr>
          <w:rFonts w:ascii="Times New Roman" w:cs="Times New Roman" w:eastAsia="Times New Roman" w:hAnsi="Times New Roman"/>
          <w:sz w:val="18"/>
          <w:szCs w:val="18"/>
          <w:color w:val="auto"/>
        </w:rPr>
        <w:t>represented by the Company’s then outstanding Voting Securities, (ii) during any period of two (2) consecutive years, individuals who at the beginning of such period constitute the Board of Directors of the Company and any new director whose election by the Board of Directors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eighty percent (80%) of the total voting power represented by the Voting Securities of the Company or such surviving entity outstanding immediately after such merger or consolidation or (iv) the stockholders of the Company approve a plan of complete liquidation of the Company or an agreement for the sale or disposition by the Company of (in one transaction or a series of related transactions) all or substantially all of the Company’s assets.</w:t>
      </w:r>
    </w:p>
    <w:p>
      <w:pPr>
        <w:spacing w:after="0" w:line="192" w:lineRule="exact"/>
        <w:rPr>
          <w:sz w:val="20"/>
          <w:szCs w:val="20"/>
          <w:color w:val="auto"/>
        </w:rPr>
      </w:pPr>
    </w:p>
    <w:p>
      <w:pPr>
        <w:jc w:val="both"/>
        <w:ind w:firstLine="1304"/>
        <w:spacing w:after="0" w:line="261" w:lineRule="auto"/>
        <w:tabs>
          <w:tab w:leader="none" w:pos="199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Claim</w:t>
      </w:r>
      <w:r>
        <w:rPr>
          <w:rFonts w:ascii="Times New Roman" w:cs="Times New Roman" w:eastAsia="Times New Roman" w:hAnsi="Times New Roman"/>
          <w:sz w:val="18"/>
          <w:szCs w:val="18"/>
          <w:color w:val="auto"/>
        </w:rPr>
        <w:t>” shall mean with respect to a Covered Event: any threatened, asserted, pending or completed action, suit, proceeding or alternative dispute resolution mechanism, or any hearing, inquiry or investigation (formal or informal) that Indemnitee in good faith believes might lead to the institution of any such action, suit, proceeding or alternative dispute resolution mechanism, whether civil, criminal, administrative, investigative or other, including any appeal therefrom.</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5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shall include, in addition to Innventure, Inc., any constituent corporation (including any constituent of a constituent) absorbed in a consolidation or merger to which Innventure, Inc. (or any of its wholly owned subsidiaries or majority owned joint ventures) is a party, which, if its separate existence had continued, would have had power and authority to indemnify its directors, officers, employees, agents or fiduciaries, so that if Indemnitee is or was a director, officer, employee, agent or fiduciary of such constituent corporation, or is or was serving at the request of such constituent corporation as a director, officer, employee, agent or fiduciary of another corporation, partnership, joint venture, employee benefit plan, trust or other enterprise, Indemnitee shall stand in the same position under the provisions of this Agreement with respect to the resulting or surviving corporation as Indemnitee would have with respect to such constituent corporation if its separate existence had continued.</w:t>
      </w:r>
    </w:p>
    <w:p>
      <w:pPr>
        <w:spacing w:after="0" w:line="182"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1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Covered Event</w:t>
      </w:r>
      <w:r>
        <w:rPr>
          <w:rFonts w:ascii="Times New Roman" w:cs="Times New Roman" w:eastAsia="Times New Roman" w:hAnsi="Times New Roman"/>
          <w:sz w:val="18"/>
          <w:szCs w:val="18"/>
          <w:color w:val="auto"/>
        </w:rPr>
        <w:t>” shall mean any event or occurrence by reason of the fact that Indemnitee is or was a director, officer, employee, agent or fiduciary of the Company, or any subsidiary of the Company, direct or indirect, whether before or after the date of this Agreement, or is or was serving at the request of the Company as a director, officer, employee, agent or fiduciary of another corporation, partnership, joint venture, trust or other enterprise, or by reason of any action or inaction on the part of Indemnitee while serving in such capacity, whether before or after the date of this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7" w:lineRule="auto"/>
        <w:tabs>
          <w:tab w:leader="none" w:pos="192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Advance</w:t>
      </w:r>
      <w:r>
        <w:rPr>
          <w:rFonts w:ascii="Times New Roman" w:cs="Times New Roman" w:eastAsia="Times New Roman" w:hAnsi="Times New Roman"/>
          <w:sz w:val="18"/>
          <w:szCs w:val="18"/>
          <w:color w:val="auto"/>
        </w:rPr>
        <w:t>” shall mean a payment to Indemnitee for Expenses pursuant to Section 3 hereof, in advance of the settlement of or final judgment in any action, suit, proceeding or alternative dispute resolution mechanism, hearing, inquiry or investigation, which constitutes a Claim.</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both"/>
        <w:ind w:firstLine="1304"/>
        <w:spacing w:after="0" w:line="257" w:lineRule="auto"/>
        <w:tabs>
          <w:tab w:leader="none" w:pos="184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shall mean any and all direct and indirect costs, losses, claims, damages, fees, expenses and liabilities, joint or several (including reasonable attorneys’ fees and all other costs, expenses and obligations reasonably incurred in connection with investigating, defending, being a witness in or participating in (including on appeal), or preparing to defend, to be a witness in or to participate in, any action, suit, proceeding, alternative dispute resolution mechanism, hearing, inquiry or investigation), judgments, fines, penalties and amounts paid in settlement (if such settlement is approved in advance by the Company, which approval shall not be unreasonably withheld) actually and reasonably incurred, of any Claim and any federal, state, local or foreign taxes imposed on the Indemnitee as a result of the actual or deemed receipt of any payments under this Agreement.</w:t>
      </w:r>
    </w:p>
    <w:p>
      <w:pPr>
        <w:spacing w:after="0" w:line="182" w:lineRule="exact"/>
        <w:rPr>
          <w:rFonts w:ascii="Times New Roman" w:cs="Times New Roman" w:eastAsia="Times New Roman" w:hAnsi="Times New Roman"/>
          <w:sz w:val="18"/>
          <w:szCs w:val="18"/>
          <w:color w:val="auto"/>
        </w:rPr>
      </w:pPr>
    </w:p>
    <w:p>
      <w:pPr>
        <w:jc w:val="both"/>
        <w:ind w:firstLine="1304"/>
        <w:spacing w:after="0" w:line="257" w:lineRule="auto"/>
        <w:tabs>
          <w:tab w:leader="none" w:pos="195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Independent Legal Counsel</w:t>
      </w:r>
      <w:r>
        <w:rPr>
          <w:rFonts w:ascii="Times New Roman" w:cs="Times New Roman" w:eastAsia="Times New Roman" w:hAnsi="Times New Roman"/>
          <w:sz w:val="18"/>
          <w:szCs w:val="18"/>
          <w:color w:val="auto"/>
        </w:rPr>
        <w:t>” shall mean an attorney or firm of attorneys, selected in accordance with the provisions of Section 2(d) hereof, who shall not have otherwise performed services for (i) the Company or Indemnitee in any matter material to either such party (other than with respect to matters concerning the rights of Indemnitee under this Agreement, or of other indemnitees under similar indemnity agreements) or (ii) any other party to the Claim giving rise to a claim for indemnification hereunder, within the last three (3) years. Notwithstanding the foregoing, the term “Independent Legal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2" w:lineRule="exact"/>
        <w:rPr>
          <w:rFonts w:ascii="Times New Roman" w:cs="Times New Roman" w:eastAsia="Times New Roman" w:hAnsi="Times New Roman"/>
          <w:sz w:val="18"/>
          <w:szCs w:val="18"/>
          <w:color w:val="auto"/>
        </w:rPr>
      </w:pPr>
    </w:p>
    <w:p>
      <w:pPr>
        <w:jc w:val="both"/>
        <w:ind w:firstLine="1304"/>
        <w:spacing w:after="0" w:line="257" w:lineRule="auto"/>
        <w:tabs>
          <w:tab w:leader="none" w:pos="202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i w:val="1"/>
          <w:i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i w:val="1"/>
          <w:iCs w:val="1"/>
          <w:color w:val="auto"/>
        </w:rPr>
        <w:t>fines”</w:t>
      </w:r>
      <w:r>
        <w:rPr>
          <w:rFonts w:ascii="Times New Roman" w:cs="Times New Roman" w:eastAsia="Times New Roman" w:hAnsi="Times New Roman"/>
          <w:sz w:val="18"/>
          <w:szCs w:val="18"/>
          <w:color w:val="auto"/>
        </w:rPr>
        <w:t xml:space="preserve"> shall include any excise taxes assessed on Indemnitee with respect to an employee benefit plan; and references to “</w:t>
      </w:r>
      <w:r>
        <w:rPr>
          <w:rFonts w:ascii="Times New Roman" w:cs="Times New Roman" w:eastAsia="Times New Roman" w:hAnsi="Times New Roman"/>
          <w:sz w:val="18"/>
          <w:szCs w:val="18"/>
          <w:i w:val="1"/>
          <w:iCs w:val="1"/>
          <w:color w:val="auto"/>
        </w:rPr>
        <w:t>serving at the request of the Company</w:t>
      </w:r>
      <w:r>
        <w:rPr>
          <w:rFonts w:ascii="Times New Roman" w:cs="Times New Roman" w:eastAsia="Times New Roman" w:hAnsi="Times New Roman"/>
          <w:sz w:val="18"/>
          <w:szCs w:val="18"/>
          <w:color w:val="auto"/>
        </w:rPr>
        <w:t>” shall include any service as a director, officer, employee, agent or fiduciary of the Company which imposes duties on, or involves services by, such director, officer, employee, agent or fiduciary with respect to an employee benefit plan, its participants or its beneficiaries; and if Indemnitee acted in good faith and in a manner Indemnitee reasonably believed to be in the interest of the participants and beneficiaries of an employee benefit plan, Indemnitee shall be deemed to have acted in a manner “</w:t>
      </w:r>
      <w:r>
        <w:rPr>
          <w:rFonts w:ascii="Times New Roman" w:cs="Times New Roman" w:eastAsia="Times New Roman" w:hAnsi="Times New Roman"/>
          <w:sz w:val="18"/>
          <w:szCs w:val="18"/>
          <w:i w:val="1"/>
          <w:iCs w:val="1"/>
          <w:color w:val="auto"/>
        </w:rPr>
        <w:t>not opposed to the best interests of the Company</w:t>
      </w:r>
      <w:r>
        <w:rPr>
          <w:rFonts w:ascii="Times New Roman" w:cs="Times New Roman" w:eastAsia="Times New Roman" w:hAnsi="Times New Roman"/>
          <w:sz w:val="18"/>
          <w:szCs w:val="18"/>
          <w:color w:val="auto"/>
        </w:rPr>
        <w:t>” as referred to in this Agreement.</w:t>
      </w:r>
    </w:p>
    <w:p>
      <w:pPr>
        <w:spacing w:after="0" w:line="182"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9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Reviewing Party</w:t>
      </w:r>
      <w:r>
        <w:rPr>
          <w:rFonts w:ascii="Times New Roman" w:cs="Times New Roman" w:eastAsia="Times New Roman" w:hAnsi="Times New Roman"/>
          <w:sz w:val="18"/>
          <w:szCs w:val="18"/>
          <w:color w:val="auto"/>
        </w:rPr>
        <w:t>” shall mean, subject to the provisions of Section 2(d), any person or body appointed by the Board of Directors in accordance with applicable law to review the Company’s obligations hereunder and under applicable law, which may include a member or members of the Company’s Board of Directors, Independent Legal Counsel or any other person or body not a party to the particular Claim for which Indemnitee is seeking indemnification, exoneration and hold harmless rights. In the absence of the appointment of another Reviewing Party, but subject to the provisions of Section 2(d), the full Board of Directors shall be deemed to be the “Reviewing Party” within the meaning of this Agreement.</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Section</w:t>
      </w:r>
      <w:r>
        <w:rPr>
          <w:rFonts w:ascii="Times New Roman" w:cs="Times New Roman" w:eastAsia="Times New Roman" w:hAnsi="Times New Roman"/>
          <w:sz w:val="18"/>
          <w:szCs w:val="18"/>
          <w:color w:val="auto"/>
        </w:rPr>
        <w:t>” refers to a section of this Agreement unless otherwise indicated.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Securities</w:t>
      </w:r>
      <w:r>
        <w:rPr>
          <w:rFonts w:ascii="Times New Roman" w:cs="Times New Roman" w:eastAsia="Times New Roman" w:hAnsi="Times New Roman"/>
          <w:sz w:val="18"/>
          <w:szCs w:val="18"/>
          <w:color w:val="auto"/>
        </w:rPr>
        <w:t>” shall mean any securities of the Company that vote generally in the election of directors.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9" w:name="page120"/>
    <w:bookmarkEnd w:id="119"/>
    <w:p>
      <w:pPr>
        <w:ind w:left="1280" w:hanging="624"/>
        <w:spacing w:after="0"/>
        <w:tabs>
          <w:tab w:leader="none" w:pos="1280"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896"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Expenses</w:t>
      </w:r>
      <w:r>
        <w:rPr>
          <w:rFonts w:ascii="Times New Roman" w:cs="Times New Roman" w:eastAsia="Times New Roman" w:hAnsi="Times New Roman"/>
          <w:sz w:val="18"/>
          <w:szCs w:val="18"/>
          <w:color w:val="auto"/>
        </w:rPr>
        <w:t>. Subject to the provisions of Section 2(b) below, the Company shall indemnify, exonerate and hold harmless Indemnitee for Expenses to the fullest extent permitted by law if Indemnitee was, is or becomes a party to or witness or other participant in, or is threatened to be made a party to or witness or other participant in, any Claim (whether by reason of or arising in part out of a Covered Event), including all interest, assessments and other charges incurred in connection with or in respect of such Expenses.</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 of Indemnification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474" w:val="left"/>
        </w:tabs>
        <w:numPr>
          <w:ilvl w:val="3"/>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in the event any Reviewing Party shall have determined (in a written opinion, in any case in which Independent Legal Counsel is the Reviewing Party) that Indemnitee is not entitled to be indemnified, exonerated or held harmless hereunder under applicable law, (A) the Company shall have no further obligation under Section 2(a) to make any payments to Indemnitee not made prior to such determination by such Reviewing Party and (B) the Company shall be entitled to be reimbursed by Indemnitee (who hereby agrees to reimburse the Company) for all Expenses theretofore paid in indemnifying, exonerating and holding harmless Indemnitee (within thirty (30) days after such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Indemnitee has commenced or thereafter commences legal proceedings in a court of competent jurisdiction to secure a determination that Indemnitee is entitled to be indemnified, exonerated or held harmless hereunder under applicable law, any determination made by any Reviewing Party that Indemnitee is not entitled to be indemnified hereunder under applicable law shall not be binding and Indemnitee shall not be required to reimburse the Company for any Expenses theretofore paid in indemnifying, exonerating and holding harmless Indemnitee until a final judicial determination is made with respect thereto (as to which all rights of appeal therefrom have been exhausted or lapsed). Indemnitee’s obligation to reimburse the Company for any Expenses shall be unsecured and no interest shall be charged thereon.</w:t>
      </w:r>
    </w:p>
    <w:p>
      <w:pPr>
        <w:spacing w:after="0" w:line="19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447" w:val="left"/>
        </w:tabs>
        <w:numPr>
          <w:ilvl w:val="3"/>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2(b)(iii) below, if the Reviewing Party shall not have made a determination within forty-five (45) days after receipt by the Company of the request therefor, the requisite determination of entitlement to indemnification shall, to the fullest extent not prohibited by law, be deemed to have been made and Indemnitee shall be entitled to such indemnification, absent (A) a misstatement by Indemnitee of a material fact, or an omission of a material fact necessary to make Indemnitee’s statement not materially misleading, in connection with the request for indemnification or</w:t>
      </w:r>
    </w:p>
    <w:p>
      <w:pPr>
        <w:spacing w:after="0" w:line="2" w:lineRule="exact"/>
        <w:rPr>
          <w:rFonts w:ascii="Times New Roman" w:cs="Times New Roman" w:eastAsia="Times New Roman" w:hAnsi="Times New Roman"/>
          <w:sz w:val="18"/>
          <w:szCs w:val="18"/>
          <w:color w:val="auto"/>
        </w:rPr>
      </w:pPr>
    </w:p>
    <w:p>
      <w:pPr>
        <w:jc w:val="both"/>
        <w:ind w:right="20" w:firstLine="8"/>
        <w:spacing w:after="0" w:line="255" w:lineRule="auto"/>
        <w:tabs>
          <w:tab w:leader="none" w:pos="29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prohibition of such indemnification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45-day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w:t>
      </w:r>
    </w:p>
    <w:p>
      <w:pPr>
        <w:spacing w:after="0" w:line="185" w:lineRule="exact"/>
        <w:rPr>
          <w:rFonts w:ascii="Times New Roman" w:cs="Times New Roman" w:eastAsia="Times New Roman" w:hAnsi="Times New Roman"/>
          <w:sz w:val="18"/>
          <w:szCs w:val="18"/>
          <w:color w:val="auto"/>
        </w:rPr>
      </w:pPr>
    </w:p>
    <w:p>
      <w:pPr>
        <w:ind w:firstLine="1952"/>
        <w:spacing w:after="0" w:line="282" w:lineRule="auto"/>
        <w:tabs>
          <w:tab w:leader="none" w:pos="2614" w:val="left"/>
        </w:tabs>
        <w:numPr>
          <w:ilvl w:val="3"/>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of Indemnitee to indemnification under this Agreement shall be required to be made prior to the final disposition of the Claim.</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21"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Indemnitee Rights on Unfavorable Determination; Binding Effect</w:t>
      </w:r>
      <w:r>
        <w:rPr>
          <w:rFonts w:ascii="Times New Roman" w:cs="Times New Roman" w:eastAsia="Times New Roman" w:hAnsi="Times New Roman"/>
          <w:sz w:val="18"/>
          <w:szCs w:val="18"/>
          <w:color w:val="auto"/>
        </w:rPr>
        <w:t>. If any Reviewing Party determines that Indemnitee substantively is not entitled to be indemnified, exonerated or held harmless hereunder in whole or in part under applicable law, Indemnitee shall have the right to commence litigation seeking an initial determination by the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jc w:val="both"/>
        <w:spacing w:after="0" w:line="266" w:lineRule="auto"/>
        <w:rPr>
          <w:sz w:val="20"/>
          <w:szCs w:val="20"/>
          <w:color w:val="auto"/>
        </w:rPr>
      </w:pPr>
      <w:r>
        <w:rPr>
          <w:rFonts w:ascii="Times New Roman" w:cs="Times New Roman" w:eastAsia="Times New Roman" w:hAnsi="Times New Roman"/>
          <w:sz w:val="18"/>
          <w:szCs w:val="18"/>
          <w:color w:val="auto"/>
        </w:rPr>
        <w:t>court or challenging any such determination by such Reviewing Party or any aspect thereof, including the legal or factual bases therefor, and, subject to the provisions of Section 15 hereof, the Company hereby consents to service of process and to appear in any such proceeding. Absent such litigation, any determination by any Reviewing Party shall be conclusive and binding on the Company and Indemnitee.</w:t>
      </w:r>
    </w:p>
    <w:p>
      <w:pPr>
        <w:spacing w:after="0" w:line="176" w:lineRule="exact"/>
        <w:rPr>
          <w:sz w:val="20"/>
          <w:szCs w:val="20"/>
          <w:color w:val="auto"/>
        </w:rPr>
      </w:pPr>
    </w:p>
    <w:p>
      <w:pPr>
        <w:jc w:val="both"/>
        <w:ind w:firstLine="1304"/>
        <w:spacing w:after="0" w:line="252" w:lineRule="auto"/>
        <w:tabs>
          <w:tab w:leader="none" w:pos="210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Reviewing Party; Change in Control</w:t>
      </w:r>
      <w:r>
        <w:rPr>
          <w:rFonts w:ascii="Times New Roman" w:cs="Times New Roman" w:eastAsia="Times New Roman" w:hAnsi="Times New Roman"/>
          <w:sz w:val="18"/>
          <w:szCs w:val="18"/>
          <w:color w:val="auto"/>
        </w:rPr>
        <w:t>. If there has not been a Change in Control, any Reviewing Party shall be selected by the Board of Directors, which may be the full Board of Directors in the absence of the selection of another Reviewing Party, and if there has been such a Change in Control (other than a Change in Control which has been approved by a majority of the Company’s Board of Directors who were directors immediately prior to such Change in Control), any Reviewing Party with respect to all matters thereafter arising concerning Indemnitee’s indemnification, exoneration and hold harmless rights for Expenses under this Agreement or any other agreement or under the Company’s amended and restated certificate of incorporation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or amended and restated bylaws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as now or hereafter in effect, or under any other applicable law, if desired by Indemnitee, shall be Independent Legal Counsel selected by the Indemnitee and approved by Company (which approval shall not be unreasonably withheld). Such counsel, among other things, shall render its written opinion to the Company and Indemnitee as to whether and to what extent Indemnitee would be entitled to be indemnified, exonerated or held harmless hereunder under applicable law and the Company agrees to abide by such opinion. The Company agrees to pay the reasonable fees of the Independent Legal Counsel referred to above and to fully indemnify, exonerate and hold harmless such counsel against any and all expenses (including attorneys’ fees), claims, liabilities and damages arising out of or relating to this Agreement or its engagement pursuant hereto. Notwithstanding any other provision of this Agreement, the Company shall not be required to pay Expenses of more than one Independent Legal Counsel in connection with all matters concerning a single Indemnitee, and such Independent Legal Counsel shall be the Independent Legal Counsel for any or all other Indemnitees unless (i) the Company otherwise determines or (ii) any Indemnitee shall provide a written statement setting forth in detail a reasonable objection to such Independent Legal Counsel representing other Indemnitees.</w:t>
      </w:r>
    </w:p>
    <w:p>
      <w:pPr>
        <w:spacing w:after="0" w:line="19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5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Payment of Expenses</w:t>
      </w:r>
      <w:r>
        <w:rPr>
          <w:rFonts w:ascii="Times New Roman" w:cs="Times New Roman" w:eastAsia="Times New Roman" w:hAnsi="Times New Roman"/>
          <w:sz w:val="18"/>
          <w:szCs w:val="18"/>
          <w:color w:val="auto"/>
        </w:rPr>
        <w:t>. Notwithstanding any other provision of this Agreement other than Section 10 hereof, to the fullest extent permitted by applicable law and to the extent that Indemnitee was a party to (or participant in) and has been successful on the merits or otherwise, including, without limitation, the dismissal of an action without prejudice, in defense of any Claim, Indemnitee shall be indemnified, exonerated and held harmless against all Expenses actually and reasonably incurred by Indemnitee in connection therewith. If Indemnitee is not wholly successful in such Claim but is successful, on the merits or otherwise, as to one or more but less than all claims, issues or matters in such Claim, the Company shall indemnify Indemnitee against all Expenses actually and reasonably incurred by him or on his behalf in connection with or related to each successfully resolved claim, issue or matter to the fullest extent permitted by law. For purposes of this Section and without limitation, the termination of any claim, issue or matter in such a Claim by dismissal, with or without prejudice, shall be deemed to be a successful result as to such claim, issue or matter.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both"/>
        <w:ind w:firstLine="1304"/>
        <w:spacing w:after="0" w:line="253" w:lineRule="auto"/>
        <w:tabs>
          <w:tab w:leader="none" w:pos="189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exoneration and hold harmless rights provided for in this Agreement is for any reason held by a court of competent jurisdiction to be unavailable to an Indemnitee, then in lieu of indemnifying, exonerating and holding harmless Indemnitee thereunder, the Company shall contribute to the amount paid or required to be paid by Indemnitee as a result of such Expenses (i) in such proportion as is deemed fair and reasonable in light of all of the circumstances in order to reflect the relative benefits received by the Company and Indemnitee as a result of the event(s) and/or transaction(s) giving cause to such Claim or (ii) if the allocation provided by clause (i) above is not permitted by applicable law, in such proportion as is appropriate to reflect not only the relative benefits referred to in clause (i) above but also the relative fault of the Company (and its directors, officers, employees and agents) and Indemnitee in connection with the action or inaction which resulted in such Expenses, as well as any other relevant equitable considerations. In connection with the registration of the Company’s securities, the relative benefits received by the Company and Indemnitee shall be deemed to be in the same respective proportions that the net proceeds from the offering (before deducting expenses) received by the Company and Indemnitee, in each case as set forth in the table on the cover page of the applicable prospectus, bear to the aggregate public offering price of the securities so offered. The relative fault of the Company and Indemnitee shall be determined by reference to, among other things, whether the untrue or alleged untrue statement of a material fact or the omission or alleged omission to state a material fact relates to information supplied by the Company or Indemnitee and the parties’ relative intent, knowledge, access to information and opportunity to correct or prevent such statement or omission.</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Company and Indemnitee agree that it would not be just and equitable if contribution pursuant to this Section 2(f) were determined by pro rata or by any other method of allocation which does not take account of the equitable considerations referred to in the immediately preceding paragraph. In connection with the registration of the Company’s securities, in no event shall Indemnitee be required to contribute any amount under this Section 2(f) in excess of the net proceeds received by Indemnitee from its sale of securities under such registration statement. No person found guilty of fraudulent misrepresentation (within the meaning of Section 11(a) of the Securities Act of 1933, as amended) shall be entitled to contribution from any person who was not found guilty of such fraudulent misrepresentation.</w:t>
      </w:r>
    </w:p>
    <w:p>
      <w:pPr>
        <w:spacing w:after="0" w:line="183" w:lineRule="exact"/>
        <w:rPr>
          <w:sz w:val="20"/>
          <w:szCs w:val="20"/>
          <w:color w:val="auto"/>
        </w:rPr>
      </w:pPr>
    </w:p>
    <w:p>
      <w:pPr>
        <w:ind w:left="1280" w:hanging="624"/>
        <w:spacing w:after="0"/>
        <w:tabs>
          <w:tab w:leader="none" w:pos="12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Expense Advances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96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to Make Expense Advances</w:t>
      </w:r>
      <w:r>
        <w:rPr>
          <w:rFonts w:ascii="Times New Roman" w:cs="Times New Roman" w:eastAsia="Times New Roman" w:hAnsi="Times New Roman"/>
          <w:sz w:val="18"/>
          <w:szCs w:val="18"/>
          <w:color w:val="auto"/>
        </w:rPr>
        <w:t xml:space="preserve">. The Company shall make Expense Advances to Indemnitee upon receipt of a written undertaking,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by or on behalf of the Indemnitee to repay such amounts if it shall ultimately be determined that the Indemnitee is not entitled to be indemnified, exonerated or held harmless therefor by the Company.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0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Undertaking</w:t>
      </w:r>
      <w:r>
        <w:rPr>
          <w:rFonts w:ascii="Times New Roman" w:cs="Times New Roman" w:eastAsia="Times New Roman" w:hAnsi="Times New Roman"/>
          <w:sz w:val="18"/>
          <w:szCs w:val="18"/>
          <w:color w:val="auto"/>
        </w:rPr>
        <w:t>. Any written undertaking by the Indemnitee to repay any Expense Advances hereunder shall be unsecured and no interest shall be charged thereon.</w:t>
      </w:r>
    </w:p>
    <w:p>
      <w:pPr>
        <w:spacing w:after="0" w:line="157"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Procedures for Indemnification and Expense Advances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201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Payments</w:t>
      </w:r>
      <w:r>
        <w:rPr>
          <w:rFonts w:ascii="Times New Roman" w:cs="Times New Roman" w:eastAsia="Times New Roman" w:hAnsi="Times New Roman"/>
          <w:sz w:val="18"/>
          <w:szCs w:val="18"/>
          <w:color w:val="auto"/>
        </w:rPr>
        <w:t>. All payments of Expenses (including without limitation Expense Advances) by the Company to the Indemnitee pursuant to this Agreement shall be made to the fullest extent permitted by law as soon as practicable after written demand by Indemnitee therefor is presented to the Company, but in no event later than forty-five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both"/>
        <w:ind w:firstLine="8"/>
        <w:spacing w:after="0" w:line="266" w:lineRule="auto"/>
        <w:tabs>
          <w:tab w:leader="none" w:pos="34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such written demand by Indemnitee is presented to the Company, except in the case of Expense Advances, which shall be made no later than twenty (20) days after such written demand by Indemnitee is presented to the Company. If the Company disputes a portion of the amounts for which indemnification is requested, the undisputed portion shall be paid and only the disputed portion withheld pending resolution of any such dispute.</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83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Notice/Cooperation by Indemnitee</w:t>
      </w:r>
      <w:r>
        <w:rPr>
          <w:rFonts w:ascii="Times New Roman" w:cs="Times New Roman" w:eastAsia="Times New Roman" w:hAnsi="Times New Roman"/>
          <w:sz w:val="18"/>
          <w:szCs w:val="18"/>
          <w:color w:val="auto"/>
        </w:rPr>
        <w:t xml:space="preserve">. Indemnitee shall, as a condition precedent to Indemnitee’s right to be indemnified, exonerated or held harmless or Indemnitee’s right to receive Expense Advances under this Agreement, give the Company notice in writing as soon as practicable of any Claim made against Indemnitee for which indemnification, exoneration and hold harmless rights will or could be sought under this Agreement and, in connection with Indemnitee’s right to receive Expense Advances under this Agreement, provide the Company with a signed, written undertaking,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Notice to the Company shall be directed to the General Counsel and Corporate Secretary of the Company at the address (including electronic address) shown on the signature page of this Agreement (or such other address as the Company shall designate in writing to Indemnitee) and shall include a description of the nature of the Claim and the facts underlying the Claim, in each case to the extent known to Indemnitee.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Claim. In addition, Indemnitee shall give the Company such information and cooperation as the Company may reasonably require and as shall be within Indemnitee’s power. The failure by Indemnitee to notify the Company hereunder will not relieve the Company from any liability which it may have to Indemnitee hereunder or otherwise than under this Agreement, and any delay in so notifying the Company shall not constitute a waiver by Indemnitee of any rights under this Agreement, except to the extent (solely with respect to the indemnity hereunder) that such failure or delay materially prejudices the Company.</w:t>
      </w:r>
    </w:p>
    <w:p>
      <w:pPr>
        <w:spacing w:after="0" w:line="19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1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Presumptions; Burden of Proof</w:t>
      </w:r>
      <w:r>
        <w:rPr>
          <w:rFonts w:ascii="Times New Roman" w:cs="Times New Roman" w:eastAsia="Times New Roman" w:hAnsi="Times New Roman"/>
          <w:sz w:val="18"/>
          <w:szCs w:val="18"/>
          <w:color w:val="auto"/>
        </w:rPr>
        <w:t xml:space="preserve">. For purposes of this Agreement, the termination of any Claim by judgment, order, settlement (whether with or without court approval) or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or its equivalent, shall not create a presumption that Indemnitee did not meet any particular standard of conduct or have any particular belief or that a court has determined that indemnification, exoneration and hold harmless rights are not permitted by this Agreement or applicable law. In addition, neither the failure of any Reviewing Party to have made a determination as to whether Indemnitee has met any particular standard of conduct or had any particular belief, nor an actual determination by any Reviewing Party that Indemnitee has not met such standard of conduct or did not have such belief, prior to the commencement of legal proceedings by Indemnitee to secure a judicial determination that Indemnitee should be indemnified, exonerated or held harmless under this Agreement or applicable law, shall be a defense to Indemnitee’s claim or create a presumption that Indemnitee has not met any particular standard of conduct or did not have any particular belief. In connection with any determination by any Reviewing Party or otherwise as to whether the Indemnitee is entitled to be indemnified, exonerated or held harmless hereunder, the burden of proof shall be on the Company to establish that Indemnitee is not so entitled.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both"/>
        <w:ind w:firstLine="1304"/>
        <w:spacing w:after="0" w:line="258" w:lineRule="auto"/>
        <w:tabs>
          <w:tab w:leader="none" w:pos="209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Insurers</w:t>
      </w:r>
      <w:r>
        <w:rPr>
          <w:rFonts w:ascii="Times New Roman" w:cs="Times New Roman" w:eastAsia="Times New Roman" w:hAnsi="Times New Roman"/>
          <w:sz w:val="18"/>
          <w:szCs w:val="18"/>
          <w:color w:val="auto"/>
        </w:rPr>
        <w:t>. If, at the time of the receipt by the Company of a notice of a Claim pursuant to Section 4(b) hereof, the Company has liability insurance in effect which may cover such Claim, the Company shall give prompt notice of the commencement of such Claim to the insurers in accordance with the procedures set forth in the respective policies. The Company shall thereafter take all reasonably necessary or desirable action to cause such insurers to pay, on behalf of the Indemnitee, all amounts payable as a result of such Claim in accordance with the terms of such policies.</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6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Counsel</w:t>
      </w:r>
      <w:r>
        <w:rPr>
          <w:rFonts w:ascii="Times New Roman" w:cs="Times New Roman" w:eastAsia="Times New Roman" w:hAnsi="Times New Roman"/>
          <w:sz w:val="18"/>
          <w:szCs w:val="18"/>
          <w:color w:val="auto"/>
        </w:rPr>
        <w:t xml:space="preserve">. In the event the Company shall be obligated hereunder to provide indemnification, exoneration and hold harmless rights for or make any Expense Advances with respect to the Expenses of any Claim, the Company, if appropriate, shall be entitled to assume the defense of such Claim with counsel approved by Indemnitee (which approval shall not be unreasonably withheld)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Claim;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Indemnitee shall have the right to employ Indemnitee’s separate counsel in any such Claim at Indemnitee’s expense and (ii) if (A) the employment of separate counsel by Indemnitee has been previously authorized by the Company, (B) Indemnitee shall have reasonably concluded that there may be a conflict of interest between the Company and Indemnitee in the conduct of any such defense or (C) the Company shall not continue to retain such counsel to defend such Claim, then the fees and expenses of Indemnitee’s separate counsel shall be Expenses for which Indemnitee may receive indemnification, exoneration and hold harmless rights or Expense Advances hereunder. The Company shall have the right to conduct such defense as it sees fit in its sole discretion, including the right to settle any claim, action or proceeding against Indemnitee without the consent of Indemnitee, provided that the terms of such settlement include a full release of Indemnitee by the claimant from all liabilities or potential liabilities under such claim. In the event such full release is not obtained, the Company shall obtain the consent of Indemnitee, regardless of whether the terms of such settlement limit any indemnification, exoneration and hold harmless rights Indemnitee may now, or hereafter, be entitled to under this Agreement, the Company’s Certificate of Incorporation, the Bylaws, any agreement, any vote of stockholders or disinterested directors,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or otherwise.</w:t>
      </w:r>
    </w:p>
    <w:p>
      <w:pPr>
        <w:spacing w:after="0" w:line="190"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Indemnification Rights; Nonexclusivity</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94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Scope</w:t>
      </w:r>
      <w:r>
        <w:rPr>
          <w:rFonts w:ascii="Times New Roman" w:cs="Times New Roman" w:eastAsia="Times New Roman" w:hAnsi="Times New Roman"/>
          <w:sz w:val="18"/>
          <w:szCs w:val="18"/>
          <w:color w:val="auto"/>
        </w:rPr>
        <w:t>. The Company hereby agrees to indemnify, exonerate and hold harmless the Indemnitee to the fullest extent permitted by law, notwithstanding that such indemnification, exoneration and hold harmless rights are not specifically authorized by the other provisions of this Agreement, the Company’s Certificate of Incorporation, the Bylaws or by statute, a vote of stockholders or a resolution of directors, or otherwise. The rights of indemnification and to receive Expense Advances as provided by this Agreement shall be interpreted independently of, and without reference to, any other such rights to which Indemnitee may at any time be entitled. In the event of any change after the date of this Agreement in any applicable law, statute or rule which expands the right of a Delaware corporation to indemnify, exonerate and hold harmless a member of its board of directors or an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both"/>
        <w:spacing w:after="0" w:line="258" w:lineRule="auto"/>
        <w:rPr>
          <w:sz w:val="20"/>
          <w:szCs w:val="20"/>
          <w:color w:val="auto"/>
        </w:rPr>
      </w:pPr>
      <w:r>
        <w:rPr>
          <w:rFonts w:ascii="Times New Roman" w:cs="Times New Roman" w:eastAsia="Times New Roman" w:hAnsi="Times New Roman"/>
          <w:sz w:val="18"/>
          <w:szCs w:val="18"/>
          <w:color w:val="auto"/>
        </w:rPr>
        <w:t>officer, employee, agent or fiduciary, it is the intent of the parties hereto that Indemnitee shall enjoy by this Agreement the greater benefits afforded by such change. In the event of any change in any applicable law, statute or rule which narrows the right of a Delaware corporation to indemnify, exonerate and hold harmless a member of its board of directors or an officer, employee, agent or fiduciary, such change, to the extent not otherwise required by such law, statute or rule to be applied to this Agreement, shall have no effect on this Agreement or the parties’ rights and obligations hereunder except as set forth in Section 10(a) hereof.</w:t>
      </w:r>
    </w:p>
    <w:p>
      <w:pPr>
        <w:spacing w:after="0" w:line="183" w:lineRule="exact"/>
        <w:rPr>
          <w:sz w:val="20"/>
          <w:szCs w:val="20"/>
          <w:color w:val="auto"/>
        </w:rPr>
      </w:pPr>
    </w:p>
    <w:p>
      <w:pPr>
        <w:jc w:val="both"/>
        <w:ind w:firstLine="1304"/>
        <w:spacing w:after="0" w:line="258" w:lineRule="auto"/>
        <w:tabs>
          <w:tab w:leader="none" w:pos="193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color w:val="auto"/>
        </w:rPr>
        <w:t>. The indemnification, exoneration and hold harmless rights and the payment of Expense Advances provided by this Agreement shall be in addition to any rights to which Indemnitee may be entitled under the Company’s Certificate of Incorporation, the Bylaws, any other agreement, any vote of stockholders or disinterested directors, the DGCL, or otherwise. The indemnification, exoneration and hold harmless rights and the payment of Expense Advances provided under this Agreement shall continue as to Indemnitee for any action taken or not taken while serving in an indemnified, exonerated or held harmless capacity even though subsequent thereto Indemnitee may have ceased to serve in such capacity.</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1277"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Duplication of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not be liable under this Agreement to make any payment in connection with any Claim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against Indemnitee to the extent Indemnitee has otherwise actually received payment (under any insurance policy, provision of the Company’s Certificate of Incorporation, the Bylaws or otherwise) of the amounts otherwise payable hereunder, except as provided in Section 18 below.</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493"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Partial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Indemnitee is entitled under any provision of this Agreement to indemnification, exoneration and 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harmless rights by the Company for some or a portion of Expenses incurred in connection with any Claim, but not, however, for the total amount thereof, the Company shall nevertheless indemnify, exonerate and hold harmless Indemnitee for the portion of such Expenses to which Indemnitee is entitled.</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354"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Mutual Acknowledgment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the Company and Indemnitee acknowledge that in certain instances, federal law or applicable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may prohibit the Company from indemnifying, exonerating and holding harmless its directors, officers, employees, agents or fiduciaries under this Agreement or otherwise. Indemnitee understands and acknowledges that the Company may be required in the future to undertake with the Securities and Exchange Commission to submit the question of indemnification, exoneration and hold harmless rights to a court in certain circumstances for a determination of the Company’s right under public policy to indemnify, exonerate and hold harmless Indemnitee.</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422"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the Company maintains liability insurance applicable to directors, officers, employees, agents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fiduciaries, Indemnitee shall be covered by such policies in such a manner as to provide Indemnitee the same rights and benefits as are provided to the most favorably insured of the Company’s directors who are not employees of the Company, if Indemnitee is a director who is not employed by the Company; or of the Company’s officers, if Indemnitee is a director of the Company and is also employed by the Company, or is not a director of the Company but is an officer; or in the Company’s sole discretion, if Indemnitee is not an officer or director but is an employee, agent or fiduciary.</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ind w:left="1420" w:hanging="764"/>
        <w:spacing w:after="0"/>
        <w:tabs>
          <w:tab w:leader="none" w:pos="14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Exceptions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this Agreement, the Company shall not be obligated pursuant to the terms of this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2143"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Action or Omissions</w:t>
      </w:r>
      <w:r>
        <w:rPr>
          <w:rFonts w:ascii="Times New Roman" w:cs="Times New Roman" w:eastAsia="Times New Roman" w:hAnsi="Times New Roman"/>
          <w:sz w:val="18"/>
          <w:szCs w:val="18"/>
          <w:color w:val="auto"/>
        </w:rPr>
        <w:t xml:space="preserve">. To indemnify, exonerate and hold harmless Indemnitee for Expenses resulting from acts, omissions or transactions for which Indemnitee is prohibited from receiving indemnification, exoneration and hold harmless rights under this Agreement or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any limitation set forth in this Section 10(a) regarding the Company’s obligation to provide indemnification, exoneration and hold harmless rights to Indemnitee, Indemnitee shall be entitled under Section 3 to receive Expense Advances hereunder with respect to any such Claim unless and until a court having jurisdiction over the Claim shall have made a final judicial determination (as to which all rights of appeal therefrom have been exhausted or lapsed) that Indemnitee has engaged in acts, omissions or transactions for which Indemnitee is prohibited from receiving indemnification under this Agreement or applicable law.</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2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Initiated by Indemnitee</w:t>
      </w:r>
      <w:r>
        <w:rPr>
          <w:rFonts w:ascii="Times New Roman" w:cs="Times New Roman" w:eastAsia="Times New Roman" w:hAnsi="Times New Roman"/>
          <w:sz w:val="18"/>
          <w:szCs w:val="18"/>
          <w:color w:val="auto"/>
        </w:rPr>
        <w:t>. To indemnify, exonerate and hold harmless or make Expense Advances to Indemnitee with respect to Claims initiated or brought voluntarily by Indemnitee and not by way of defense, counterclaim or cross claim, except (i) with respect to actions or proceedings brought to establish or enforce an indemnification, exoneration and hold harmless right under this Agreement or any other agreement or insurance policy or under the Company’s Certificate of Incorporation or Bylaws now or hereafter in effect relating to Claims for Covered Events, (ii) in specific cases if the Board of Directors has approved the initiation or bringing of such Claim or (iii) as otherwise required under Section 145 of the DGCL, regardless of whether Indemnitee ultimately is determined to be entitled to such indemnification, exoneration, hold harmless right, Expense Advances or insurance recovery, as the case may be.</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0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Lack of Good Faith</w:t>
      </w:r>
      <w:r>
        <w:rPr>
          <w:rFonts w:ascii="Times New Roman" w:cs="Times New Roman" w:eastAsia="Times New Roman" w:hAnsi="Times New Roman"/>
          <w:sz w:val="18"/>
          <w:szCs w:val="18"/>
          <w:color w:val="auto"/>
        </w:rPr>
        <w:t>. To indemnify, exonerate and hold harmless Indemnitee for any Expenses incurred by Indemnitee with respect to any action instituted (i) by Indemnitee to enforce or interpret this Agreement, if a court having jurisdiction over such action determines as provided in Section 13 hereof that each of the material assertions made by Indemnitee as a basis for such action was not made in good faith or was frivolous or (ii) by or in the name of the Company to enforce or interpret this Agreement, if a court having jurisdiction over such action determines as provided in Section 13 hereof that each of the material defenses asserted by Indemnitee in such action was made in bad faith or was frivolous.</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1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Under Section 16(b) or Sarbanes-Oxley Act</w:t>
      </w:r>
      <w:r>
        <w:rPr>
          <w:rFonts w:ascii="Times New Roman" w:cs="Times New Roman" w:eastAsia="Times New Roman" w:hAnsi="Times New Roman"/>
          <w:sz w:val="18"/>
          <w:szCs w:val="18"/>
          <w:color w:val="auto"/>
        </w:rPr>
        <w:t>. To indemnify, exonerate and hold harmless Indemnitee for expenses and the payment of profits arising from the purchase and sale by Indemnitee of securities in violation of Section 16(b) of the Securities Exchange Act of 1934, as amended, or any similar successor statute or any reimbursement of the Company by Indemnitee of any bonus or other incentive-based or equity-based compensation or of any profits realized by Indemnitee from the sale of securities of the Company, as required in each case under the Exchange Act of 1934, as amended (including any such reimbursements that arise from an accounting restatement of the Company pursuant to Section 304 of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xml:space="preserve">”), or the payment to the Company of profits arising from the purchase and sale by Indemnitee of securities in violation of Section 306 of the Sarbanes-Oxley Act);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notwithstanding any limitation set forth in this Section 10(d) regarding the Company’s obligation to provide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jc w:val="both"/>
        <w:spacing w:after="0" w:line="266" w:lineRule="auto"/>
        <w:rPr>
          <w:sz w:val="20"/>
          <w:szCs w:val="20"/>
          <w:color w:val="auto"/>
        </w:rPr>
      </w:pPr>
      <w:r>
        <w:rPr>
          <w:rFonts w:ascii="Times New Roman" w:cs="Times New Roman" w:eastAsia="Times New Roman" w:hAnsi="Times New Roman"/>
          <w:sz w:val="18"/>
          <w:szCs w:val="18"/>
          <w:color w:val="auto"/>
        </w:rPr>
        <w:t>indemnification, exoneration, and hold harmless, Indemnitee shall be entitled under Section 3 hereof to receive Expense Advances hereunder with respect to any such Claim unless and until a court having jurisdiction over the Claim shall have made a final judicial determination (as to which all rights of appeal therefrom have been exhausted or lapsed) that Indemnitee has violated said statute.</w:t>
      </w:r>
    </w:p>
    <w:p>
      <w:pPr>
        <w:spacing w:after="0" w:line="172" w:lineRule="exact"/>
        <w:rPr>
          <w:sz w:val="20"/>
          <w:szCs w:val="20"/>
          <w:color w:val="auto"/>
        </w:rPr>
      </w:pPr>
    </w:p>
    <w:p>
      <w:pPr>
        <w:ind w:firstLine="656"/>
        <w:spacing w:after="0" w:line="286" w:lineRule="auto"/>
        <w:tabs>
          <w:tab w:leader="none" w:pos="1497"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counterparts and by facsimile or electronic transmission, each of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an original and all of which, together, shall constitute one instrument.</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278"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Binding Effect; Successors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binding upon, inure to the benefit of and be enforceable by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their respective successors and assigns (including any direct or indirect successor by purchase, merger, consolidation or otherwise to all or substantially all of the business and/or assets of the Company),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This Agreement shall continue in effect regardless of whether Indemnitee continues to serve as a director, officer, employee, agent or fiduciary (as applicable) of the Company or of any other enterprise at the Company’s request.</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1278"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Expenses Incurred in Action Relating to Enforcement or 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any action is instituted by Indemnitee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or under any liability insurance policies maintained by the Company to enforce or interpret any of the terms hereof or thereof, Indemnitee shall be entitled to be indemnified for all Expenses incurred by Indemnitee with respect to such action (including without limitation attorneys’ fees), regardless of whether Indemnitee is ultimately successful in such action, unless as a part of such action a court having jurisdiction over such action makes a final judicial determination (as to which all rights of appeal therefrom have been exhausted or lapsed) that each of the material assertions made by Indemnitee as a basis for such action was not made in good faith or was frivolous;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until such final judicial determination is made, Indemnitee shall be entitled under Section 3 to receive payment of Expense Advances hereunder with respect to such action. In the event of an action instituted by or in the name of the Company under this Agreement to enforce or interpret any of the terms of this Agreement, Indemnitee shall be entitled to be indemnified, exonerated or held harmless for all Expenses incurred by Indemnitee in defense of such action (including without limitation costs and expenses incurred with respect to Indemnitee’s counterclaims and cross-claims made in such action), unless as a part of such action a court having jurisdiction over such action makes a final judicial determination (as to which all rights of appeal therefrom have been exhausted or lapsed) that each of the material defenses asserted by Indemnitee in such action was made in bad faith or was frivolous;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until such final judicial determination is made, Indemnitee shall be entitled under Section 3 to receive payment of Expense Advances hereunder with respect to such action.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both"/>
        <w:ind w:firstLine="656"/>
        <w:spacing w:after="0" w:line="257" w:lineRule="auto"/>
        <w:tabs>
          <w:tab w:leader="none" w:pos="1359"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notices, requests, demands and other communications under this Agreement shall be in writing (including electronic 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be deemed duly given (i) if delivered by hand and signed for by the party addressed, on the date of such delivery, (ii) if mailed by domestic certified or registered mail with postage prepaid, on the third business day after the date postmarked or (iii) if sent electronically by electronic mail, on the business day sent if sent before 7:00 P.M. Eastern Time on that day or the next business day after the date sent if sent after 7:00 P.M. Eastern Time on the business day sent. Addresses (including electronic addresses, if applicable) for notice to either party are as shown on the signature page of this Agreement or as subsequently modified by written notice.</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332"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Indemnitee each hereby irrevocably consent to the jurisdiction of the courts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for all purposes in connection with any action or proceeding which arises out of or relates to this Agreement and agree that any action instituted under this Agreement shall be commenced, prosecuted and continued only in the Court of Chancery of the State of Delaware in and for New Castle County, which shall be the exclusive and only proper forum for adjudicating such a claim.</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305"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this Agreement shall be severable in the event that any of the provisions hereof (including any provision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a single section, paragraph or sentence) are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illegal or unenforceable.</w:t>
      </w:r>
    </w:p>
    <w:p>
      <w:pPr>
        <w:spacing w:after="0" w:line="182"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494"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all rights, remedies, liabilities, powers and duties of the parties to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laws of the State of Delaware without regard to principles of conflicts of laws.</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413"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Primacy of Indemnification; Subrogation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payment under this Agreement, the Company shall be subrogated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of such payment to all of the rights of recovery of Indemnitee from any insurance policy purchased by the Company, who shall execute all documents required and shall do all acts that may be necessary to secure such rights and to enable the Company effectively to bring suit to enforce such rights. In no event, however, shall the Company or any other person have any right of recovery, through subrogation or otherwise, against (i) Indemnitee, or</w:t>
      </w:r>
    </w:p>
    <w:p>
      <w:pPr>
        <w:spacing w:after="0" w:line="3"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insurance policy purchased or maintained by Indemnitee.</w:t>
      </w:r>
    </w:p>
    <w:p>
      <w:pPr>
        <w:spacing w:after="0" w:line="202" w:lineRule="exact"/>
        <w:rPr>
          <w:rFonts w:ascii="Times New Roman" w:cs="Times New Roman" w:eastAsia="Times New Roman" w:hAnsi="Times New Roman"/>
          <w:sz w:val="18"/>
          <w:szCs w:val="18"/>
          <w:color w:val="auto"/>
        </w:rPr>
      </w:pPr>
    </w:p>
    <w:p>
      <w:pPr>
        <w:jc w:val="both"/>
        <w:ind w:firstLine="656"/>
        <w:spacing w:after="0" w:line="268" w:lineRule="auto"/>
        <w:tabs>
          <w:tab w:leader="none" w:pos="1278"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amendment, modification, termination or cancellation of this Agreement shall be effective unless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signed by both the parties hereto. No waiver of any of the provisions of this Agreement shall be deemed to be or shall constitute a waiver of any other provisions hereof (whether or not similar), nor shall such waiver constitute a continuing waiver.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jc w:val="both"/>
        <w:ind w:firstLine="656"/>
        <w:spacing w:after="0" w:line="259" w:lineRule="auto"/>
        <w:tabs>
          <w:tab w:leader="none" w:pos="1345"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Integration and 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sets forth the entire understanding between the parties hereto and supersedes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merges all previous written and oral negotiations, commitments, understandings and agreements relating to the subject matter hereof between the parties hereto, including any existing director or officer indemnification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Agreement is a supplement to and in furtherance of the Certificate of Incorporation, the Bylaws, any directors and officers insurance maintained by the Company and applicable law, and shall not be deemed a substitute therefor, nor to diminish or abrogate any rights of Indemnitee thereunder.</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278"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Construction as Employment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contained in this Agreement shall be construed as giving Indemnitee any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by the Company or any of its subsidiaries or affiliated entities.</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4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for the validation of any of the provisions in this Agreement any act, resolution, approval or other procedure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the Company undertakes to cause such act, resolution, approval or other procedure to be affected or adopted in a manner that will enable the Company to fulfill its obligations under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Indemnification Agreement as of the date first above written.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Authorized Officer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6900 Tavistock Lakes Blvd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Suite 400</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Electronic Mail: legalnotices@innventure.com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to and accepted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320" w:top="117" w:right="107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Undertaking</w:t>
      </w:r>
    </w:p>
    <w:p>
      <w:pPr>
        <w:spacing w:after="0" w:line="221" w:lineRule="exact"/>
        <w:rPr>
          <w:sz w:val="20"/>
          <w:szCs w:val="20"/>
          <w:color w:val="auto"/>
        </w:rPr>
      </w:pPr>
    </w:p>
    <w:p>
      <w:pPr>
        <w:jc w:val="center"/>
        <w:ind w:left="340" w:right="5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AFFIRMATION AND UNDERTAKING FOR ADVANCE OF EXPENSES PURSUANT TO SECTION 145(e) OF THE GENERAL CORPORATION LAW OF THE STATE OF DELAWARE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Pursuant to Section 145(e)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Article X, Section 2 of the Amended and Restated Certificate of Incorporation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of Innventure, Inc. (formerly known as Learn SPAC HoldCo,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Section 3(a) of my Indemnification Agreement with the Company (the “</w:t>
      </w:r>
      <w:r>
        <w:rPr>
          <w:rFonts w:ascii="Times New Roman" w:cs="Times New Roman" w:eastAsia="Times New Roman" w:hAnsi="Times New Roman"/>
          <w:sz w:val="18"/>
          <w:szCs w:val="18"/>
          <w:b w:val="1"/>
          <w:bCs w:val="1"/>
          <w:i w:val="1"/>
          <w:iCs w:val="1"/>
          <w:color w:val="auto"/>
        </w:rPr>
        <w:t>Indemnification Agreement</w:t>
      </w:r>
      <w:r>
        <w:rPr>
          <w:rFonts w:ascii="Times New Roman" w:cs="Times New Roman" w:eastAsia="Times New Roman" w:hAnsi="Times New Roman"/>
          <w:sz w:val="18"/>
          <w:szCs w:val="18"/>
          <w:color w:val="auto"/>
        </w:rPr>
        <w:t>”), I understand that I must provide a written undertaking in order for the Company to make Expense Advances to me in connection with [NAME OF PROCEEDING], as well as in any related action, suit or proceeding that is threatened, pending or may be filed in the future in which I am a party, a witness or other participant.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capitalized terms used herein and not otherwise defined shall have the meanings specified in the Indemnification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hereby affirm my good-faith belief that I have met the standard of conduct for indemnification imposed by Section 145(d) of the DGCL. I affirm that in connection with the matters for which I seek Expense Advances, I have acted in good faith and in a manner I reasonably believed to be in or not opposed to the best interests of the Company, and with respect to any criminal action or proceeding, had no reasonable cause to believe that such conduct was unlawful.</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 hereby undertake to repay the Expense Advances if it is ultimately determined that I am not entitled to be indemnified, exonerated or held harmless therefor by the Company under Section 145 of the DGCL, Article X of the Certificate of Incorporation or the Indemnification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undertaking is a general, unsecured obligation, and no interest shall be charged hereon.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have executed this Affirmation and Undertaking on this ____ day of __________,20___.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10.9</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INVESTMENT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LEARN SPAC HOLDCO,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 xml:space="preserve">THE PURCHASERS LISTED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w:t>
      </w: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Dated as of October [__],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4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860" w:type="dxa"/>
            <w:vAlign w:val="bottom"/>
            <w:gridSpan w:val="3"/>
          </w:tcPr>
          <w:p>
            <w:pPr>
              <w:ind w:left="14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83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ARTICLE I</w:t>
            </w:r>
          </w:p>
        </w:tc>
        <w:tc>
          <w:tcPr>
            <w:tcW w:w="14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DEFINITIONS</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  General Interpretive Principles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ARTICLE II</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SALE AND PURCHASE OF SERIES B PREFERRED STOCK</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 and Purchase of the Series B Preferred Stock</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Closing</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Conditions Precedent to Closing</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ARTICLE III</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Representations and Warranties of the Company</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3.02.  Representations and Warranties of Each Purchaser</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8"/>
              </w:rPr>
              <w:t>ARTICLE IV</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REGISTRATION RIGHTS.</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Company Registration</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  Obligations of the Company</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Furnish Information</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4.04.  Expenses of Registration</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Indemnification.</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8"/>
              </w:rPr>
              <w:t>ARTICLE V</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ADDITIONAL AGREEMENTS</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5.01.  Taking of Necessary Action</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Actions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Tax Treatment</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4501 Tax</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04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88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8"/>
              </w:rPr>
              <w:t>ARTICLE VI</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788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9"/>
              </w:rPr>
              <w:t>MISCELLANEOUS</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6.02.  Survival of Representations and Warranties and Registration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Entire Agreement; Third Party Beneficiaries; Amendment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6.07.  Successors and Assigns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6.08.  Governing Law; Jurisdiction; Waiver of Jury Trial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Headings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Non-Recourse</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Section 4501 Tax</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88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ARTICLE VII</w:t>
            </w: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88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CONVERSION LIMITATIONS</w:t>
            </w: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Conversion Limitations.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 – PURCHASERS</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 FORM OF CERTIFICATE OF DESIGNATION</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7"/>
        </w:trPr>
        <w:tc>
          <w:tcPr>
            <w:tcW w:w="1040" w:type="dxa"/>
            <w:vAlign w:val="bottom"/>
          </w:tcPr>
          <w:p>
            <w:pPr>
              <w:spacing w:after="0"/>
              <w:rPr>
                <w:sz w:val="24"/>
                <w:szCs w:val="24"/>
                <w:color w:val="auto"/>
              </w:rPr>
            </w:pPr>
          </w:p>
        </w:tc>
        <w:tc>
          <w:tcPr>
            <w:tcW w:w="7880" w:type="dxa"/>
            <w:vAlign w:val="bottom"/>
          </w:tcPr>
          <w:p>
            <w:pPr>
              <w:jc w:val="center"/>
              <w:ind w:left="1191"/>
              <w:spacing w:after="0"/>
              <w:rPr>
                <w:sz w:val="20"/>
                <w:szCs w:val="20"/>
                <w:color w:val="auto"/>
              </w:rPr>
            </w:pPr>
            <w:r>
              <w:rPr>
                <w:rFonts w:ascii="Times New Roman" w:cs="Times New Roman" w:eastAsia="Times New Roman" w:hAnsi="Times New Roman"/>
                <w:sz w:val="14"/>
                <w:szCs w:val="14"/>
                <w:color w:val="auto"/>
              </w:rPr>
              <w:t>2</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40" w:type="dxa"/>
            <w:vAlign w:val="bottom"/>
            <w:tcBorders>
              <w:bottom w:val="single" w:sz="8" w:color="auto"/>
            </w:tcBorders>
          </w:tcPr>
          <w:p>
            <w:pPr>
              <w:spacing w:after="0"/>
              <w:rPr>
                <w:sz w:val="3"/>
                <w:szCs w:val="3"/>
                <w:color w:val="auto"/>
              </w:rPr>
            </w:pPr>
          </w:p>
        </w:tc>
        <w:tc>
          <w:tcPr>
            <w:tcW w:w="78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u w:val="single" w:color="auto"/>
          <w:color w:val="auto"/>
        </w:rPr>
        <w:t>INVESTMENT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INVESTMENT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[__], 2024, is by and among Learn SPAC HoldCo, Inc., a Delaware corporation (which shall be renamed “Innventure, Inc.” upon consummation of the Transaction,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several Purchasers listed from time to time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xml:space="preserve">”). Capitalized terms not otherwise defined where used shall have the meanings ascribed thereto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at the Closing, the Purchasers desire to purchase from the Company, and the Company desires to issue and sell to such Purchasers, an aggregate of up to 3,000,000 shares of the Company’s Series B Preferred Stock (the “</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purchase price of $10.00 per share (the “</w:t>
      </w:r>
      <w:r>
        <w:rPr>
          <w:rFonts w:ascii="Times New Roman" w:cs="Times New Roman" w:eastAsia="Times New Roman" w:hAnsi="Times New Roman"/>
          <w:sz w:val="18"/>
          <w:szCs w:val="18"/>
          <w:u w:val="single" w:color="auto"/>
          <w:color w:val="auto"/>
        </w:rPr>
        <w:t>Series B Preferred Stock Purchase Price</w:t>
      </w:r>
      <w:r>
        <w:rPr>
          <w:rFonts w:ascii="Times New Roman" w:cs="Times New Roman" w:eastAsia="Times New Roman" w:hAnsi="Times New Roman"/>
          <w:sz w:val="18"/>
          <w:szCs w:val="18"/>
          <w:color w:val="auto"/>
        </w:rPr>
        <w:t>”), having the terms and conditions specified in the form of Certificate of Designation attached hereto as Exhibit A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to be issued on the terms and subject to the conditions set forth in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Company and each Purchaser desire to set forth certain agreements herein.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representations, warranties and agreements herein contained and intending to be legally bound hereby, the parties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which directly or indirectly controls, is controlled by or is under common control with such Person. Notwithstanding the foregoing, with respect to each Purchaser, the Company and the Company’s Subsidiaries shall not be considered Affiliates of such Purchaser or any of such Purchaser’s Affiliates.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means that certain Business Combination Agreement, dated as of October 24, 2023, by and among the Company, Learn CW Investment Corporation, a Cayman Islands exempted company with limited liability, LCW Merger Sub, Inc., a Delaware corporation, Innventure Merger Sub, LLC, a Delaware limited liability company, and Innventure LLC, a Delaware limited liability company, as the same may be amended, modified or supplemented from time to time.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New York are not option for the transaction of normal banking business.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shall have the meaning set forth in the definition of Material Adverse Effect.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any shares of common stock, par value $0.0001, of the Company that shall be listed and traded on the Listing Exchange under the name and ticker “INV” upon consummation of the Transaction.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xml:space="preserve">” shall have the meaning set forth in Section </w:t>
      </w:r>
      <w:r>
        <w:rPr>
          <w:rFonts w:ascii="Times New Roman" w:cs="Times New Roman" w:eastAsia="Times New Roman" w:hAnsi="Times New Roman"/>
          <w:sz w:val="18"/>
          <w:szCs w:val="18"/>
          <w:u w:val="single" w:color="auto"/>
          <w:color w:val="auto"/>
        </w:rPr>
        <w:t>3.01(g)(i)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possession, directly or indirectly, of power to direct or cause the direction of management or policies (whether through ownership of securities or partnership or other ownership interests, by contract or otherwise) and shall include its correlative meanings, “controlled by” and “under common control with”.</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U.S. generally accepted accounting principles.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court, administrative agency or commission or other governmental authority or instrumentality, whether federal, state, local or foreign, and any applicable industry self-regulatory organization.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 Exchange</w:t>
      </w:r>
      <w:r>
        <w:rPr>
          <w:rFonts w:ascii="Times New Roman" w:cs="Times New Roman" w:eastAsia="Times New Roman" w:hAnsi="Times New Roman"/>
          <w:sz w:val="18"/>
          <w:szCs w:val="18"/>
          <w:color w:val="auto"/>
        </w:rPr>
        <w:t>” means a nationally recognized stock exchange or listing system mutually agreed to by the parties, which shall either be the Nasdaq Stock Market (Nasdaq) or NYSE American LLC (NYSE American).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change, effect, condition, event, circumstance, occurrence or development (each a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changes</w:t>
      </w:r>
      <w:r>
        <w:rPr>
          <w:rFonts w:ascii="Times New Roman" w:cs="Times New Roman" w:eastAsia="Times New Roman" w:hAnsi="Times New Roman"/>
          <w:sz w:val="18"/>
          <w:szCs w:val="18"/>
          <w:color w:val="auto"/>
        </w:rPr>
        <w:t>”) that, individually or in the aggregate, has had or would reasonably be expected to have a materially adverse effect on (a) the business, assets, liabilities or financial condition or results of operations of the Company and its Subsidiaries, taken as a whole, or (b) the ability of the Company to consummate the Closing or to perform its obligations under this Agreement or the Business Combination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or unlimited liability company, association, partnership, trust, estate, joint venture, business trust or unincorporated organization, or a government or any agency or political subdivision thereof, or other entity of any kind or nature.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means, with respect to each Purchaser, the purchase price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Party</w:t>
      </w:r>
      <w:r>
        <w:rPr>
          <w:rFonts w:ascii="Times New Roman" w:cs="Times New Roman" w:eastAsia="Times New Roman" w:hAnsi="Times New Roman"/>
          <w:sz w:val="18"/>
          <w:szCs w:val="18"/>
          <w:color w:val="auto"/>
        </w:rPr>
        <w:t>” means any entity 50% or more owned or, where relevant under applicable sanctions laws, controlled, individually or in the aggregate, by one or more party designated on a sanctioned parties list administered by the U.S., in each case only to the extent that dealings with such persons are prohibited pursuant to applicable laws and regulations pertaining to trade and economic sanctions administered by the U.S.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means all underwriting discounts, selling commissions, and stock transfer taxes applicable to the sale of registrable securities, and fees and disbursements of counsel for any Purchaser.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shall have the meaning set forth in the preamble 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 Purchase Price</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other Person of which 50% or more of the shares of the voting securities or other voting interests are owned or controlled, or the ability to select or elect 50% or more of the directors or similar managers is held, directly or indirectly, by such first Person or one or more of its Subsidiaries, or by such first Person, or by such first Person and one or more of its Subsidiaries.</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and foreign income, excise, gross receipts, gross income, ad valorem, profits, gains, property, capital, sales, transfer, use, payroll, employment, severance, withholding, duties, intangibles, franchise, backup withholding, value-added, and other taxes imposed by a Governmental Entity, together with all interest, penalties and additions to tax imposed with respect thereto.</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 report, return or other document (including any amendments thereto) required to be supplied to a Governmental Entity with respect to Taxes.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means the transactions contemplated by the Business Combination Agreement, and the consummation of which shall take place on the Closing Date (as defined therein).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General Interpretive Principles</w:t>
      </w:r>
      <w:r>
        <w:rPr>
          <w:rFonts w:ascii="Times New Roman" w:cs="Times New Roman" w:eastAsia="Times New Roman" w:hAnsi="Times New Roman"/>
          <w:sz w:val="18"/>
          <w:szCs w:val="18"/>
          <w:color w:val="auto"/>
        </w:rPr>
        <w:t>. Whenever used in this Agreement, except as otherwise expressly provided or unless the context otherwise requires, any noun or pronoun shall be deemed to include the plural as well as the singular and to cover all genders. Any of the terms defined herein may, unless the context otherwise requires, be used in the singular or the plural, depending on the reference. The name assigned to this Agreement and the headings used herein are for convenience of reference only and shall not be construed to affect the meaning, construction or effect hereof. Whenever the words “include,” “includes,” or “including,” are used in this Agreement, they shall be deemed to be followed by the words “without limitation.” Unless otherwise specified, the terms “hereto,” “hereof,” “herein” and similar terms refer to this Agreement as a whole (including the exhibits, schedules and disclosure statements hereto), and references herein to Articles or Sections refer to Articles or Sections of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SALE AND PURCHASE OF SERIES B PREFERRED STOCK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Sale and Purchase of the Series B Preferred Stock</w:t>
      </w:r>
      <w:r>
        <w:rPr>
          <w:rFonts w:ascii="Times New Roman" w:cs="Times New Roman" w:eastAsia="Times New Roman" w:hAnsi="Times New Roman"/>
          <w:sz w:val="18"/>
          <w:szCs w:val="18"/>
          <w:color w:val="auto"/>
        </w:rPr>
        <w:t xml:space="preserve">. On the terms and conditions of this Agreement, at the Closing, each Purchaser shall purchase and acquire from the Company, and the Company shall issue, sell and deliver to each Purchaser, severally and not jointly, the applicable number of shares of Series B Preferred Stock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such schedule can be amended or supplemented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200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of this Agreement, the closing of the purchase and sale of Series B Preferred Stock pursuant to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will take place remotely via the exchange of documents and signatures substantially concurrently with the consummation of the Transaction, subject to the satisfaction or waiver of the conditions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(such date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Purchaser is not ready and able to fund the Closing on the date of the consummation of the Transaction, the parties hereto agree that they shall use reasonable best efforts to consummate the Closing as soon as practicable, but not later than five (5) Business Days following the consummation of the Transaction.</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64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 issue and deliver to each Purchaser the Series B Preferred Stock purchased by it, registered in the name of each applicable Purchaser, in each case free and clear of all liens, except restrictions on transfer imposed by the Securities Act, any other applicable securities laws or any other agreement by and among the Company and any of the Purchasers (the terms of which, for the avoidance of doubt, shall only apply to those Purchasers who are party thereto), and the Company will instruct its transfer agent to record, and the transfer agent shall record, the issuance of the shares of Series B Preferred Stock to each applicable Purchaser on the transfer agent’s books and records, against payment in full by or on behalf of such Purchaser of the applicable Purchase Price and (B) deliver to each Purchaser this Agreement and the Certificate, each of which shall be duly authorized and executed by the Company.</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5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will (A) cause a wire transfer to be made in same day funds to an account of the Company designated in writing by the Company to such Purchaser in an amount equal to the applicable Purchase Price, and (B) deliver a counterpart to this Agreement, duly executed by such Purchaser.</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u w:val="single" w:color="auto"/>
          <w:color w:val="auto"/>
        </w:rPr>
        <w:t>Conditions Precedent to Closing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214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each of the Company and the Purchasers to consummate the Closing shall be subject to the satisfaction or waiver, if permissible under applicable law, on or prior to the Closing Date of the following conditions: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2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shall have enacted, issued, promulgated, enforced or entered any judgment, order, law, rule or regulation which is then in effect and has the effect of making the consummation of the transactions contemplated hereby illegal or otherwise restraining or prohibiting consummation of the transactions contemplated hereby; and</w:t>
      </w:r>
    </w:p>
    <w:p>
      <w:pPr>
        <w:spacing w:after="0" w:line="17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shall have closed.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3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Purchaser to consummate the Closing shall be subject to the satisfaction or waiver by such Purchaser, in its sole discretion and if permissible under applicable law, on or prior to the Closing Date of the following conditions: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ind w:left="2660" w:hanging="708"/>
        <w:spacing w:after="0"/>
        <w:tabs>
          <w:tab w:leader="none" w:pos="2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shall have occurred by the Outside Date;</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6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this Agreement shall be true and correct in all material respects at and as of the Closing Date;</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63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satisfied and complied in all material respects with all covenants, agreements and conditions required by this Agreement to be performed, satisfied or complied with by it at or prior to the Closing Date; and</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71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a certificate of the Secretary or an Assistant Secretary of the Company in form reasonably acceptable to the Purchasers with respect to the Company’s good standing in its jurisdiction of organization, its organizational documents, and its corporate authorization of the transactions contemplated hereby.</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8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to consummate the Closing shall be subject to the satisfaction or waiver by the Company, in its sole discretion and if permissible under applicable law, on or prior to the Closing Date of the following conditions: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8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the Purchasers contained in this Agreement shall be true and correct as to each Purchaser, severally and not jointly, except as would not have a material adverse effect on such Purchaser’s ability to consummate the transactions contemplated hereby; and</w:t>
      </w:r>
    </w:p>
    <w:p>
      <w:pPr>
        <w:spacing w:after="0" w:line="17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61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have performed, satisfied and complied in all material respects with all covenants, agreements and conditions required by this Agreement to be performed, satisfied or complied with by it at or prior to the Closing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As of the date hereof and as of the Closing Date (or, if any such representations and warranties expressly relate to an earlier date, then as of such earlier date), the Company represents and warrants to each Purchaser as follows:</w:t>
      </w:r>
    </w:p>
    <w:p>
      <w:pPr>
        <w:spacing w:after="0" w:line="390" w:lineRule="exact"/>
        <w:rPr>
          <w:sz w:val="20"/>
          <w:szCs w:val="20"/>
          <w:color w:val="auto"/>
        </w:rPr>
      </w:pPr>
    </w:p>
    <w:p>
      <w:pPr>
        <w:jc w:val="both"/>
        <w:ind w:firstLine="656"/>
        <w:spacing w:after="0" w:line="261" w:lineRule="auto"/>
        <w:tabs>
          <w:tab w:leader="none" w:pos="127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and Power</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and has all requisite corporate power and authority to carry on its business as now conducted and as presently proposed to be conducted. The Company is duly qualified to transact business and is in good standing in each jurisdiction in which the failure to so qualify would have a Material Adverse Effect.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jc w:val="both"/>
        <w:ind w:firstLine="656"/>
        <w:spacing w:after="0" w:line="253" w:lineRule="auto"/>
        <w:tabs>
          <w:tab w:leader="none" w:pos="139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Immediately prior to the consummation of the transactions contemplated hereby, the authorized capital stock of the Company will consist of (1) 250,000,000 shares of Common Stock, and (2) 25,000,000 shares of preferred stock, with a par value of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of which 5,000,000 shares will have been designated as “Series B Preferred Stock.” Other than as disclosed here, in the Company Reports and as may be contemplated in connection with the consummation of the Transaction, there are no (i) outstanding warrants, options, agreements, convertible securities, performance units or other commitments or instruments pursuant to which the Company is or may become obligated to issue or sell any securities, including Common Stock, (ii) outstanding obligations of the Company to repurchase, redeem or otherwise acquire outstanding Common Stock or any securities convertible into or exchangeable for the foregoing, (iii) bonds, debentures, notes or other indebtedness of the Company having the right to vote (or convertible into, or exchangeable for, securities having the right to vote) on any matters on which the holders of Common Stock may vote, are issued or outstanding, (iv) preemptive or similar rights to purchase or otherwise acquire the Common Stock, or (v) any right of first refusal, right of first offer, proxy, voting trust, voting agreement or similar arrangement with respect to the sale or voting of the Common Stock.</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141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execution, delivery and performance of this Agreement, the Certificate, and the issuance and sale of the Series B Preferred Stock pursuant to this Agreement have been duly authorized by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and the Board of Directors has duly reserved the requisite number of shares of Series B Preferred Stock to be issued in accordance with the terms and conditions of the Certificate. No other action on the part of the Company or its stockholders is necessary to authorize the execution, delivery and performance by the Company of this Agreement or the Certificate and the consummation by it of the transactions contemplated hereby. Assuming this Agreement constitutes the valid and binding obligation of each Purchaser and is duly executed and delivered by each other party hereto, this Agreement is a valid and legally binding obligation of the Company, enforceable against the Company in accordance with its terms, subject to the limitation of such enforcement by (i) the effect of bankruptcy, insolvency, reorganization, receivership, conservatorship, arrangement, moratorium or other laws affecting or relating to creditors’ rights generally or (ii) the rules governing the availability of specific performance, injunctive relief or other equitable remedies and general principles of equity, regardless of whether considered in a proceeding in equity or at law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138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 No Integration; No Resales</w:t>
      </w:r>
      <w:r>
        <w:rPr>
          <w:rFonts w:ascii="Times New Roman" w:cs="Times New Roman" w:eastAsia="Times New Roman" w:hAnsi="Times New Roman"/>
          <w:sz w:val="18"/>
          <w:szCs w:val="18"/>
          <w:color w:val="auto"/>
        </w:rPr>
        <w:t>. None of the Company nor its Subsidiaries has directly, or through any Person or any entity acting on its or their behalf, (i) sold, delivered, offered for sale, solicited offers to buy or otherwise negotiated in respect of, any “security” (as defined in the Securities Act) that is or could be integrated with the sale and delivery of the Series B Preferred Stock in a manner that would require the registration under the Securities Act of the Series B Preferred Stock, or (ii) engaged in any form of general solicitation or general advertising (as those terms are used in Regulation D of the Securities Act or within the meaning of Rule 502(c) of the Securities Act) in connection with the offering of the Series B Preferred Stock or in any manner involving a public offering within the meaning of Section 4(a)(2) of the Securities Act.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jc w:val="both"/>
        <w:ind w:firstLine="656"/>
        <w:spacing w:after="0" w:line="256" w:lineRule="auto"/>
        <w:tabs>
          <w:tab w:leader="none" w:pos="13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When issued, all Series B Preferred Stock will be validly issued, fully paid and nonassessable and free of pre-emptive or similar rights. The Common Stock issuable upon conversion of the Series B Preferred Stock has been duly reserved for issuance, and upon issuance in accordance with the terms of the Certificate, will be validly issued, fully paid and nonassessable and free of pre-emptive or similar rights, liens or encumbrances created by or imposed by a Purchaser. Assuming the accuracy of the representations and warranties of each Purchaser set forth herein, the Series B Preferred Stock and Common Stock issuable upon conversion thereof will be issued in compliance with all applicable federal and state securities laws.</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123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Non-Contravention/No Consents</w:t>
      </w:r>
      <w:r>
        <w:rPr>
          <w:rFonts w:ascii="Times New Roman" w:cs="Times New Roman" w:eastAsia="Times New Roman" w:hAnsi="Times New Roman"/>
          <w:sz w:val="18"/>
          <w:szCs w:val="18"/>
          <w:color w:val="auto"/>
        </w:rPr>
        <w:t>. The execution, delivery and performance of this Agreement and the Certificate in accordance with their terms and the consummation by the Company of the Transaction, does not conflict with, violate or result in a breach of any provision of, or constitute a default under, or result in the termination of or accelerate the performance required by, or result in a right of termination or acceleration under, (i) the certificate of incorporation or bylaws of the Company, (ii) any mortgage, note, indenture, deed of trust, lease, loan agreement or other agreement binding upon the Company or any of its Subsidiaries, (iii) any permit, license, judgment, order, decree, ruling, injunction, statute, law, ordinance, rule or regulation applicable to the Company or any of its Subsidiaries, other than in the cases of clause (ii) and this clause (iii) as would not, individually or in the aggregate, reasonably be expected to have a Material Adverse Effect. Assuming the accuracy of the representations of each Purchaser set forth herein, no consent, approval, order or authorization of, or registration, qualification, designation, declaration or filing with, any Governmental Entity is required on the part of the Company or any of its Subsidiaries in connection with the execution, delivery and performance by the Company of this Agreement and the consummation by the Company of the Closing except for (x)(1) the filing of the Certificate with the Secretary of State of the State of Delaware, (2) filings with the SEC under the Securities Act and Exchange Act and the rules and regulations of the SEC promulgated thereunder and (3) compliance with and filings pursuant to any applicable state securities or blue sky laws, in which case of clause (2) and this clause (3) shall have been made or will be made in a timely manner or (y) any consent, approval, order, authorization, registration, qualification, designation, declaration, filing, exemption or review the failure of which to be obtained or made, individually or in the aggregate, would not reasonably be expected to have a Material Adverse Effect.</w:t>
      </w:r>
    </w:p>
    <w:p>
      <w:pPr>
        <w:spacing w:after="0" w:line="197"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Financial Statements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4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dates, all forms, reports, registration statements, prospectuses and other documents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filed by the Company and available on EDGAR complied in all material respects with the applicable requirements of the Exchange Act, and the rules and regulations of the SEC promulgated thereunder, and none of the Company Reports, when filed,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68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described in the Company Reports, the financial statements of the Company included in the Company Reports comply in all material respects with applicable accounting requirements and the rules and regulations of the SEC with respect thereto as in effect at the time of filing and fairly present in all material respects the financial position of the Company, as applicable, as of and for the dates thereof and the results of operations and cash flows for the periods then ended, subject, in the case of unaudited statements, to normal, year-end audit adjustments.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ind w:left="1300" w:firstLine="652"/>
        <w:spacing w:after="0" w:line="282" w:lineRule="auto"/>
        <w:tabs>
          <w:tab w:leader="none" w:pos="2699"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Company Report is available to each Purchaser via the SEC’s EDGAR system. The Company has timely filed each report, statement, schedule, prospectus, and registration statement that the Company was required to file with the SEC.</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4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June 30, 2024 and except as described in subsequent Company Reports, (i) the Company and its Subsidiaries have conducted their respective businesses in all material respects in the ordinary course of business, and (ii) no events, changes or developments have occurred that, individually or in the aggregate, have had or would reasonably be expected to have a Material Adverse Effect on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Liabilities, etc</w:t>
      </w:r>
      <w:r>
        <w:rPr>
          <w:rFonts w:ascii="Times New Roman" w:cs="Times New Roman" w:eastAsia="Times New Roman" w:hAnsi="Times New Roman"/>
          <w:sz w:val="18"/>
          <w:szCs w:val="18"/>
          <w:color w:val="auto"/>
        </w:rPr>
        <w:t>. As of the date hereof, there are no liabilities of the Company or any of its Subsidiaries that would be required by GAAP to be reflected on the face of the balance sheet, except (i) liabilities reflected or reserved against in the financial statements contained in the Company Reports, (ii) liabilities incurred since June 30, 2024 in the ordinary course of business and (iii) liabilities that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6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Each of the Company and its Subsidiaries has complied in all respects with, and has not received any written notices of any material violation with respect to, and is not in default or violation in any respect of, any law, statute, order, rule, regulation, policy or guideline of any federal, state or local governmental authority applicable to the Company or such Subsidiary, in each case, other than such non-compliance, defaults or violations that, individually or in the aggregate, (i) have not had and would not reasonably be expected to have a Material Adverse Effect or (ii) are contained in the Company Reports.</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28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Except as otherwise disclosed in the Company Reports, neither the Company nor any of its Subsidiaries is a party to any, and there are no pending, or to the knowledge of the Company, threatened in writing, claims, actions, suits, proceedings, arbitration, charges or, to the knowledge of the Company, investigations against the Company or any of its Subsidiaries that (i) individually or in the aggregate, would reasonably be expected to have a Material Adverse Effect or (ii) challenge the validity of the Transaction. Neither the Company nor any of its Subsidiaries is subject to any order, judgment or decree of a Governmental Entity that, individually or in the aggregate, has had or would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8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of the Company and its Subsidiaries maintains insurance policies concerning such casualties as would be reasonable and customary for companies like the Company and its Subsidiaries, with extended coverage, sufficient in amount (subject to reasonable deductions) to allow it to replace any of its properties that might be damaged or destroyed.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jc w:val="both"/>
        <w:ind w:firstLine="656"/>
        <w:spacing w:after="0" w:line="255" w:lineRule="auto"/>
        <w:tabs>
          <w:tab w:leader="none" w:pos="140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There are no income or other material Taxes due and payable by the Company or any of its Subsidiaries that have not been timely paid and no material withholding Taxes required to be withheld by the Company or any of its Subsidiaries that have not been withheld and timely paid over to the appropriate governmental agency. There have been no examinations or audits with respect to any Taxes or Tax Returns of the Company or, to the knowledge of the Company, any of its Subsidiaries, by any applicable federal, state, county, local or foreign governmental agency, and the Company has not received written notice of an intent to commence any such examination or audit that remains outstanding. The Company and its Subsidiaries have duly and timely filed all income or other material Tax Returns required to have been filed by them, and there are in effect no waivers of applicable statutes of limitations with respect to Taxes for any year.</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41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Upon consummation of the Transaction, the Common Stock shall be registered pursuant to Section 12(b) of the Exchange Act and listed on the Listing Exchange, and the Company has taken no action designed to, or which, to the knowledge of the Company, is reasonably likely to have the effect of, prevent the registration of the Common Stock under the Exchange Act or the Listing Exchange, nor has the Company received as of the date of this Agreement any notification that the SEC or the Listing Exchange the effect of which may be to prevent such registration or listing.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Representations and Warranties of Each Purchaser</w:t>
      </w:r>
      <w:r>
        <w:rPr>
          <w:rFonts w:ascii="Times New Roman" w:cs="Times New Roman" w:eastAsia="Times New Roman" w:hAnsi="Times New Roman"/>
          <w:sz w:val="18"/>
          <w:szCs w:val="18"/>
          <w:color w:val="auto"/>
        </w:rPr>
        <w:t>. As of the date hereof and as of the Closing (or, if any such representations and warranties expressly relate to an earlier date, then as of such earlier date), each Purchaser severally (and not jointly) represents and warrants to the Company as follows:</w:t>
      </w:r>
    </w:p>
    <w:p>
      <w:pPr>
        <w:spacing w:after="0" w:line="176" w:lineRule="exact"/>
        <w:rPr>
          <w:sz w:val="20"/>
          <w:szCs w:val="20"/>
          <w:color w:val="auto"/>
        </w:rPr>
      </w:pPr>
    </w:p>
    <w:p>
      <w:pPr>
        <w:jc w:val="both"/>
        <w:ind w:firstLine="1304"/>
        <w:spacing w:after="0" w:line="255" w:lineRule="auto"/>
        <w:tabs>
          <w:tab w:leader="none" w:pos="1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Qualification; Authorization</w:t>
      </w:r>
      <w:r>
        <w:rPr>
          <w:rFonts w:ascii="Times New Roman" w:cs="Times New Roman" w:eastAsia="Times New Roman" w:hAnsi="Times New Roman"/>
          <w:sz w:val="18"/>
          <w:szCs w:val="18"/>
          <w:color w:val="auto"/>
        </w:rPr>
        <w:t>. Such Purchaser has been duly organized and is validly existing and in good standing (or its equivalent) under the laws of its jurisdiction of organization and has all requisite corporate, partnership or limited liability company, as applicable, power and authority to execute and deliver this Agreement, to perform its obligations hereunder and to consummate the transactions contemplated hereby. Each of the execution of this Agreement and the consummation by such Purchaser of the Closing have been duly and validly authorized by such Purchaser. This Agreement has been duly executed and delivered by such Purchaser to the extent it is a party thereto and, assuming due execution and delivery by the Company, once executed constitutes the valid and legally binding obligation of such Purchaser enforceable against such Purchaser in accordance with its terms, subject to the Enforceability Exceptions.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the Purchaser in reliance upon the Purchaser’s representation to the Company, which by the Purchaser’s execution of this Agreement, the Purchaser hereby confirms, that the Series B Preferred Stock to be acquired by the Purchaser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of Series B Preferred Stock. The Purchaser has not been formed for the specific purpose of acquiring the Series B Preferred Stock.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jc w:val="both"/>
        <w:ind w:firstLine="1304"/>
        <w:spacing w:after="0" w:line="261" w:lineRule="auto"/>
        <w:tabs>
          <w:tab w:leader="none" w:pos="197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xml:space="preserve">. The Purchaser has had an opportunity to discuss the Company’s business, management, financial affairs and the terms and conditions of the offering of the Series B Preferred Stock with the Company’s management and has had an opportunity to review the Company’s facilities. The foregoing, however, does not limit or modify the representations and warranties of the Company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of this Agreement or the right of the Purchasers to rely thereon.</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1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The Purchaser understands that the Series B Preferred Stock has not been,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Series B Preferred Stock are “restricted securities” under applicable U.S. federal and state securities laws and that, pursuant to these laws, the Purchaser must hold the shares of Series B Preferred Stock indefinitely (or until converted in accordance with the terms of the Certificate) unless they are registered with the SEC and qualified by state authorities. The Purchaser acknowledges that the Company has no obligation to register or qualify the Series B Preferred Stock for resale, subject to the requirements of Article IV hereof. The Purchaser acknowledges that the Common Stock is publicly traded and Purchaser understands that this offering is not intended to be a public offering, and that the Purchaser will not be able to rely on the protection of Section 11 of the Securities Act.</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95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Market</w:t>
      </w:r>
      <w:r>
        <w:rPr>
          <w:rFonts w:ascii="Times New Roman" w:cs="Times New Roman" w:eastAsia="Times New Roman" w:hAnsi="Times New Roman"/>
          <w:sz w:val="18"/>
          <w:szCs w:val="18"/>
          <w:color w:val="auto"/>
        </w:rPr>
        <w:t>. The Purchaser understands that no public market now exists for the Series B Preferred Stock, and that the Company has made no assurances that a public market will ever exist for the Series B Preferred Stock.</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9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Purchaser understands that the Series B Preferred Stock may be notated with a legend substantially similar to the following or otherwise required by the securities laws of any state, to the extent such laws are applicable to the shares of Series B Preferred Stock represented by the certificate, instrument, or book entry so legended:</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SHARES OF SERIES B PREFERRED STOCK REPRESENTED HEREBY HAVE NOT BEEN REGISTERED UNDER THE SECURITIES ACT OF 1933, AS AMENDED,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 AS AMENDED.”</w:t>
      </w:r>
    </w:p>
    <w:p>
      <w:pPr>
        <w:spacing w:after="0" w:line="183" w:lineRule="exact"/>
        <w:rPr>
          <w:sz w:val="20"/>
          <w:szCs w:val="20"/>
          <w:color w:val="auto"/>
        </w:rPr>
      </w:pPr>
    </w:p>
    <w:p>
      <w:pPr>
        <w:jc w:val="both"/>
        <w:ind w:firstLine="1304"/>
        <w:spacing w:after="0" w:line="266" w:lineRule="auto"/>
        <w:tabs>
          <w:tab w:leader="none" w:pos="193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Purchaser is an accredited investor as defined in Rule 501(a) of Regulation D promulgated under the Securities Act and has delivered to the Company a completed copy of the Accredited Investor Questionnaire in connection with such Purchaser’s execution of that certain Indication of Interest.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jc w:val="both"/>
        <w:ind w:firstLine="1304"/>
        <w:spacing w:after="0" w:line="255" w:lineRule="auto"/>
        <w:tabs>
          <w:tab w:leader="none" w:pos="196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Investors</w:t>
      </w:r>
      <w:r>
        <w:rPr>
          <w:rFonts w:ascii="Times New Roman" w:cs="Times New Roman" w:eastAsia="Times New Roman" w:hAnsi="Times New Roman"/>
          <w:sz w:val="18"/>
          <w:szCs w:val="18"/>
          <w:color w:val="auto"/>
        </w:rPr>
        <w:t>. If the Purchaser is not a United States person (as defined by Section 7701(a)(30) of the Code), the Purchaser hereby represents that it has satisfied itself as to the full observance of the laws of its jurisdiction in connection with any invitation to subscribe for the Series B Preferred Stock or any use of this Agreement, including (i) the legal requirements within its jurisdiction for the purchase of the Series B Preferred Stock, (ii) any foreign exchange restrictions applicable to such purchase, (iii) any governmental or other consents that may need to be obtained, and (iv) the income tax and other Tax consequences, if any, that may be relevant to the purchase, holding, redemption, sale, or transfer of the Series B Preferred Stock. The Purchaser’s subscription and payment for and continued beneficial ownership of the Series B Preferred Stock will not violate any applicable securities or other laws of the Purchaser’s jurisdiction.</w:t>
      </w:r>
    </w:p>
    <w:p>
      <w:pPr>
        <w:spacing w:after="0" w:line="188"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Purchaser, nor any of its officers, directors, employees, agents, stockholders or partners, is a Sanctioned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2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Purchaser, nor any of its officers, directors, employees, agents, stockholders or partners has either directly or indirectly, including, through a broker or finder (i) engaged in any general solicitation (as such term is used in Regulation D of the Securities Act or within the meaning of Rule 502(c) of the Securities Act), or (ii) published any advertisement in connection with the offer and sale of the Series B Preferred Stock.</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3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 Among Purchasers</w:t>
      </w:r>
      <w:r>
        <w:rPr>
          <w:rFonts w:ascii="Times New Roman" w:cs="Times New Roman" w:eastAsia="Times New Roman" w:hAnsi="Times New Roman"/>
          <w:sz w:val="18"/>
          <w:szCs w:val="18"/>
          <w:color w:val="auto"/>
        </w:rPr>
        <w:t>. The Purchaser acknowledges that it is not relying upon any Person in making its investment or decision to invest in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5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Residence</w:t>
      </w:r>
      <w:r>
        <w:rPr>
          <w:rFonts w:ascii="Times New Roman" w:cs="Times New Roman" w:eastAsia="Times New Roman" w:hAnsi="Times New Roman"/>
          <w:sz w:val="18"/>
          <w:szCs w:val="18"/>
          <w:color w:val="auto"/>
        </w:rPr>
        <w:t xml:space="preserve">. If the Purchaser is an individual, then the Purchaser resides in the state or province identified in the address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if the Purchaser is a partnership, corporation, limited liability company or other entity, then the office or offices of the Purchaser in which it has its principal place of business is identified in the address or addresses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RIGHTS.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Within 120 calendar days after the Closing Date, the Company will use its commercially reasonable efforts to prepare and file with the SEC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covering the resale of all shares of Common Stock to be issued upon conversion of all of the shares the Series B Preferred Stock then outstanding, including the shares of Series B Preferred Stock issued in connection with a dividend declared by the Company (“</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The Company shall promptly notify the Purchasers via email of the effectiveness of the Registration Statement on the same Business Day that the Company telephonically confirms effectiveness with the SEC.</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xml:space="preserve">. When the registration of the Converted Shares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is complete, the Company shall, as expeditiously as reasonably possible:</w:t>
      </w:r>
    </w:p>
    <w:p>
      <w:pPr>
        <w:spacing w:after="0" w:line="162" w:lineRule="exact"/>
        <w:rPr>
          <w:sz w:val="20"/>
          <w:szCs w:val="20"/>
          <w:color w:val="auto"/>
        </w:rPr>
      </w:pPr>
    </w:p>
    <w:p>
      <w:pPr>
        <w:jc w:val="both"/>
        <w:ind w:firstLine="1304"/>
        <w:spacing w:after="0" w:line="257" w:lineRule="auto"/>
        <w:tabs>
          <w:tab w:leader="none" w:pos="2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applicable SEC rules, use its commercially reasonable efforts to keep the Registration Statement continuously effective until the earlier of (i) the date on which all Converted Shares have been sold thereunder; (ii) the date on which all Converted Shares may be sold pursuant to Rule 144 without volume or manner-of-sale restrictions and without current public information (including pursuant to Rule 144(i)</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as reasonably determined by the counsel to the Company; or (iii) the date which is the fifth anniversary of the effective date of the Registration Statement;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jc w:val="both"/>
        <w:ind w:firstLine="1304"/>
        <w:spacing w:after="0" w:line="266" w:lineRule="auto"/>
        <w:tabs>
          <w:tab w:leader="none" w:pos="210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the Registration Statement, and the prospectus used in connection with the Registration Statement, as may be necessary to comply with the Securities Act in order to enable the disposition of all Converted Shares covered by the Registration Statement;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8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selling Purchasers such numbers of copies of a prospectus, including a preliminary prospectus, as required by the Securities Act, and such other documents as the Purchasers may reasonably request in order to facilitate their disposition of their Converted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9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register and qualify the Converted Shares covered by the Registration Statement under such other securities or blue-sky laws of such jurisdictions as shall be reasonably requested by the selling Purchasers; provided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Converted Shares covered by the Registration Statement to be listed on a national securities exchange or trading system and each securities exchange and trading system (if any) on which similar securities issued by the Company are then listed;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7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Converted Shares registered pursuant to the Registration Statement and provide a CUSIP number for all such Converted Shares, in each case not later than the effective date of such registration;</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agreements and take such other actions in order to expedite or facilitate the disposition of such Converted Shares;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Registration Statement becomes effective, notify each selling Purchaser of any request by the SEC that the Company amend or supplement the Registration Statement or prospectus.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with respect to the Converted Shares of any selling Purchaser that such Purchaser shall furnish to the Company such information regarding itself, the Converted Shares held by it, and the intended method of disposition of such securities as is reasonably required to effect the registration of such Purchaser’s Converted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including all registration, filing, and listing fees; printers’ and accounting fees shall be borne and paid by the Company. All Selling Expenses relating to Converted Shares registered pursuant to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be borne and paid by the Purchasers pro rata on the basis of the number of Converted Shares registered on their behalf.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99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statement filed by the Company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 which the Purchaser has registered Converted Shares for sale, the Purchaser will, and hereby agrees to, indemnify and hold harmless to the fullest extent permitted by law (i) the Company and each of its directors, officers, employees, agents, affiliates and each other person, if any, who controls the Company and (ii) each other seller and such other seller’s directors, officers, managers, agents and affiliates (each, an “</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in each case against any and all losses, claims, damages, liabilities (including actions or proceedings, whether commenced or threatened, in respect thereof, whether or not such indemnified party is a party thereto), joint or several, and expenses, including the reasonable fees, disbursements and other charges of legal counsel and reasonable costs of investigation, in each case to which such Investor Indemnitee may become subject under the Securities Act or otherwise (collectively, a “</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the extent such Losses arise out of or are based upon any untrue statement or alleged untrue statement of a material fact contained in any registration statement (including the prospectus included within) or any omission or alleged omission to state therein a material fact required to be stated therein or necessary to make the statements therein in the light of circumstances in which they were made not misleading, if such untrue statement or alleged untrue statement or omission or alleged omission was made by the Company in reliance upon and in conformity with information furnished to the Company in writing by or on behalf of the Purchaser or other seller of Converted Shares stating that it is for use therein; provided, however, that the liability of such indemnifying party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will be limited to the amount of the net proceeds (after giving effect to underwriting discounts and commissions) received by such indemnifying party in the sale of Converted Shares giving rise to such liability; and, provided, further, however, that no Purchaser shall be required to indemnify an Investor Indemnitee to the extent such Losses arise out of, relate to, or are incurred in connection with an Investor Indemnitee’s gross negligence or willful misconduct. The foregoing indemnity will remain in full force and effect regardless of any investigation made by or on behalf of the Investor Indemnitee and will survive the transfer of such securities by such indemnifying party.</w:t>
      </w:r>
    </w:p>
    <w:p>
      <w:pPr>
        <w:spacing w:after="0" w:line="193" w:lineRule="exact"/>
        <w:rPr>
          <w:rFonts w:ascii="Times New Roman" w:cs="Times New Roman" w:eastAsia="Times New Roman" w:hAnsi="Times New Roman"/>
          <w:sz w:val="18"/>
          <w:szCs w:val="18"/>
          <w:color w:val="auto"/>
        </w:rPr>
      </w:pPr>
    </w:p>
    <w:p>
      <w:pPr>
        <w:jc w:val="both"/>
        <w:ind w:firstLine="1304"/>
        <w:spacing w:after="0" w:line="252" w:lineRule="auto"/>
        <w:tabs>
          <w:tab w:leader="none" w:pos="217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Loss</w:t>
      </w:r>
      <w:r>
        <w:rPr>
          <w:rFonts w:ascii="Times New Roman" w:cs="Times New Roman" w:eastAsia="Times New Roman" w:hAnsi="Times New Roman"/>
          <w:sz w:val="18"/>
          <w:szCs w:val="18"/>
          <w:color w:val="auto"/>
        </w:rPr>
        <w:t xml:space="preserve">. Promptly after receipt by an indemnified party of written notice of the commencement of any action or proceeding involving a Loss referred to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such indemnified party will, if a claim in respect thereof is to be made against an indemnifying party, give written notice to the indemnifying party of the commencement of such action; but the failure of any indemnified party to give notice as provided herein will not relieve the indemnifying party of its obligations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except to the extent that the indemnifying party is materially and actually prejudiced by such failure to give notice. In case any such action is brought against an indemnified party, (i) the indemnifying party will be entitled to participate in and, unless in the indemnified party’s reasonable judgment a conflict of interest exists between the indemnified and indemnifying parties in respect of such Loss, to assume and control the defense thereof, at its own expense, jointly with any other indemnifying party similarly notified, to the extent that it may wish, with counsel reasonably satisfactory to the indemnified party, and (ii) after its assumption of the defense thereof, the indemnifying party will not be liable to the indemnified party for any legal or other expenses subsequently incurred by the latter in connection with the defense thereof other than reasonable costs of investigation, unless in the indemnified party’s reasonable judgment a conflict of interest between such indemnified and indemnifying parties arises in respect of such claim after the assumption of the defense thereof. No indemnifying party will be liable for any settlement of any such action or proceeding effected without the indemnifying party’s written consent, which will not be unreasonably withheld. No indemnifying party will, without the consent of the indemnified party, consent to entry of any judgment or enter into any settlement which does not include as an unconditional term thereof the giving by the claimant or plaintiff to the indemnified party of a release from all liability in respect of such Loss or which requires action on the part of the indemnified party or otherwise subjects the indemnified party to any obligation or restriction to which it would not otherwise be subject.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jc w:val="both"/>
        <w:ind w:firstLine="1304"/>
        <w:spacing w:after="0" w:line="253" w:lineRule="auto"/>
        <w:tabs>
          <w:tab w:leader="none" w:pos="198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is for any reason be unavailable in respect of any Loss, then, in lieu of the amount paid or payable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the indemnified party and the indemnifying party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will contribute to the aggregate Losses (including legal or other expenses reasonably incurred in connection with investigating the same) (i) in such proportion as is appropriate to reflect the relative fault of the Company and the prospective sellers of Converted Shares covered by the registration statement that resulted in such Loss with respect to the statements, omissions or action that resulted in such Loss, as well as any other relevant equitable considerations or (ii) if the allocation provided by the preceding clause (i) is not permitted by applicable law, in such proportion as is appropriate to reflect the relative benefits received by the Company, on the one hand, and such prospective sellers, on the other hand, from their sale of Converted Shares; provided that, for purposes of this clause (ii), the relative benefits received by the prospective sellers will be deemed not to exceed the amount received by such sellers. No person guilty of fraudulent misrepresentation (within the meaning of Section 10(f) of the Securities Act) will be entitled to contribution from any person who was not guilty of such fraudulent misrepresentation. No person will be obligated to contribute amounts under this </w:t>
      </w:r>
      <w:r>
        <w:rPr>
          <w:rFonts w:ascii="Times New Roman" w:cs="Times New Roman" w:eastAsia="Times New Roman" w:hAnsi="Times New Roman"/>
          <w:sz w:val="18"/>
          <w:szCs w:val="18"/>
          <w:u w:val="single" w:color="auto"/>
          <w:color w:val="auto"/>
        </w:rPr>
        <w:t>Section 4.05(c)</w:t>
      </w:r>
      <w:r>
        <w:rPr>
          <w:rFonts w:ascii="Times New Roman" w:cs="Times New Roman" w:eastAsia="Times New Roman" w:hAnsi="Times New Roman"/>
          <w:sz w:val="18"/>
          <w:szCs w:val="18"/>
          <w:color w:val="auto"/>
        </w:rPr>
        <w:t xml:space="preserve"> in payment for any settlement of any Loss effected without such person’s consent, not to be unreasonably withheld, conditioned or delayed.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AGREEMENTS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Taking of Necessary Action</w:t>
      </w:r>
      <w:r>
        <w:rPr>
          <w:rFonts w:ascii="Times New Roman" w:cs="Times New Roman" w:eastAsia="Times New Roman" w:hAnsi="Times New Roman"/>
          <w:sz w:val="18"/>
          <w:szCs w:val="18"/>
          <w:color w:val="auto"/>
        </w:rPr>
        <w:t>. Each of the parties hereto agrees to use its reasonable efforts promptly to take or cause to be taken all action and promptly to do or cause to be done all things necessary, proper or advisable under applicable laws and regulations to consummate and make effective the sale and purchase of the Series B Preferred Stock subject to the terms and conditions hereof and compliance with applicable law. In case at any time before or after the Closing Date any further action is necessary or desirable to carry out the purposes of the sale and purchase of the Series B Preferred Stock, the proper officers, managers and directors of each party to this Agreement shall take all such action as may be reasonably requested by the Company and such actions as the parties shall mutually agree shall be necessary.</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u w:val="single" w:color="auto"/>
          <w:color w:val="auto"/>
        </w:rPr>
        <w:t>Corporate Action</w:t>
      </w:r>
      <w:r>
        <w:rPr>
          <w:rFonts w:ascii="Times New Roman" w:cs="Times New Roman" w:eastAsia="Times New Roman" w:hAnsi="Times New Roman"/>
          <w:sz w:val="17"/>
          <w:szCs w:val="17"/>
          <w:color w:val="auto"/>
        </w:rPr>
        <w:t>s.</w:t>
      </w:r>
    </w:p>
    <w:p>
      <w:pPr>
        <w:spacing w:after="0" w:line="225" w:lineRule="exact"/>
        <w:rPr>
          <w:sz w:val="20"/>
          <w:szCs w:val="20"/>
          <w:color w:val="auto"/>
        </w:rPr>
      </w:pPr>
    </w:p>
    <w:p>
      <w:pPr>
        <w:jc w:val="both"/>
        <w:ind w:firstLine="1304"/>
        <w:spacing w:after="0" w:line="266" w:lineRule="auto"/>
        <w:tabs>
          <w:tab w:leader="none" w:pos="19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the Series B Preferred Stock remains outstanding, the Company shall from time to time take all lawful action necessary to cause the authorized capital stock of the Company to include a sufficient number of authorized but unissued shares of Common Stock to satisfy the conversion of the Series B Preferred Stock pursuant to the terms of the Certificate.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ind w:left="1960" w:hanging="656"/>
        <w:spacing w:after="0"/>
        <w:tabs>
          <w:tab w:leader="none" w:pos="19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shall file the Certificate with the Secretary of State of the State of Delaware.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xml:space="preserve">. The Company acknowledges and agrees that it is intended that for U.S. federal income Tax purposes any amount in respect of the Series B Preferred Stock on account of the accrual of dividends shall not be treated as a dividend, unless and until such dividends are declared and paid in cash and the Company shall take no position inconsistent with such treatment unless otherwise determined by the Purchasers, on any Tax Return, in any Tax Proceeding or otherwise except to the extent otherwise required by a “determination” (as defined in Section 1313(a) of the Code). In the event that any dividend is paid in cash or a “determination” (as defined in Section 1313(a) of the Code) requires the accrual of dividends to be treated as a dividend for U.S. federal income Tax purposes, the Company shall provide each Purchaser with a reasonable opportunity to provide additional information or to apply for an exemption from, or a reduced rate of, any applicable withholding Tax. In the event that the Company receives notice in writing or otherwise in the context of a pending or threatened Tax Proceeding from any Governmental Entity that the Tax treatment described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is or will be challenged by any Governmental Entity or otherwise raised as an issue by any Governmental Entity in connection with any Tax Proceeding, (a) the Company shall promptly provide written notice thereof to the Purchasers and (b) the parties hereto shall reasonably cooperate in good faith to defend against any such challenge or claim.</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Section 4501 Tax</w:t>
      </w:r>
      <w:r>
        <w:rPr>
          <w:rFonts w:ascii="Times New Roman" w:cs="Times New Roman" w:eastAsia="Times New Roman" w:hAnsi="Times New Roman"/>
          <w:sz w:val="18"/>
          <w:szCs w:val="18"/>
          <w:color w:val="auto"/>
        </w:rPr>
        <w:t>. For the absence of doubt, any Tax imposed pursuant to Section 4501 of the Code, which Tax relates to the Series B Preferred Stock or any transaction relating thereto, shall be the sole responsibility and liability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95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prior to the Closing Date by Company or any Purchaser if the Closing does not occur by the close of business on October 13, 2024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provided, notwithstanding the foregoing, no party hereto may terminate this Agreement pursuant to this clause (a) if (i) the action or failure of such party to act has been a cause of or resulted in the failure of the Closing to occur by the Outside Date and (ii) such action or failure to act constitutes a breach of this Agreement; provided, further, that if the Learn CW Investment Corporation shareholders approve an extension of the date by which Learn CW Investment Corporation is required to consummate an initial business combination in compliance with applicable law, then the Outside Date shall automatically be extended to refer to such extended date. Such termination by a Purchaser will be effective only with respect to that individual Purchaser’s purchase.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jc w:val="both"/>
        <w:ind w:firstLine="1304"/>
        <w:spacing w:after="0" w:line="266" w:lineRule="auto"/>
        <w:tabs>
          <w:tab w:leader="none" w:pos="205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termination of this Agreement shall be effectuated by the delivery by the party terminating this Agreement to each other party of a written notice of such termination. If this Agreement so terminates, it shall become null and void and have no further force or effect, except as provided in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2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in accordance with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hereof and the Closing is not consummated, this Agreement shall become void and of no further force and effect, without any liability on the part of any party hereto, except that the provisions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remain in effect in accordance with their terms. Notwithstanding the foregoing, nothing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relieve any party to this Agreement of liability for any fraud and willful breach of any provision of this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Survival of Representations and Warranties and Registration Rights</w:t>
      </w:r>
      <w:r>
        <w:rPr>
          <w:rFonts w:ascii="Times New Roman" w:cs="Times New Roman" w:eastAsia="Times New Roman" w:hAnsi="Times New Roman"/>
          <w:sz w:val="18"/>
          <w:szCs w:val="18"/>
          <w:color w:val="auto"/>
        </w:rPr>
        <w:t xml:space="preserve">. Unless otherwise set forth in this Agreement, (a) the representations and warranties of the Company and the Purchasers contained in or made pursuant to this Agreement and (b) the Registration Rights provided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survive the execution and delivery of this Agreement and the Closing; provided survival of clause (a) shall in no way be affected by any investigation or knowledge of the subject matter thereof made by or on behalf of the Purchasers or the Company.</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98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Process</w:t>
      </w:r>
      <w:r>
        <w:rPr>
          <w:rFonts w:ascii="Times New Roman" w:cs="Times New Roman" w:eastAsia="Times New Roman" w:hAnsi="Times New Roman"/>
          <w:sz w:val="18"/>
          <w:szCs w:val="18"/>
          <w:color w:val="auto"/>
        </w:rPr>
        <w:t>. All notices and other communications given or made pursuant to this Agreement shall be in writing (including electronic mail as permitted in this Agreement) and shall be deemed effectively given upon the earlier of actual receipt, or (i) personal delivery to the party to be notified; (ii) when sent, if sent by electronic mail during normal business hours of the recipient, and if not sent during normal business hours, then on the recipient’s next Business Day; (iii) five days after having been sent by registered or certified mail, return receipt requested, postage prepaid; or (iv) one business day after deposit with a nationally recognized overnight courier, freight prepaid, specifying next business day delivery, with written verification of receipt.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6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Addresses</w:t>
      </w:r>
      <w:r>
        <w:rPr>
          <w:rFonts w:ascii="Times New Roman" w:cs="Times New Roman" w:eastAsia="Times New Roman" w:hAnsi="Times New Roman"/>
          <w:sz w:val="18"/>
          <w:szCs w:val="18"/>
          <w:color w:val="auto"/>
        </w:rPr>
        <w:t xml:space="preserve">. All communications shall be sent to the respective parties hereto at their email address or address as set forth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along with a copy, which shall not constitute notice, to any “cc” address noted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for such party,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8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xml:space="preserve">. Each Purchaser consents to the delivery of any stockholder notice by electronic mail pursuant to Section 232 of the Delaware General Corporate Law (or any successor thereto) at the e-mail address set forth below such Purchaser’s name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as updated from time to time by notice to the Company. Each party agrees to promptly notify the other parties of any change in its e-mail address, and that failure to do so shall not affect the foregoing.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Entire Agreement; Third Party Beneficiaries; Amendment</w:t>
      </w:r>
      <w:r>
        <w:rPr>
          <w:rFonts w:ascii="Times New Roman" w:cs="Times New Roman" w:eastAsia="Times New Roman" w:hAnsi="Times New Roman"/>
          <w:sz w:val="18"/>
          <w:szCs w:val="18"/>
          <w:color w:val="auto"/>
        </w:rPr>
        <w:t>. This Agreement (including the Exhibits and Schedules hereto), together with the Certificate, sets forth the entire agreement between the parties hereto with respect to this transaction and is not intended and shall not confer upon any Person other than the parties hereto, their successors and permitted assigns any rights or remedies hereunder. Any provision of this Agreement may be amended or modified in whole or in part at any time solely by an agreement in writing among the Company and the holders of at least 51% of the then-outstanding shares of Series B Preferred Stock. Such amendment or modification shall be executed in the same manner as this Agreement.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constitute any original, but all of which together shall constitute one and the same document.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party hereto shall bear its own costs and expenses (including attorneys’ fees) incurred in connection with this Agreement and this transaction. Each party represents that it neither is nor will be obligated for any finder’s fee or commission in connection with this transaction. Each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each Purchaser or any of its officers, employees or representatives is responsible or may become responsible.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terms and conditions of this Agreement shall inure to the benefit of and be binding upon the respective successors and assigns of the parties. No party to this Agreement may assign its rights or obligations absent the prior written consent of the other parties except a complete assignment by Purchaser to a controlled Affiliate.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6.08.</w:t>
      </w:r>
      <w:r>
        <w:rPr>
          <w:sz w:val="20"/>
          <w:szCs w:val="20"/>
          <w:color w:val="auto"/>
        </w:rPr>
        <w:tab/>
      </w:r>
      <w:r>
        <w:rPr>
          <w:rFonts w:ascii="Times New Roman" w:cs="Times New Roman" w:eastAsia="Times New Roman" w:hAnsi="Times New Roman"/>
          <w:sz w:val="17"/>
          <w:szCs w:val="17"/>
          <w:u w:val="single" w:color="auto"/>
          <w:color w:val="auto"/>
        </w:rPr>
        <w:t>Governing Law; Jurisdiction; Waiver of Jury Trial</w:t>
      </w:r>
      <w:r>
        <w:rPr>
          <w:rFonts w:ascii="Times New Roman" w:cs="Times New Roman" w:eastAsia="Times New Roman" w:hAnsi="Times New Roman"/>
          <w:sz w:val="17"/>
          <w:szCs w:val="17"/>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jc w:val="both"/>
        <w:ind w:firstLine="1304"/>
        <w:spacing w:after="0" w:line="252" w:lineRule="auto"/>
        <w:tabs>
          <w:tab w:leader="none" w:pos="195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state or federal courts of/located in the State and City of New York and any appellate court therefrom.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Purchasers hereby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this </w:t>
      </w:r>
      <w:r>
        <w:rPr>
          <w:rFonts w:ascii="Times New Roman" w:cs="Times New Roman" w:eastAsia="Times New Roman" w:hAnsi="Times New Roman"/>
          <w:sz w:val="18"/>
          <w:szCs w:val="18"/>
          <w:u w:val="single" w:color="auto"/>
          <w:color w:val="auto"/>
        </w:rPr>
        <w:t>Section 6.08(a)</w:t>
      </w:r>
      <w:r>
        <w:rPr>
          <w:rFonts w:ascii="Times New Roman" w:cs="Times New Roman" w:eastAsia="Times New Roman" w:hAnsi="Times New Roman"/>
          <w:sz w:val="18"/>
          <w:szCs w:val="18"/>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hereby agrees that service of any process, summons, notice or document by U.S. registered mail to the respective addresses 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shall be effective service of process for any suit or proceeding in connection with this Agreement or the transactions contemplated hereby.</w:t>
      </w:r>
    </w:p>
    <w:p>
      <w:pPr>
        <w:spacing w:after="0" w:line="19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0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TO THIS AGREEMENT HEREBY IRREVOCABLY WAIVES ANY AND ALL RIGHT TO A TRIAL BY JURY IN ANY ACTION, PROCEEDING, CLAIM OR COUNTERCLAIM ARISING OUT OF OR RELATING TO THIS AGREEMENT OR THE TRANSACTIONS CONTEMPLATED HEREBY. EACH PARTY MAKES THIS WAIVER VOLUNTARILY AND SUCH PARTY HAS BEEN INDUCED TO ENTER INTO THIS AGREEMENT BY, AMONG OTHER THINGS, THE MUTUAL WAIVERS CONTAINED IN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Articles and Sections contained in this Agreement are for reference purposes only and are not part of this Agreement.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hereby may only be brought against the entities that are expressly named as parties hereto and their respective successors and assigns (including any Person that executes and delivers a joinder). Except as set forth in the immediately preceding sentence, no past, present or future director, officer, employee, incorporator, member, partners, stockholder, Affiliate, agent, attorney or representative of any party hereto shall have any liability for any obligations or liabilities of any party hereto under this Agreement or for any claim based on, in respect of, or by reason of, the transactions contemplated hereby. All obligations of Purchasers hereunder shall be several obligations of such Purchaser and, for the avoidance of doubt, not joint or joint and several obligations.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Section 4501 Tax</w:t>
      </w:r>
      <w:r>
        <w:rPr>
          <w:rFonts w:ascii="Times New Roman" w:cs="Times New Roman" w:eastAsia="Times New Roman" w:hAnsi="Times New Roman"/>
          <w:sz w:val="18"/>
          <w:szCs w:val="18"/>
          <w:color w:val="auto"/>
        </w:rPr>
        <w:t>. For the absence of doubt, any Tax imposed pursuant to Section 4501 of the Code, which Tax relates to the Series B Preferred Stock or any transaction relating thereto, shall be the sole responsibility and liability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CONVERSION LIMITATIONS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u w:val="single" w:color="auto"/>
          <w:color w:val="auto"/>
        </w:rPr>
        <w:t>Conversion Limitations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99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herein to the contrary, including in the Certificate, the Company shall not issue to the Purchaser any shares of Common Stock to the extent such shares after giving effect to a conversion and when added to the number of shares of Common Stock issued and issuable upon conversion of any shares of Series B Preferred Stock issued pursuant to this Agreement, the number of shares of Common Stock issued and issuable upon exercise of the Warrant to Acquire Securities of Innventure, Inc., dated October 2, 2024, by and between the Company and WTI FUND X, LLC, and the number of shares of Common Stock issued and issuable upon exercise of the Warrant to Acquire Securities of Innventure, Inc., dated October 2, 2024, by and between the Company and WTI FUND XI, LLC, would</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73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Purchaser (together with the Purchaser’s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or (b) controlling in excess of 19.99% of the total voting power of the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Aggregate Voting Amount</w:t>
      </w:r>
      <w:r>
        <w:rPr>
          <w:rFonts w:ascii="Times New Roman" w:cs="Times New Roman" w:eastAsia="Times New Roman" w:hAnsi="Times New Roman"/>
          <w:sz w:val="18"/>
          <w:szCs w:val="18"/>
          <w:color w:val="auto"/>
        </w:rPr>
        <w:t>”), unless and until the Company obtains the approval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and</w:t>
      </w:r>
    </w:p>
    <w:p>
      <w:pPr>
        <w:spacing w:after="0" w:line="19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7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date hereof (the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unless and until the Company obtains the Requisite Stockholder Approval.</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beneficial ownership shall be determined in accordance with Section 13(d) of the Exchange Act and the rules and regulations promulgated thereunder.</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7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in determining the number of outstanding shares of Common Stock, Purchaser may rely on the number of outstanding shares of Common Stock as reflected in (i) the Company’s most recent Quarterly Report on Form 10-Q or Annual Report on Form 10-K, as the case may be, filed with the SEC, (ii) a more recent public announcement by the Company, or (iii) any other notice by the Company or the Company’s transfer agent setting forth the number of shares of Common Stock outstanding. Upon the written or oral request of a Purchaser, the Company shall within two Business Days confirm orally and in writing to such Purchaser the number of shares of Common Stock then outstanding.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jc w:val="both"/>
        <w:ind w:left="-20" w:firstLine="1304"/>
        <w:spacing w:after="0" w:line="255" w:lineRule="auto"/>
        <w:tabs>
          <w:tab w:leader="none" w:pos="191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attempted conversion of the Series B Preferred Stock, the issuance of the shares of Common Stock would exceed the Maximum Aggregate Ownership Amount, the Maximum Aggregate Voting Amount or the Issuance Cap, and the Company shall not have previously obtained Requisite Stockholder Approval at the time of conversion, then the Company shall (i) issue to the Purchaser requesting conversion such number of shares of Common Stock as may be issued below the Maximum Aggregate Ownership Amount, Maximum Aggregate Voting Amount, or the Issuance Cap, as the case may be and (ii) use reasonable best efforts to seek, as soon as practicable, the Requisite Stockholder Approval. For the avoidance of doubt, with respect to the remainder of the aggregate number of shares of Common Stock not then issued, the Series B Preferred Stock shall not be convertible until and unless the Requisite Stockholder Approval has been obtained.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55" w:name="page156"/>
    <w:bookmarkEnd w:id="15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executed by the parties hereto or by their respective duly authorized officers, all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LEARN SPAC HOLDCO,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4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Address: 11755 Wilshire Boulevard, Suite 2320</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Los Angeles, California 90025</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Investment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ind w:left="446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jc w:val="right"/>
        <w:ind w:right="2139"/>
        <w:spacing w:after="0"/>
        <w:rPr>
          <w:sz w:val="20"/>
          <w:szCs w:val="20"/>
          <w:color w:val="auto"/>
        </w:rPr>
      </w:pPr>
      <w:r>
        <w:rPr>
          <w:rFonts w:ascii="Times New Roman" w:cs="Times New Roman" w:eastAsia="Times New Roman" w:hAnsi="Times New Roman"/>
          <w:sz w:val="18"/>
          <w:szCs w:val="18"/>
          <w:color w:val="auto"/>
        </w:rPr>
        <w:t>[INSERT PURCHASER NAME]</w:t>
      </w:r>
    </w:p>
    <w:p>
      <w:pPr>
        <w:spacing w:after="0" w:line="200" w:lineRule="exact"/>
        <w:rPr>
          <w:sz w:val="20"/>
          <w:szCs w:val="20"/>
          <w:color w:val="auto"/>
        </w:rPr>
      </w:pPr>
    </w:p>
    <w:p>
      <w:pPr>
        <w:spacing w:after="0" w:line="24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-127635</wp:posOffset>
            </wp:positionV>
            <wp:extent cx="297434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-127635</wp:posOffset>
            </wp:positionV>
            <wp:extent cx="297434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180340</wp:posOffset>
            </wp:positionV>
            <wp:extent cx="297434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2974340" cy="171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2974340" cy="171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-127635</wp:posOffset>
            </wp:positionV>
            <wp:extent cx="297434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2974340" cy="171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-127635</wp:posOffset>
            </wp:positionV>
            <wp:extent cx="297434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Investment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275590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361315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WAIVER AND CONSENT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WAIVER AND CONSENT (this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dated as of October 2, 2024, is made by and among Learn CW Investment Corporation, a Cayman Islands exempted company with limited liability (the “</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Learn SPAC Holdco, Inc., a Delaware corporation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and Innventure LLC, a Delaware limited liability company (“</w:t>
      </w:r>
      <w:r>
        <w:rPr>
          <w:rFonts w:ascii="Times New Roman" w:cs="Times New Roman" w:eastAsia="Times New Roman" w:hAnsi="Times New Roman"/>
          <w:sz w:val="18"/>
          <w:szCs w:val="18"/>
          <w:u w:val="single" w:color="auto"/>
          <w:color w:val="auto"/>
        </w:rPr>
        <w:t>Innventure</w:t>
      </w:r>
      <w:r>
        <w:rPr>
          <w:rFonts w:ascii="Times New Roman" w:cs="Times New Roman" w:eastAsia="Times New Roman" w:hAnsi="Times New Roman"/>
          <w:sz w:val="18"/>
          <w:szCs w:val="18"/>
          <w:color w:val="auto"/>
        </w:rPr>
        <w:t>” and, together with the SPAC and Holdco,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defined herein shall have the meanings ascribed to such terms in the A&amp;R Certificate of Incorporation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WHEREAS, on October 24, 2023, Holdco, the SPAC, Innventure and the other persons party thereto, entered into a Business Combination Agreement (as amended or modified from time to time,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whereby the Parties intend to effect a business combination among Holdco, the SPAC and Innventure, on the terms and subject to the conditions set forth therein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contemporaneously with the execution of the Business Combination Agreement, Holdco, the SPAC, Innventure and certain members of Innventure (“</w:t>
      </w:r>
      <w:r>
        <w:rPr>
          <w:rFonts w:ascii="Times New Roman" w:cs="Times New Roman" w:eastAsia="Times New Roman" w:hAnsi="Times New Roman"/>
          <w:sz w:val="18"/>
          <w:szCs w:val="18"/>
          <w:u w:val="single" w:color="auto"/>
          <w:color w:val="auto"/>
        </w:rPr>
        <w:t>Innventure Members</w:t>
      </w:r>
      <w:r>
        <w:rPr>
          <w:rFonts w:ascii="Times New Roman" w:cs="Times New Roman" w:eastAsia="Times New Roman" w:hAnsi="Times New Roman"/>
          <w:sz w:val="18"/>
          <w:szCs w:val="18"/>
          <w:color w:val="auto"/>
        </w:rPr>
        <w:t>”) entered into a Member Support Agreement (the “</w:t>
      </w:r>
      <w:r>
        <w:rPr>
          <w:rFonts w:ascii="Times New Roman" w:cs="Times New Roman" w:eastAsia="Times New Roman" w:hAnsi="Times New Roman"/>
          <w:sz w:val="18"/>
          <w:szCs w:val="18"/>
          <w:u w:val="single" w:color="auto"/>
          <w:color w:val="auto"/>
        </w:rPr>
        <w:t>Member Support Agreement</w:t>
      </w:r>
      <w:r>
        <w:rPr>
          <w:rFonts w:ascii="Times New Roman" w:cs="Times New Roman" w:eastAsia="Times New Roman" w:hAnsi="Times New Roman"/>
          <w:sz w:val="18"/>
          <w:szCs w:val="18"/>
          <w:color w:val="auto"/>
        </w:rPr>
        <w:t>”), pursuant to which such Innventure Members agreed to, among other things, be subject to certain restrictions on transfer set forth in Section 7 of the Member Support Agreement (the “</w:t>
      </w:r>
      <w:r>
        <w:rPr>
          <w:rFonts w:ascii="Times New Roman" w:cs="Times New Roman" w:eastAsia="Times New Roman" w:hAnsi="Times New Roman"/>
          <w:sz w:val="18"/>
          <w:szCs w:val="18"/>
          <w:u w:val="single" w:color="auto"/>
          <w:color w:val="auto"/>
        </w:rPr>
        <w:t>MSA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on the shares of Common Stock received by the Innventure Members as consideration in the Transactions (such shares, the “</w:t>
      </w:r>
      <w:r>
        <w:rPr>
          <w:rFonts w:ascii="Times New Roman" w:cs="Times New Roman" w:eastAsia="Times New Roman" w:hAnsi="Times New Roman"/>
          <w:sz w:val="18"/>
          <w:szCs w:val="18"/>
          <w:u w:val="single" w:color="auto"/>
          <w:color w:val="auto"/>
        </w:rPr>
        <w:t>MSA 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for a period of 180 days following the closing of the Transactions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in connection with the Transactions, Holdco expects to adopt an Amended and Restated Certificate of Incorporation (the “</w:t>
      </w:r>
      <w:r>
        <w:rPr>
          <w:rFonts w:ascii="Times New Roman" w:cs="Times New Roman" w:eastAsia="Times New Roman" w:hAnsi="Times New Roman"/>
          <w:sz w:val="18"/>
          <w:szCs w:val="18"/>
          <w:u w:val="single" w:color="auto"/>
          <w:color w:val="auto"/>
        </w:rPr>
        <w:t>A&amp;R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substantially in the form agreed by the parties hereto, pursuant to which, among other things, shares of Common Stock issued as consideration to former holders of membership interests, warrants, or other equity interests of Innventure as consideration in the Transactions (such shares, the “</w:t>
      </w:r>
      <w:r>
        <w:rPr>
          <w:rFonts w:ascii="Times New Roman" w:cs="Times New Roman" w:eastAsia="Times New Roman" w:hAnsi="Times New Roman"/>
          <w:sz w:val="18"/>
          <w:szCs w:val="18"/>
          <w:u w:val="single" w:color="auto"/>
          <w:color w:val="auto"/>
        </w:rPr>
        <w:t>Charter Subject Shares</w:t>
      </w:r>
      <w:r>
        <w:rPr>
          <w:rFonts w:ascii="Times New Roman" w:cs="Times New Roman" w:eastAsia="Times New Roman" w:hAnsi="Times New Roman"/>
          <w:sz w:val="18"/>
          <w:szCs w:val="18"/>
          <w:color w:val="auto"/>
        </w:rPr>
        <w:t>”) will be subject to certain restrictions on transfer set forth in Section 4.6 of the A&amp;R Certificate of Incorporation (the “</w:t>
      </w:r>
      <w:r>
        <w:rPr>
          <w:rFonts w:ascii="Times New Roman" w:cs="Times New Roman" w:eastAsia="Times New Roman" w:hAnsi="Times New Roman"/>
          <w:sz w:val="18"/>
          <w:szCs w:val="18"/>
          <w:u w:val="single" w:color="auto"/>
          <w:color w:val="auto"/>
        </w:rPr>
        <w:t>Charter Lock-Up</w:t>
      </w:r>
      <w:r>
        <w:rPr>
          <w:rFonts w:ascii="Times New Roman" w:cs="Times New Roman" w:eastAsia="Times New Roman" w:hAnsi="Times New Roman"/>
          <w:sz w:val="18"/>
          <w:szCs w:val="18"/>
          <w:color w:val="auto"/>
        </w:rPr>
        <w:t>”) for a period of 180 days following the Closing;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Section 4.6(c) of the A&amp;R Certificate of Incorporation provides that, notwithstanding any other provision of the A&amp;R Certificate of Incorporation, Holdco may, with the prior written consent of the SPAC given prior to Closing, waive, amend, or repeal the lock-up obligations imposed by the A&amp;R Certificate of Incorporation;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Section 12 of the Member Support Agreement provides that any provision of the Member Support Agreement may be waived by the party against whom the waiver is to be effective;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each of Holdco and the SPAC desire to waive the MSA Lock-Up with respect to 10% of the MSA Subject Shares of the Company Members (excluding all directors and officers or expected directors and officers of Holdco or Innventure and their affiliates) on a pro rata basis (such shares, the “</w:t>
      </w:r>
      <w:r>
        <w:rPr>
          <w:rFonts w:ascii="Times New Roman" w:cs="Times New Roman" w:eastAsia="Times New Roman" w:hAnsi="Times New Roman"/>
          <w:sz w:val="18"/>
          <w:szCs w:val="18"/>
          <w:u w:val="single" w:color="auto"/>
          <w:color w:val="auto"/>
        </w:rPr>
        <w:t>MSA Waiver Shares</w:t>
      </w:r>
      <w:r>
        <w:rPr>
          <w:rFonts w:ascii="Times New Roman" w:cs="Times New Roman" w:eastAsia="Times New Roman" w:hAnsi="Times New Roman"/>
          <w:sz w:val="18"/>
          <w:szCs w:val="18"/>
          <w:color w:val="auto"/>
        </w:rPr>
        <w:t>”), for the benefit of each of the SPAC and of Holdco;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each of Holdco and the SPAC desire to waive the Charter Lock-Up with respect to 10% of the Charter Subject Shares (excluding all directors and officers or expected directors and officers of Holdco or Innventure and their affiliates) on a pro rata basis (such shares, the “</w:t>
      </w:r>
      <w:r>
        <w:rPr>
          <w:rFonts w:ascii="Times New Roman" w:cs="Times New Roman" w:eastAsia="Times New Roman" w:hAnsi="Times New Roman"/>
          <w:sz w:val="18"/>
          <w:szCs w:val="18"/>
          <w:u w:val="single" w:color="auto"/>
          <w:color w:val="auto"/>
        </w:rPr>
        <w:t>Charter Waiver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for the benefit of each of the SPAC and of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60" w:name="page161"/>
    <w:bookmarkEnd w:id="160"/>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hereby agree as follows:</w:t>
      </w:r>
    </w:p>
    <w:p>
      <w:pPr>
        <w:spacing w:after="0" w:line="229" w:lineRule="exact"/>
        <w:rPr>
          <w:sz w:val="20"/>
          <w:szCs w:val="20"/>
          <w:color w:val="auto"/>
        </w:rPr>
      </w:pPr>
    </w:p>
    <w:p>
      <w:pPr>
        <w:jc w:val="both"/>
        <w:ind w:firstLine="656"/>
        <w:spacing w:after="0" w:line="266" w:lineRule="auto"/>
        <w:tabs>
          <w:tab w:leader="none" w:pos="118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and Consent, A&amp;R Certificate of Incorporation</w:t>
      </w:r>
      <w:r>
        <w:rPr>
          <w:rFonts w:ascii="Times New Roman" w:cs="Times New Roman" w:eastAsia="Times New Roman" w:hAnsi="Times New Roman"/>
          <w:sz w:val="18"/>
          <w:szCs w:val="18"/>
          <w:color w:val="auto"/>
        </w:rPr>
        <w:t>. Holdco and the SPAC hereby mutually consent to waive the Charter Lock-Up with respect to the Charter Waiver Shares and waive any past, current or future breach under the A&amp;R Certificate of Incorporation solely with respect to the Charter Lock-Up and the Charter Waiver Shares caused by, arising from or in connection with this Waiver.</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and Consent, Member Support Agreement</w:t>
      </w:r>
      <w:r>
        <w:rPr>
          <w:rFonts w:ascii="Times New Roman" w:cs="Times New Roman" w:eastAsia="Times New Roman" w:hAnsi="Times New Roman"/>
          <w:sz w:val="18"/>
          <w:szCs w:val="18"/>
          <w:color w:val="auto"/>
        </w:rPr>
        <w:t>. Holdco and the SPAC hereby mutually consent to waive the MSA Lock-Up with respect to the MSA Waiver Shares and waive any past, current or future breach under the Member Support Agreement solely with respect to the MSA Lock-Up and the MSA Waiver Shares caused by, arising from or in connection with this Waiver.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41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Except as provided herein, the terms and provisions of each of the A&amp;R Certificate of Incorporation and the Member Support Agreement shall remain unmodified and continue in full force and effect. This Waiver shall not operate as a waiver of, or restrict in any manner whatsoever, the rights of the parties to such documents with respect to any matters not described in this Waiver, including, for the avoidance of doubt, with respect to the enforceability of the MSA Lock-Up and the Charter Lock-Up with respect to all MSA Subject Shares and Charter Shares other than the MSA Waiver Shares and Charter Waiver Shares, respectively.</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Waiver may be executed in one or more counterparts for the convenience of the Parties hereto, each of which when so executed and delivered shall be deemed an original, and all of which together shall constitute one and the same agreement. Delivery of an executed counterpart of a signature page to this Waiver by electronic, facsimile or portable document format shall be effective as delivery of a mutually executed counterpart to this Waiver.</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3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Waiver, the rights and duties of the Parties hereto, and any disputes (whether in contract, tort or statute) arising out of, under or in connection with this Waiver will be governed by and construed and enforced in accordance with the Laws of the State of Delaware, without giving effect to its principles or rules of conflict of Laws to the extent such principles or rules would require or permit the application of the Laws of another jurisdiction. The Parties hereto irrevocably and unconditionally submit to the exclusive jurisdiction of the United States District Court for the District of Delaware or, if such court does not have jurisdiction, the Delaware state courts located in Wilmington, Delaware, in any action arising out of or related to this Waiver. The Parties hereto irrevocably agree that all such claims shall be heard and determined in such a Delaware federal or state court, and that such jurisdiction of such courts with respect thereto will be exclusive.</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23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Waiver supersedes all prior agreements, written or oral, among the Parties hereto with respect to the subject matter hereof and contain the entire agreement among the Parties with respect to the subject matter hereof. Any provision of this Waiver may be amended or waived if, but only if, such amendment or waiver is in writing and is signed, in the case of an amendment, by each party to this Waiver, or, in the case of a waiver, by the party against whom the waiver is to be effective. No waiver of any provisions hereof by either party shall be deemed a waiver of any other provisions hereof by such party, nor shall any such waiver be deemed a continuing waiver of any provision hereof by such party.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Waiver as of the date first above written.</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LEARN CW INVESTMENT CORPORATION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28575</wp:posOffset>
            </wp:positionV>
            <wp:extent cx="335153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28575</wp:posOffset>
            </wp:positionV>
            <wp:extent cx="335153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28575</wp:posOffset>
            </wp:positionV>
            <wp:extent cx="335153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Manager</w:t>
      </w:r>
    </w:p>
    <w:p>
      <w:pPr>
        <w:spacing w:after="0" w:line="20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Waiver and Consent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353060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Unsecured Promissory Note</w:t>
      </w:r>
    </w:p>
    <w:p>
      <w:pPr>
        <w:spacing w:after="0" w:line="229" w:lineRule="exact"/>
        <w:rPr>
          <w:sz w:val="20"/>
          <w:szCs w:val="20"/>
          <w:color w:val="auto"/>
        </w:rPr>
      </w:pPr>
    </w:p>
    <w:p>
      <w:pPr>
        <w:spacing w:after="0"/>
        <w:tabs>
          <w:tab w:leader="none" w:pos="8940" w:val="left"/>
        </w:tabs>
        <w:rPr>
          <w:sz w:val="20"/>
          <w:szCs w:val="20"/>
          <w:color w:val="auto"/>
        </w:rPr>
      </w:pPr>
      <w:r>
        <w:rPr>
          <w:rFonts w:ascii="Times New Roman" w:cs="Times New Roman" w:eastAsia="Times New Roman" w:hAnsi="Times New Roman"/>
          <w:sz w:val="18"/>
          <w:szCs w:val="18"/>
          <w:color w:val="auto"/>
        </w:rPr>
        <w:t>October 1, 2024 (the “</w:t>
      </w:r>
      <w:r>
        <w:rPr>
          <w:rFonts w:ascii="Times New Roman" w:cs="Times New Roman" w:eastAsia="Times New Roman" w:hAnsi="Times New Roman"/>
          <w:sz w:val="18"/>
          <w:szCs w:val="18"/>
          <w:u w:val="single" w:color="auto"/>
          <w:color w:val="auto"/>
        </w:rPr>
        <w:t>Restatement Date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Principal Amount: $10,000,000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exchange for the principal sum of ten million dollars ($10,000,000) (the “</w:t>
      </w:r>
      <w:r>
        <w:rPr>
          <w:rFonts w:ascii="Times New Roman" w:cs="Times New Roman" w:eastAsia="Times New Roman" w:hAnsi="Times New Roman"/>
          <w:sz w:val="18"/>
          <w:szCs w:val="18"/>
          <w:u w:val="single" w:color="auto"/>
          <w:color w:val="auto"/>
        </w:rPr>
        <w:t>Principal Amount</w:t>
      </w:r>
      <w:r>
        <w:rPr>
          <w:rFonts w:ascii="Times New Roman" w:cs="Times New Roman" w:eastAsia="Times New Roman" w:hAnsi="Times New Roman"/>
          <w:sz w:val="18"/>
          <w:szCs w:val="18"/>
          <w:color w:val="auto"/>
        </w:rPr>
        <w:t>”) loaned to Innventure,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by Glockner Family Venture Fund, LP, a Florida limited partnership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the Borrower hereby promises to pay to the Lender the Principal Amount, together with accrued interest thereon pursuant to the terms and conditions set forth in this note (this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20" w:hanging="312"/>
        <w:spacing w:after="0"/>
        <w:tabs>
          <w:tab w:leader="none" w:pos="32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Prior Note</w:t>
      </w:r>
      <w:r>
        <w:rPr>
          <w:rFonts w:ascii="Times New Roman" w:cs="Times New Roman" w:eastAsia="Times New Roman" w:hAnsi="Times New Roman"/>
          <w:sz w:val="18"/>
          <w:szCs w:val="18"/>
          <w:color w:val="auto"/>
        </w:rPr>
        <w:t>. Pursuant to that certain Unsecured Promissory Note dated as of August 20, 2024 (the “</w:t>
      </w:r>
      <w:r>
        <w:rPr>
          <w:rFonts w:ascii="Times New Roman" w:cs="Times New Roman" w:eastAsia="Times New Roman" w:hAnsi="Times New Roman"/>
          <w:sz w:val="18"/>
          <w:szCs w:val="18"/>
          <w:u w:val="single" w:color="auto"/>
          <w:color w:val="auto"/>
        </w:rPr>
        <w:t>Prior Note</w:t>
      </w:r>
      <w:r>
        <w:rPr>
          <w:rFonts w:ascii="Times New Roman" w:cs="Times New Roman" w:eastAsia="Times New Roman" w:hAnsi="Times New Roman"/>
          <w:sz w:val="18"/>
          <w:szCs w:val="18"/>
          <w:color w:val="auto"/>
        </w:rPr>
        <w:t>”), the Lender previously lent</w:t>
      </w:r>
    </w:p>
    <w:p>
      <w:pPr>
        <w:spacing w:after="0" w:line="3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$10,000,000 to the Borrower. On or about the date hereof, the Lender has been paid the Loan Fee (as defined in the Prior Note), and the parties agree to amend and restate the Prior Note as set forth herein. Any amounts disbursed pursuant to the Prior Note are deemed to be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for the purposes hereof.</w:t>
      </w:r>
    </w:p>
    <w:p>
      <w:pPr>
        <w:spacing w:after="0" w:line="182" w:lineRule="exact"/>
        <w:rPr>
          <w:sz w:val="20"/>
          <w:szCs w:val="20"/>
          <w:color w:val="auto"/>
        </w:rPr>
      </w:pPr>
    </w:p>
    <w:p>
      <w:pPr>
        <w:ind w:left="320" w:hanging="312"/>
        <w:spacing w:after="0"/>
        <w:tabs>
          <w:tab w:leader="none" w:pos="3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right="140" w:firstLine="8"/>
        <w:spacing w:after="0" w:line="268" w:lineRule="auto"/>
        <w:tabs>
          <w:tab w:leader="none" w:pos="315"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color w:val="auto"/>
        </w:rPr>
        <w:t>. The Borrower shall repay the outstanding Principal Amount on the earlier of (a) January 31, 2025 and (b) the first business day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on which the Borrower has sufficient capital to be able to repay all amounts outstanding under this Note and otherwise meet its expected working capital needs, as determined by the Borrower in its reasonable discretion (in each case,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[Reserved].</w:t>
      </w:r>
    </w:p>
    <w:p>
      <w:pPr>
        <w:spacing w:after="0" w:line="225" w:lineRule="exact"/>
        <w:rPr>
          <w:rFonts w:ascii="Times New Roman" w:cs="Times New Roman" w:eastAsia="Times New Roman" w:hAnsi="Times New Roman"/>
          <w:sz w:val="18"/>
          <w:szCs w:val="18"/>
          <w:b w:val="1"/>
          <w:bCs w:val="1"/>
          <w:color w:val="auto"/>
        </w:rPr>
      </w:pPr>
    </w:p>
    <w:p>
      <w:pPr>
        <w:ind w:right="140" w:firstLine="8"/>
        <w:spacing w:after="0" w:line="286" w:lineRule="auto"/>
        <w:tabs>
          <w:tab w:leader="none" w:pos="315"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Prepayment</w:t>
      </w:r>
      <w:r>
        <w:rPr>
          <w:rFonts w:ascii="Times New Roman" w:cs="Times New Roman" w:eastAsia="Times New Roman" w:hAnsi="Times New Roman"/>
          <w:sz w:val="18"/>
          <w:szCs w:val="18"/>
          <w:color w:val="auto"/>
        </w:rPr>
        <w:t>. The Borrower shall have the right at any time and from time to time to prepay this Note in whole or in part without premium or penalty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Maturity Date.</w:t>
      </w:r>
    </w:p>
    <w:p>
      <w:pPr>
        <w:spacing w:after="0" w:line="154" w:lineRule="exact"/>
        <w:rPr>
          <w:rFonts w:ascii="Times New Roman" w:cs="Times New Roman" w:eastAsia="Times New Roman" w:hAnsi="Times New Roman"/>
          <w:sz w:val="18"/>
          <w:szCs w:val="18"/>
          <w:b w:val="1"/>
          <w:bCs w:val="1"/>
          <w:color w:val="auto"/>
        </w:rPr>
      </w:pPr>
    </w:p>
    <w:p>
      <w:pPr>
        <w:jc w:val="both"/>
        <w:ind w:right="180" w:firstLine="8"/>
        <w:spacing w:after="0" w:line="262" w:lineRule="auto"/>
        <w:tabs>
          <w:tab w:leader="none" w:pos="315"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Default</w:t>
      </w:r>
      <w:r>
        <w:rPr>
          <w:rFonts w:ascii="Times New Roman" w:cs="Times New Roman" w:eastAsia="Times New Roman" w:hAnsi="Times New Roman"/>
          <w:sz w:val="18"/>
          <w:szCs w:val="18"/>
          <w:color w:val="auto"/>
        </w:rPr>
        <w:t>. If the Borrower fails to pay any amount due under this Note, such failure shall constitute an event of default under this Note (an “</w:t>
      </w:r>
      <w:r>
        <w:rPr>
          <w:rFonts w:ascii="Times New Roman" w:cs="Times New Roman" w:eastAsia="Times New Roman" w:hAnsi="Times New Roman"/>
          <w:sz w:val="18"/>
          <w:szCs w:val="18"/>
          <w:u w:val="single" w:color="auto"/>
          <w:color w:val="auto"/>
        </w:rPr>
        <w:t>Event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payment is not then permitted under that certain Loan and Security Agreement, dated as of October 1, 2024, by and among the Borrower and each of WTI Fund X, Inc. and WTI Fund XI, Inc., each as a lender, as amended from time to time, then the failure to make such payment shall not constitute an Event of Default.</w:t>
      </w:r>
    </w:p>
    <w:p>
      <w:pPr>
        <w:spacing w:after="0" w:line="176"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w:t>
      </w:r>
      <w:r>
        <w:rPr>
          <w:rFonts w:ascii="Times New Roman" w:cs="Times New Roman" w:eastAsia="Times New Roman" w:hAnsi="Times New Roman"/>
          <w:sz w:val="18"/>
          <w:szCs w:val="18"/>
          <w:color w:val="auto"/>
        </w:rPr>
        <w:t>. From and after the Restatement Date, interest shall accrue on the Principal Amount at a rate of fifteen and ninety-nine one hundredths percent</w:t>
      </w:r>
    </w:p>
    <w:p>
      <w:pPr>
        <w:spacing w:after="0" w:line="31" w:lineRule="exact"/>
        <w:rPr>
          <w:rFonts w:ascii="Times New Roman" w:cs="Times New Roman" w:eastAsia="Times New Roman" w:hAnsi="Times New Roman"/>
          <w:sz w:val="18"/>
          <w:szCs w:val="18"/>
          <w:b w:val="1"/>
          <w:bCs w:val="1"/>
          <w:color w:val="auto"/>
        </w:rPr>
      </w:pPr>
    </w:p>
    <w:p>
      <w:pPr>
        <w:ind w:right="4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(15.99%) per annum. Such interest shall be calculated on the basis of a 365-day year for the actual number of days elapsed. From and after the Restatement Date, accrued interest on the Principal Amount shall be payable in arrears on the first business day of each calendar month, beginning on November 1, 2024.</w:t>
      </w:r>
    </w:p>
    <w:p>
      <w:pPr>
        <w:spacing w:after="0" w:line="181" w:lineRule="exact"/>
        <w:rPr>
          <w:rFonts w:ascii="Times New Roman" w:cs="Times New Roman" w:eastAsia="Times New Roman" w:hAnsi="Times New Roman"/>
          <w:sz w:val="18"/>
          <w:szCs w:val="18"/>
          <w:b w:val="1"/>
          <w:bCs w:val="1"/>
          <w:color w:val="auto"/>
        </w:rPr>
      </w:pPr>
    </w:p>
    <w:p>
      <w:pPr>
        <w:ind w:right="160" w:firstLine="8"/>
        <w:spacing w:after="0" w:line="268" w:lineRule="auto"/>
        <w:tabs>
          <w:tab w:leader="none" w:pos="315"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No delay or omission on part of the Lender in exercising any right hereunder shall operate as a waiver of any such right or of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of the Lender, nor shall any delay, omission or waiver on any one occasion be deemed a bar to or waiver of the same or any other right on any future occasion.</w:t>
      </w:r>
    </w:p>
    <w:p>
      <w:pPr>
        <w:spacing w:after="0" w:line="170" w:lineRule="exact"/>
        <w:rPr>
          <w:rFonts w:ascii="Times New Roman" w:cs="Times New Roman" w:eastAsia="Times New Roman" w:hAnsi="Times New Roman"/>
          <w:sz w:val="18"/>
          <w:szCs w:val="18"/>
          <w:b w:val="1"/>
          <w:bCs w:val="1"/>
          <w:color w:val="auto"/>
        </w:rPr>
      </w:pPr>
    </w:p>
    <w:p>
      <w:pPr>
        <w:ind w:right="360" w:firstLine="8"/>
        <w:spacing w:after="0" w:line="286" w:lineRule="auto"/>
        <w:tabs>
          <w:tab w:leader="none" w:pos="315"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Note shall be governed by and construed in accordance with the laws of the State of New York, without giving effect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choice or conflict of law provision or rule that would cause the application of the laws of any jurisdiction other than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63" w:name="page164"/>
    <w:bookmarkEnd w:id="163"/>
    <w:p>
      <w:pPr>
        <w:ind w:left="-8" w:right="40" w:firstLine="8"/>
        <w:spacing w:after="0" w:line="255" w:lineRule="auto"/>
        <w:tabs>
          <w:tab w:leader="none" w:pos="352"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4" w:lineRule="exact"/>
        <w:rPr>
          <w:rFonts w:ascii="Times New Roman" w:cs="Times New Roman" w:eastAsia="Times New Roman" w:hAnsi="Times New Roman"/>
          <w:sz w:val="18"/>
          <w:szCs w:val="18"/>
          <w:b w:val="1"/>
          <w:bCs w:val="1"/>
          <w:color w:val="auto"/>
        </w:rPr>
      </w:pPr>
    </w:p>
    <w:p>
      <w:pPr>
        <w:ind w:left="-8" w:firstLine="8"/>
        <w:spacing w:after="0" w:line="255" w:lineRule="auto"/>
        <w:tabs>
          <w:tab w:leader="none" w:pos="342"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any interest rate applicable to the Loan, together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charges and other amounts which are treated as interest on the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any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credited to the principal balance of such Loan, and the provisions hereof shall immediately be reformed and the amounts thereafter decreased to the extent necessary to comply with the applicable usury laws, but so as to permit the recovery of the fullest amount otherwise due under this Note.</w:t>
      </w:r>
    </w:p>
    <w:p>
      <w:pPr>
        <w:spacing w:after="0" w:line="184" w:lineRule="exact"/>
        <w:rPr>
          <w:rFonts w:ascii="Times New Roman" w:cs="Times New Roman" w:eastAsia="Times New Roman" w:hAnsi="Times New Roman"/>
          <w:sz w:val="18"/>
          <w:szCs w:val="18"/>
          <w:b w:val="1"/>
          <w:bCs w:val="1"/>
          <w:color w:val="auto"/>
        </w:rPr>
      </w:pPr>
    </w:p>
    <w:p>
      <w:pPr>
        <w:ind w:left="-8" w:right="40" w:firstLine="8"/>
        <w:spacing w:after="0" w:line="268" w:lineRule="auto"/>
        <w:tabs>
          <w:tab w:leader="none" w:pos="30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Waiver</w:t>
      </w:r>
      <w:r>
        <w:rPr>
          <w:rFonts w:ascii="Times New Roman" w:cs="Times New Roman" w:eastAsia="Times New Roman" w:hAnsi="Times New Roman"/>
          <w:sz w:val="18"/>
          <w:szCs w:val="18"/>
          <w:color w:val="auto"/>
        </w:rPr>
        <w:t>. This Note may only be amended by a written instrument signed by both parties. No waiver of any provision of this Note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effective unless it is in writing and signed by the party waiving such provision. No waiver of any provision of this Note shall be construed as a waiver of any other provision or of the same provision on another occasion.</w:t>
      </w:r>
    </w:p>
    <w:p>
      <w:pPr>
        <w:spacing w:after="0" w:line="170" w:lineRule="exact"/>
        <w:rPr>
          <w:rFonts w:ascii="Times New Roman" w:cs="Times New Roman" w:eastAsia="Times New Roman" w:hAnsi="Times New Roman"/>
          <w:sz w:val="18"/>
          <w:szCs w:val="18"/>
          <w:b w:val="1"/>
          <w:bCs w:val="1"/>
          <w:color w:val="auto"/>
        </w:rPr>
      </w:pPr>
    </w:p>
    <w:p>
      <w:pPr>
        <w:ind w:left="-8" w:right="60" w:firstLine="8"/>
        <w:spacing w:after="0" w:line="268" w:lineRule="auto"/>
        <w:tabs>
          <w:tab w:leader="none" w:pos="30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This Note shall be binding upon and inure to the benefit of the parties hereto and their respective successors and assigns, except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may not assign or otherwise transfer any of its rights or obligations hereunder without the prior written consent of the Lender (and any attempted assignment or transfer by the Borrower without such consent shall be null and void).</w:t>
      </w:r>
    </w:p>
    <w:p>
      <w:pPr>
        <w:spacing w:after="0" w:line="170" w:lineRule="exact"/>
        <w:rPr>
          <w:rFonts w:ascii="Times New Roman" w:cs="Times New Roman" w:eastAsia="Times New Roman" w:hAnsi="Times New Roman"/>
          <w:sz w:val="18"/>
          <w:szCs w:val="18"/>
          <w:b w:val="1"/>
          <w:bCs w:val="1"/>
          <w:color w:val="auto"/>
        </w:rPr>
      </w:pPr>
    </w:p>
    <w:p>
      <w:pPr>
        <w:ind w:left="-8" w:right="300" w:firstLine="8"/>
        <w:spacing w:after="0" w:line="286" w:lineRule="auto"/>
        <w:tabs>
          <w:tab w:leader="none" w:pos="30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Note constitutes the entire agreement between the parties with respect to the subject matter hereof and supersedes all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and understandings, whether written or oral, relating to such subject matter.</w:t>
      </w:r>
    </w:p>
    <w:p>
      <w:pPr>
        <w:spacing w:after="0" w:line="154" w:lineRule="exact"/>
        <w:rPr>
          <w:rFonts w:ascii="Times New Roman" w:cs="Times New Roman" w:eastAsia="Times New Roman" w:hAnsi="Times New Roman"/>
          <w:sz w:val="18"/>
          <w:szCs w:val="18"/>
          <w:b w:val="1"/>
          <w:bCs w:val="1"/>
          <w:color w:val="auto"/>
        </w:rPr>
      </w:pPr>
    </w:p>
    <w:p>
      <w:pPr>
        <w:ind w:left="-8" w:right="300" w:firstLine="8"/>
        <w:spacing w:after="0" w:line="268" w:lineRule="auto"/>
        <w:tabs>
          <w:tab w:leader="none" w:pos="30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Restatement</w:t>
      </w:r>
      <w:r>
        <w:rPr>
          <w:rFonts w:ascii="Times New Roman" w:cs="Times New Roman" w:eastAsia="Times New Roman" w:hAnsi="Times New Roman"/>
          <w:sz w:val="18"/>
          <w:szCs w:val="18"/>
          <w:color w:val="auto"/>
        </w:rPr>
        <w:t>. This Note renews, amends, restates, and supersedes the Prior Note, and no novation of the indebtedness evidenced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is intended nor shall any such novation be deemed to have occurred on account of the execution and delivery of this Note or otherwise. Upon execution and delivery of this Note, the Prior Note shall be deemed superseded, replaced, and no longer in effect.</w:t>
      </w:r>
    </w:p>
    <w:p>
      <w:pPr>
        <w:spacing w:after="0" w:line="1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267335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64" w:name="page165"/>
    <w:bookmarkEnd w:id="164"/>
    <w:p>
      <w:pPr>
        <w:ind w:left="340"/>
        <w:spacing w:after="0"/>
        <w:rPr>
          <w:sz w:val="20"/>
          <w:szCs w:val="20"/>
          <w:color w:val="auto"/>
        </w:rPr>
      </w:pPr>
      <w:r>
        <w:rPr>
          <w:rFonts w:ascii="Times New Roman" w:cs="Times New Roman" w:eastAsia="Times New Roman" w:hAnsi="Times New Roman"/>
          <w:sz w:val="18"/>
          <w:szCs w:val="18"/>
          <w:color w:val="auto"/>
        </w:rPr>
        <w:t>IN WITNESS WHEREOF, the Borrower has executed this Note as of the date first above written.</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163703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legalnotices@innventure.com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 as of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GLOCKNER FAMILY VENTURE FUND,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BELLRINGER CONSULTING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O. Donnally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85432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O. Donnally</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jdonnally@glockner.com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Unsecured Promissory Note</w:t>
      </w:r>
    </w:p>
    <w:p>
      <w:pPr>
        <w:spacing w:after="0" w:line="207" w:lineRule="exact"/>
        <w:rPr>
          <w:sz w:val="20"/>
          <w:szCs w:val="20"/>
          <w:color w:val="auto"/>
        </w:rPr>
      </w:pPr>
    </w:p>
    <w:p>
      <w:pPr>
        <w:spacing w:after="0"/>
        <w:tabs>
          <w:tab w:leader="none" w:pos="9040" w:val="left"/>
        </w:tabs>
        <w:rPr>
          <w:sz w:val="20"/>
          <w:szCs w:val="20"/>
          <w:color w:val="auto"/>
        </w:rPr>
      </w:pPr>
      <w:r>
        <w:rPr>
          <w:rFonts w:ascii="Times New Roman" w:cs="Times New Roman" w:eastAsia="Times New Roman" w:hAnsi="Times New Roman"/>
          <w:sz w:val="18"/>
          <w:szCs w:val="18"/>
          <w:color w:val="auto"/>
        </w:rPr>
        <w:t>October 1, 2024 (the “</w:t>
      </w:r>
      <w:r>
        <w:rPr>
          <w:rFonts w:ascii="Times New Roman" w:cs="Times New Roman" w:eastAsia="Times New Roman" w:hAnsi="Times New Roman"/>
          <w:sz w:val="18"/>
          <w:szCs w:val="18"/>
          <w:u w:val="single" w:color="auto"/>
          <w:color w:val="auto"/>
        </w:rPr>
        <w:t>Restatement Date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Principal Amount: $1,000,000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exchange for the principal sum of one million dollars ($1,000,000) (the “</w:t>
      </w:r>
      <w:r>
        <w:rPr>
          <w:rFonts w:ascii="Times New Roman" w:cs="Times New Roman" w:eastAsia="Times New Roman" w:hAnsi="Times New Roman"/>
          <w:sz w:val="18"/>
          <w:szCs w:val="18"/>
          <w:u w:val="single" w:color="auto"/>
          <w:color w:val="auto"/>
        </w:rPr>
        <w:t>Principal Amount</w:t>
      </w:r>
      <w:r>
        <w:rPr>
          <w:rFonts w:ascii="Times New Roman" w:cs="Times New Roman" w:eastAsia="Times New Roman" w:hAnsi="Times New Roman"/>
          <w:sz w:val="18"/>
          <w:szCs w:val="18"/>
          <w:color w:val="auto"/>
        </w:rPr>
        <w:t>”) loaned to Innventure,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by John Scott, an individual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the Borrower hereby promises to pay to the Lender the Principal Amount, together with accrued interest thereon pursuant to the terms and conditions set forth in this note (this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20" w:hanging="312"/>
        <w:spacing w:after="0"/>
        <w:tabs>
          <w:tab w:leader="none" w:pos="3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Prior Note</w:t>
      </w:r>
      <w:r>
        <w:rPr>
          <w:rFonts w:ascii="Times New Roman" w:cs="Times New Roman" w:eastAsia="Times New Roman" w:hAnsi="Times New Roman"/>
          <w:sz w:val="18"/>
          <w:szCs w:val="18"/>
          <w:color w:val="auto"/>
        </w:rPr>
        <w:t>. Pursuant to that certain Unsecured Promissory Note dated as of August 22, 2024 (the “</w:t>
      </w:r>
      <w:r>
        <w:rPr>
          <w:rFonts w:ascii="Times New Roman" w:cs="Times New Roman" w:eastAsia="Times New Roman" w:hAnsi="Times New Roman"/>
          <w:sz w:val="18"/>
          <w:szCs w:val="18"/>
          <w:u w:val="single" w:color="auto"/>
          <w:color w:val="auto"/>
        </w:rPr>
        <w:t>Prior Note</w:t>
      </w:r>
      <w:r>
        <w:rPr>
          <w:rFonts w:ascii="Times New Roman" w:cs="Times New Roman" w:eastAsia="Times New Roman" w:hAnsi="Times New Roman"/>
          <w:sz w:val="18"/>
          <w:szCs w:val="18"/>
          <w:color w:val="auto"/>
        </w:rPr>
        <w:t>”), the Lender previously lent</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$2,000,000 to the Borrower. On or about the date hereof, the Lender has been paid $1,000,000 of the principal outstanding under the Prior Note, and the parties agree to amend and restate the Prior Note as set forth herein. Any amounts disbursed pursuant to the Prior Note are deemed to be the “Loan” for the purposes hereof.</w:t>
      </w:r>
    </w:p>
    <w:p>
      <w:pPr>
        <w:spacing w:after="0" w:line="182" w:lineRule="exact"/>
        <w:rPr>
          <w:sz w:val="20"/>
          <w:szCs w:val="20"/>
          <w:color w:val="auto"/>
        </w:rPr>
      </w:pPr>
    </w:p>
    <w:p>
      <w:pPr>
        <w:ind w:left="320" w:hanging="312"/>
        <w:spacing w:after="0"/>
        <w:tabs>
          <w:tab w:leader="none" w:pos="3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right="200" w:firstLine="8"/>
        <w:spacing w:after="0" w:line="268" w:lineRule="auto"/>
        <w:tabs>
          <w:tab w:leader="none" w:pos="315"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w:t>
      </w:r>
      <w:r>
        <w:rPr>
          <w:rFonts w:ascii="Times New Roman" w:cs="Times New Roman" w:eastAsia="Times New Roman" w:hAnsi="Times New Roman"/>
          <w:sz w:val="18"/>
          <w:szCs w:val="18"/>
          <w:color w:val="auto"/>
        </w:rPr>
        <w:t>. From August 22, 2024 to but excluding the Restatement Date, interest accrued on the principal outstanding under the Prior Note at a rate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11.5% per annum, and from and after the Restatement Date, interest shall accrue on the outstanding Principal Amount at the rate of thirteen and half percent (13.5%) per annum. Such interest shall be calculated on the basis of a 365-day year for the actual number of days elapsed.</w:t>
      </w:r>
    </w:p>
    <w:p>
      <w:pPr>
        <w:spacing w:after="0" w:line="170" w:lineRule="exact"/>
        <w:rPr>
          <w:rFonts w:ascii="Times New Roman" w:cs="Times New Roman" w:eastAsia="Times New Roman" w:hAnsi="Times New Roman"/>
          <w:sz w:val="18"/>
          <w:szCs w:val="18"/>
          <w:b w:val="1"/>
          <w:bCs w:val="1"/>
          <w:color w:val="auto"/>
        </w:rPr>
      </w:pPr>
    </w:p>
    <w:p>
      <w:pPr>
        <w:ind w:right="280" w:firstLine="8"/>
        <w:spacing w:after="0" w:line="286" w:lineRule="auto"/>
        <w:tabs>
          <w:tab w:leader="none" w:pos="315"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color w:val="auto"/>
        </w:rPr>
        <w:t>. The Borrower shall repay the outstanding Principal Amount of this Note and accrued interest thereon on January 31, 2025 (the “</w:t>
      </w:r>
      <w:r>
        <w:rPr>
          <w:rFonts w:ascii="Times New Roman" w:cs="Times New Roman" w:eastAsia="Times New Roman" w:hAnsi="Times New Roman"/>
          <w:sz w:val="18"/>
          <w:szCs w:val="18"/>
          <w:u w:val="single" w:color="auto"/>
          <w:color w:val="auto"/>
        </w:rPr>
        <w:t>Maturity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right="140" w:firstLine="8"/>
        <w:spacing w:after="0" w:line="286" w:lineRule="auto"/>
        <w:tabs>
          <w:tab w:leader="none" w:pos="315"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Prepayment</w:t>
      </w:r>
      <w:r>
        <w:rPr>
          <w:rFonts w:ascii="Times New Roman" w:cs="Times New Roman" w:eastAsia="Times New Roman" w:hAnsi="Times New Roman"/>
          <w:sz w:val="18"/>
          <w:szCs w:val="18"/>
          <w:color w:val="auto"/>
        </w:rPr>
        <w:t>. The Borrower shall have the right at any time and from time to time to prepay this Note in whole or in part without premium or penalty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Maturity Date.</w:t>
      </w:r>
    </w:p>
    <w:p>
      <w:pPr>
        <w:spacing w:after="0" w:line="154" w:lineRule="exact"/>
        <w:rPr>
          <w:rFonts w:ascii="Times New Roman" w:cs="Times New Roman" w:eastAsia="Times New Roman" w:hAnsi="Times New Roman"/>
          <w:sz w:val="18"/>
          <w:szCs w:val="18"/>
          <w:b w:val="1"/>
          <w:bCs w:val="1"/>
          <w:color w:val="auto"/>
        </w:rPr>
      </w:pPr>
    </w:p>
    <w:p>
      <w:pPr>
        <w:jc w:val="both"/>
        <w:ind w:right="180" w:firstLine="8"/>
        <w:spacing w:after="0" w:line="262" w:lineRule="auto"/>
        <w:tabs>
          <w:tab w:leader="none" w:pos="315"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Default</w:t>
      </w:r>
      <w:r>
        <w:rPr>
          <w:rFonts w:ascii="Times New Roman" w:cs="Times New Roman" w:eastAsia="Times New Roman" w:hAnsi="Times New Roman"/>
          <w:sz w:val="18"/>
          <w:szCs w:val="18"/>
          <w:color w:val="auto"/>
        </w:rPr>
        <w:t>. If the Borrower fails to pay any amount due under this Note, such failure shall constitute an event of default under this Note (an “</w:t>
      </w:r>
      <w:r>
        <w:rPr>
          <w:rFonts w:ascii="Times New Roman" w:cs="Times New Roman" w:eastAsia="Times New Roman" w:hAnsi="Times New Roman"/>
          <w:sz w:val="18"/>
          <w:szCs w:val="18"/>
          <w:u w:val="single" w:color="auto"/>
          <w:color w:val="auto"/>
        </w:rPr>
        <w:t>Event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payment is not then permitted under that certain Loan and Security Agreement, dated as of October 1, 2024, by and among the Borrower and each of WTI Fund X, Inc. and WTI Fund XI, Inc., each as a lender, as amended from time to time, then the failure to make such payment shall not constitute an Event of Default.</w:t>
      </w:r>
    </w:p>
    <w:p>
      <w:pPr>
        <w:spacing w:after="0" w:line="176" w:lineRule="exact"/>
        <w:rPr>
          <w:rFonts w:ascii="Times New Roman" w:cs="Times New Roman" w:eastAsia="Times New Roman" w:hAnsi="Times New Roman"/>
          <w:sz w:val="18"/>
          <w:szCs w:val="18"/>
          <w:b w:val="1"/>
          <w:bCs w:val="1"/>
          <w:color w:val="auto"/>
        </w:rPr>
      </w:pPr>
    </w:p>
    <w:p>
      <w:pPr>
        <w:ind w:right="160" w:firstLine="8"/>
        <w:spacing w:after="0" w:line="268" w:lineRule="auto"/>
        <w:tabs>
          <w:tab w:leader="none" w:pos="315"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No delay or omission on part of the Lender in exercising any right hereunder shall operate as a waiver of any such right or of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of the Lender, nor shall any delay, omission or waiver on any one occasion be deemed a bar to or waiver of the same or any other right on any future occasion.</w:t>
      </w:r>
    </w:p>
    <w:p>
      <w:pPr>
        <w:spacing w:after="0" w:line="170" w:lineRule="exact"/>
        <w:rPr>
          <w:rFonts w:ascii="Times New Roman" w:cs="Times New Roman" w:eastAsia="Times New Roman" w:hAnsi="Times New Roman"/>
          <w:sz w:val="18"/>
          <w:szCs w:val="18"/>
          <w:b w:val="1"/>
          <w:bCs w:val="1"/>
          <w:color w:val="auto"/>
        </w:rPr>
      </w:pPr>
    </w:p>
    <w:p>
      <w:pPr>
        <w:ind w:right="360" w:firstLine="8"/>
        <w:spacing w:after="0" w:line="286" w:lineRule="auto"/>
        <w:tabs>
          <w:tab w:leader="none" w:pos="315"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Note shall be governed by and construed in accordance with the laws of the State of New York, without giving effect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choice or conflict of law provision or rule that would cause the application of the laws of any jurisdiction other than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66" w:name="page167"/>
    <w:bookmarkEnd w:id="166"/>
    <w:p>
      <w:pPr>
        <w:ind w:left="-8" w:right="80" w:firstLine="8"/>
        <w:spacing w:after="0" w:line="255" w:lineRule="auto"/>
        <w:tabs>
          <w:tab w:leader="none" w:pos="307"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RIGHT IT OR HE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THE OTHER PARTY HAS REPRESENTED, EXPRESSLY OR OTHERWISE, THAT SUCH OTHER PARTY WOULD NOT, IN THE EVENT OF LITIGATION, SEEK TO ENFORCE THE FOREGOING WAIVER AND (B) ACKNOWLEDGES THAT IT/HE AND THE PARTY HERETO HAVE BEEN INDUCED TO ENTER INTO THIS AGREEMENT BY, AMONG OTHER THINGS, THE MUTUAL WAIVERS AND CERTIFICATIONS IN THIS SECTION.</w:t>
      </w:r>
    </w:p>
    <w:p>
      <w:pPr>
        <w:spacing w:after="0" w:line="184" w:lineRule="exact"/>
        <w:rPr>
          <w:rFonts w:ascii="Times New Roman" w:cs="Times New Roman" w:eastAsia="Times New Roman" w:hAnsi="Times New Roman"/>
          <w:sz w:val="18"/>
          <w:szCs w:val="18"/>
          <w:b w:val="1"/>
          <w:bCs w:val="1"/>
          <w:color w:val="auto"/>
        </w:rPr>
      </w:pPr>
    </w:p>
    <w:p>
      <w:pPr>
        <w:ind w:left="-8" w:firstLine="8"/>
        <w:spacing w:after="0" w:line="255" w:lineRule="auto"/>
        <w:tabs>
          <w:tab w:leader="none" w:pos="297"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any interest rate applicable to the Loan, together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charges and other amounts which are treated as interest on the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any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credited to the principal balance of such Loan, and the provisions hereof shall immediately be reformed and the amounts thereafter decreased to the extent necessary to comply with the applicable usury laws, but so as to permit the recovery of the fullest amount otherwise due under this Note.</w:t>
      </w:r>
    </w:p>
    <w:p>
      <w:pPr>
        <w:spacing w:after="0" w:line="184" w:lineRule="exact"/>
        <w:rPr>
          <w:rFonts w:ascii="Times New Roman" w:cs="Times New Roman" w:eastAsia="Times New Roman" w:hAnsi="Times New Roman"/>
          <w:sz w:val="18"/>
          <w:szCs w:val="18"/>
          <w:b w:val="1"/>
          <w:bCs w:val="1"/>
          <w:color w:val="auto"/>
        </w:rPr>
      </w:pPr>
    </w:p>
    <w:p>
      <w:pPr>
        <w:ind w:left="-8" w:right="40" w:firstLine="8"/>
        <w:spacing w:after="0" w:line="268" w:lineRule="auto"/>
        <w:tabs>
          <w:tab w:leader="none" w:pos="307"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Waiver</w:t>
      </w:r>
      <w:r>
        <w:rPr>
          <w:rFonts w:ascii="Times New Roman" w:cs="Times New Roman" w:eastAsia="Times New Roman" w:hAnsi="Times New Roman"/>
          <w:sz w:val="18"/>
          <w:szCs w:val="18"/>
          <w:color w:val="auto"/>
        </w:rPr>
        <w:t>. This Note may only be amended by a written instrument signed by both parties. No waiver of any provision of this Note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effective unless it is in writing and signed by the party waiving such provision. No waiver of any provision of this Note shall be construed as a waiver of any other provision or of the same provision on another occasion.</w:t>
      </w:r>
    </w:p>
    <w:p>
      <w:pPr>
        <w:spacing w:after="0" w:line="170" w:lineRule="exact"/>
        <w:rPr>
          <w:rFonts w:ascii="Times New Roman" w:cs="Times New Roman" w:eastAsia="Times New Roman" w:hAnsi="Times New Roman"/>
          <w:sz w:val="18"/>
          <w:szCs w:val="18"/>
          <w:b w:val="1"/>
          <w:bCs w:val="1"/>
          <w:color w:val="auto"/>
        </w:rPr>
      </w:pPr>
    </w:p>
    <w:p>
      <w:pPr>
        <w:ind w:left="-8" w:right="60" w:firstLine="8"/>
        <w:spacing w:after="0" w:line="268" w:lineRule="auto"/>
        <w:tabs>
          <w:tab w:leader="none" w:pos="307"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This Note shall be binding upon and inure to the benefit of the parties hereto and their respective successors and assigns, except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may not assign or otherwise transfer any of its rights or obligations hereunder without the prior written consent of the Lender (and any attempted assignment or transfer by the Borrower without such consent shall be null and void).</w:t>
      </w:r>
    </w:p>
    <w:p>
      <w:pPr>
        <w:spacing w:after="0" w:line="170" w:lineRule="exact"/>
        <w:rPr>
          <w:rFonts w:ascii="Times New Roman" w:cs="Times New Roman" w:eastAsia="Times New Roman" w:hAnsi="Times New Roman"/>
          <w:sz w:val="18"/>
          <w:szCs w:val="18"/>
          <w:b w:val="1"/>
          <w:bCs w:val="1"/>
          <w:color w:val="auto"/>
        </w:rPr>
      </w:pPr>
    </w:p>
    <w:p>
      <w:pPr>
        <w:ind w:left="-8" w:right="300" w:firstLine="8"/>
        <w:spacing w:after="0" w:line="286" w:lineRule="auto"/>
        <w:tabs>
          <w:tab w:leader="none" w:pos="307"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Note constitutes the entire agreement between the parties with respect to the subject matter hereof and supersedes all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and understandings, whether written or oral, relating to such subject matter.</w:t>
      </w:r>
    </w:p>
    <w:p>
      <w:pPr>
        <w:spacing w:after="0" w:line="154" w:lineRule="exact"/>
        <w:rPr>
          <w:rFonts w:ascii="Times New Roman" w:cs="Times New Roman" w:eastAsia="Times New Roman" w:hAnsi="Times New Roman"/>
          <w:sz w:val="18"/>
          <w:szCs w:val="18"/>
          <w:b w:val="1"/>
          <w:bCs w:val="1"/>
          <w:color w:val="auto"/>
        </w:rPr>
      </w:pPr>
    </w:p>
    <w:p>
      <w:pPr>
        <w:ind w:left="-8" w:right="300" w:firstLine="8"/>
        <w:spacing w:after="0" w:line="268" w:lineRule="auto"/>
        <w:tabs>
          <w:tab w:leader="none" w:pos="307"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Restatement</w:t>
      </w:r>
      <w:r>
        <w:rPr>
          <w:rFonts w:ascii="Times New Roman" w:cs="Times New Roman" w:eastAsia="Times New Roman" w:hAnsi="Times New Roman"/>
          <w:sz w:val="18"/>
          <w:szCs w:val="18"/>
          <w:color w:val="auto"/>
        </w:rPr>
        <w:t>. This Note renews, amends, restates, and supersedes the Prior Note, and no novation of the indebtedness evidenced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is intended nor shall any such novation be deemed to have occurred on account of the execution and delivery of this Note or otherwise. Upon execution and delivery of this Note, the Prior Note shall be deemed superseded, replaced, and no longer in effect.</w:t>
      </w:r>
    </w:p>
    <w:p>
      <w:pPr>
        <w:spacing w:after="0" w:line="1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267335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67" w:name="page168"/>
    <w:bookmarkEnd w:id="167"/>
    <w:p>
      <w:pPr>
        <w:ind w:left="340"/>
        <w:spacing w:after="0"/>
        <w:rPr>
          <w:sz w:val="20"/>
          <w:szCs w:val="20"/>
          <w:color w:val="auto"/>
        </w:rPr>
      </w:pPr>
      <w:r>
        <w:rPr>
          <w:rFonts w:ascii="Times New Roman" w:cs="Times New Roman" w:eastAsia="Times New Roman" w:hAnsi="Times New Roman"/>
          <w:sz w:val="18"/>
          <w:szCs w:val="18"/>
          <w:color w:val="auto"/>
        </w:rPr>
        <w:t>IN WITNESS WHEREOF, the Borrower has executed this Note as of the date first above written.</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163703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Email: legalnotices@innventure.com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Scott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jscott@innventure.com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156845</wp:posOffset>
            </wp:positionV>
            <wp:extent cx="2237105" cy="4457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223710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EFFECTIVE AS OF OCTOBER 2, 2024)</w:t>
      </w:r>
    </w:p>
    <w:p>
      <w:pPr>
        <w:spacing w:after="0" w:line="225" w:lineRule="exact"/>
        <w:rPr>
          <w:sz w:val="20"/>
          <w:szCs w:val="20"/>
          <w:color w:val="auto"/>
        </w:rPr>
      </w:pPr>
    </w:p>
    <w:p>
      <w:pPr>
        <w:jc w:val="both"/>
        <w:ind w:firstLine="656"/>
        <w:spacing w:after="0" w:line="262" w:lineRule="auto"/>
        <w:tabs>
          <w:tab w:leader="none" w:pos="138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Purpose of the Code</w:t>
      </w:r>
      <w:r>
        <w:rPr>
          <w:rFonts w:ascii="Times New Roman" w:cs="Times New Roman" w:eastAsia="Times New Roman" w:hAnsi="Times New Roman"/>
          <w:sz w:val="18"/>
          <w:szCs w:val="18"/>
          <w:color w:val="auto"/>
        </w:rPr>
        <w:t>. This Code of Business Conduct and Ethics (this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provides standards and procedures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conduct of Covered Persons (as defined below) of Innventure, Inc. (“</w:t>
      </w:r>
      <w:r>
        <w:rPr>
          <w:rFonts w:ascii="Times New Roman" w:cs="Times New Roman" w:eastAsia="Times New Roman" w:hAnsi="Times New Roman"/>
          <w:sz w:val="18"/>
          <w:szCs w:val="18"/>
          <w:b w:val="1"/>
          <w:bCs w:val="1"/>
          <w:i w:val="1"/>
          <w:iCs w:val="1"/>
          <w:color w:val="auto"/>
        </w:rPr>
        <w:t>Innventure</w:t>
      </w:r>
      <w:r>
        <w:rPr>
          <w:rFonts w:ascii="Times New Roman" w:cs="Times New Roman" w:eastAsia="Times New Roman" w:hAnsi="Times New Roman"/>
          <w:sz w:val="18"/>
          <w:szCs w:val="18"/>
          <w:color w:val="auto"/>
        </w:rPr>
        <w:t>”) and its subsidiaries, including, without limitation, AeroFlexx, LLC and Accelsius Holdings, LLC (each a “Subsidiary” and, collectively with Innventure,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Innventure expects all persons subject to this Code, in carrying out their responsibilities, to act in accordance with these standards, which are designed to deter wrongdoing and promote:</w:t>
      </w:r>
    </w:p>
    <w:p>
      <w:pPr>
        <w:spacing w:after="0" w:line="180" w:lineRule="exact"/>
        <w:rPr>
          <w:sz w:val="20"/>
          <w:szCs w:val="20"/>
          <w:color w:val="auto"/>
        </w:rPr>
      </w:pPr>
    </w:p>
    <w:p>
      <w:pPr>
        <w:ind w:left="1300" w:hanging="644"/>
        <w:spacing w:after="0" w:line="282" w:lineRule="auto"/>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 and ethical conduct, including the ethical handling of actual or apparent conflicts of interest between personal and professional relationships;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fair, accurate, timely and understandable disclosure in reports and documents that Innventure files with, or submits to, the United States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or any other governmental agency and in other public communications;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governmental laws, rules and regulations;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prompt internal reporting of violations of this Code to the persons identified herein;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adherence to this Code.</w:t>
      </w:r>
    </w:p>
    <w:p>
      <w:pPr>
        <w:spacing w:after="0" w:line="221" w:lineRule="exact"/>
        <w:rPr>
          <w:sz w:val="20"/>
          <w:szCs w:val="20"/>
          <w:color w:val="auto"/>
        </w:rPr>
      </w:pPr>
    </w:p>
    <w:p>
      <w:pPr>
        <w:jc w:val="both"/>
        <w:ind w:firstLine="656"/>
        <w:spacing w:after="0" w:line="262" w:lineRule="auto"/>
        <w:tabs>
          <w:tab w:leader="none" w:pos="133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Persons Subject to the Code</w:t>
      </w:r>
      <w:r>
        <w:rPr>
          <w:rFonts w:ascii="Times New Roman" w:cs="Times New Roman" w:eastAsia="Times New Roman" w:hAnsi="Times New Roman"/>
          <w:sz w:val="18"/>
          <w:szCs w:val="18"/>
          <w:color w:val="auto"/>
        </w:rPr>
        <w:t>. This Code applies to all Innventure directors, officers (including the principal executive officer,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and principal accounting officer), employees, consultants, independent contractors and agents, as well as to all directors, officers, employees, consultants, independent contractors and agents of each Subsidiary. Such individuals are referred to herein collectively as the “</w:t>
      </w:r>
      <w:r>
        <w:rPr>
          <w:rFonts w:ascii="Times New Roman" w:cs="Times New Roman" w:eastAsia="Times New Roman" w:hAnsi="Times New Roman"/>
          <w:sz w:val="18"/>
          <w:szCs w:val="18"/>
          <w:b w:val="1"/>
          <w:bCs w:val="1"/>
          <w:i w:val="1"/>
          <w:iCs w:val="1"/>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Persons.</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129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Consequences for Violation of the Code</w:t>
      </w:r>
      <w:r>
        <w:rPr>
          <w:rFonts w:ascii="Times New Roman" w:cs="Times New Roman" w:eastAsia="Times New Roman" w:hAnsi="Times New Roman"/>
          <w:sz w:val="18"/>
          <w:szCs w:val="18"/>
          <w:color w:val="auto"/>
        </w:rPr>
        <w:t>. Should the Company become aware of a violation of this Code, other Company policies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we will take appropriate action to address the issue and to prevent the problem from occurring in the future. Depending on the circumstances, corrective and preventive steps might include training, counseling, and disciplinary actions up to and including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69" w:name="page170"/>
    <w:bookmarkEnd w:id="169"/>
    <w:p>
      <w:pPr>
        <w:ind w:left="1280" w:hanging="624"/>
        <w:spacing w:after="0"/>
        <w:tabs>
          <w:tab w:leader="none" w:pos="12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Payments by and to the Company and its Covered Persons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0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Officials</w:t>
      </w:r>
      <w:r>
        <w:rPr>
          <w:rFonts w:ascii="Times New Roman" w:cs="Times New Roman" w:eastAsia="Times New Roman" w:hAnsi="Times New Roman"/>
          <w:sz w:val="18"/>
          <w:szCs w:val="18"/>
          <w:color w:val="auto"/>
        </w:rPr>
        <w:t>. Any direct or indirect payment, transfer, offer or promise of transfer of anything of value (whether cash or non-cash) to a government official for the purpose of improperly influencing government acts or decisions in order to obtain or retain business or to secure a business advantage is an improper payment and is prohibited. Government officials include a wide range of individuals and entities at all levels of government, and include any person acting on behalf of a governmental entity, political party or government-owned or controlled company (e.g., state-owned energy companies or public utilities), as well as military personnel and candidates for political office. Covered Persons should be aware that some laws prohibit providing anything of value to government officials, even when there is no intent or expectation of receiving any preferential treatment or other benefit. Covered Persons should consult with Innventure’s General Counsel before offering to provide any item of value to a government official, including meals and entertainment.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32"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Gifts from Business Providers</w:t>
      </w:r>
      <w:r>
        <w:rPr>
          <w:rFonts w:ascii="Times New Roman" w:cs="Times New Roman" w:eastAsia="Times New Roman" w:hAnsi="Times New Roman"/>
          <w:sz w:val="18"/>
          <w:szCs w:val="18"/>
          <w:color w:val="auto"/>
        </w:rPr>
        <w:t>. Covered Persons (including their immediate family members) may neither accept, nor give or seek for themselves or others any gifts, favors, entertainment or consideration of any kind (collectively, “</w:t>
      </w:r>
      <w:r>
        <w:rPr>
          <w:rFonts w:ascii="Times New Roman" w:cs="Times New Roman" w:eastAsia="Times New Roman" w:hAnsi="Times New Roman"/>
          <w:sz w:val="18"/>
          <w:szCs w:val="18"/>
          <w:b w:val="1"/>
          <w:bCs w:val="1"/>
          <w:i w:val="1"/>
          <w:iCs w:val="1"/>
          <w:color w:val="auto"/>
        </w:rPr>
        <w:t>Gifts</w:t>
      </w:r>
      <w:r>
        <w:rPr>
          <w:rFonts w:ascii="Times New Roman" w:cs="Times New Roman" w:eastAsia="Times New Roman" w:hAnsi="Times New Roman"/>
          <w:sz w:val="18"/>
          <w:szCs w:val="18"/>
          <w:color w:val="auto"/>
        </w:rPr>
        <w:t>”), to or from any person or business organization that does or seeks to do business with, or is a competitor of, the Company (collectively, “</w:t>
      </w:r>
      <w:r>
        <w:rPr>
          <w:rFonts w:ascii="Times New Roman" w:cs="Times New Roman" w:eastAsia="Times New Roman" w:hAnsi="Times New Roman"/>
          <w:sz w:val="18"/>
          <w:szCs w:val="18"/>
          <w:b w:val="1"/>
          <w:bCs w:val="1"/>
          <w:i w:val="1"/>
          <w:iCs w:val="1"/>
          <w:color w:val="auto"/>
        </w:rPr>
        <w:t>Business Providers</w:t>
      </w:r>
      <w:r>
        <w:rPr>
          <w:rFonts w:ascii="Times New Roman" w:cs="Times New Roman" w:eastAsia="Times New Roman" w:hAnsi="Times New Roman"/>
          <w:sz w:val="18"/>
          <w:szCs w:val="18"/>
          <w:color w:val="auto"/>
        </w:rPr>
        <w:t>”), unless (i) they are consistent with customary business practices, (ii) they do not have more than a nominal value (determination is situation-dependent, but $250 is a good rule-of-thumb) (iii) they do not occur more frequently than once per calendar quarter, regardless of amount, and (iv) such Gift is not otherwise in violation of any country or local law in which the Gift is being provided. Under no circumstances may an employee accept a Gift from a Business Provider that could be construed as a kickback, bribe, gratuity or cash payment, regardless of value. A strict standard is imposed with respect to accepting Gifts from, and providing Gifts to, Business Providers, as the Company desires to preserve its ability to make impartial business decisions and to avoid any improper incentives for decision makers.</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Gifts that comply with the criteria outlined above may be accepted from Business Providers. Any Gift that may be inconsistent with the criteria outlined above should be reported to Innventure’s General Counsel. Innventure’s General Counsel will then make a determination as to whether such Gift may be accepted, returned, donated or handled in a different manner. Examples of permissible Gifts accepted from a Business Provider because they are consistent with customary business practices include, but are not limited to, the following:</w:t>
      </w:r>
    </w:p>
    <w:p>
      <w:pPr>
        <w:spacing w:after="0" w:line="180" w:lineRule="exact"/>
        <w:rPr>
          <w:sz w:val="20"/>
          <w:szCs w:val="20"/>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admission at educational programs sponsored by a Business Provider, but excludes the cost of transportation or lodging;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meals at which business matters are discussed;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charitable or sporting events that the Business Provider will attend;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promotional items of nominal value associated with a party’s commercial and marketing efforts (e.g., t-shirts, hats, cups, or pens);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won as part of games of chance or broadly disseminated to attendees at an industry-related event, provided that such item is not valued at greater than a nominal value.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0" w:name="page171"/>
    <w:bookmarkEnd w:id="170"/>
    <w:p>
      <w:pPr>
        <w:jc w:val="both"/>
        <w:ind w:firstLine="1304"/>
        <w:spacing w:after="0" w:line="258" w:lineRule="auto"/>
        <w:tabs>
          <w:tab w:leader="none" w:pos="2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Related to Sales and Purchases</w:t>
      </w:r>
      <w:r>
        <w:rPr>
          <w:rFonts w:ascii="Times New Roman" w:cs="Times New Roman" w:eastAsia="Times New Roman" w:hAnsi="Times New Roman"/>
          <w:sz w:val="18"/>
          <w:szCs w:val="18"/>
          <w:color w:val="auto"/>
        </w:rPr>
        <w:t>. So as to avoid any appearance of illegal or unethical payments, or creating an environment where these may inadvertently be made, commissions, rebates, discounts, credits and allowances associated with Company sales should be paid or granted only by the company on whose books the related sale is recorded, bear a reasonable relationship to the value of goods delivered or services rendered, be given to the specific business entity involved and not to individuals or to a related business entity, and be supported by appropriate documentation.</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Agreements for the Company to pay commissions, rebates, credits, discounts or allowances should be in writing; however, when this is not feasible, an explanatory memorandum for the file prepared by the approving department and reviewed by Innventure’s General Counsel should be created.</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Any potential deviation from these provisions should be reviewed in advance with Innventure’s Chief Financial Officer and General Counsel, and Innventure’s Internal Auditing department (whether outsourced or not) should also be informed. There must be no falsification, misrepresentation, or deliberate overbilling reflected in any document (including invoices, consular documents, letters of credit, etc.) involved in the transaction. This includes suppression or omission of documents or of information in the documents, or deliberate misdirection of documents.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Payments for goods and services purchased by the Company are otherwise subject to the same considerations noted above.</w:t>
      </w:r>
    </w:p>
    <w:p>
      <w:pPr>
        <w:spacing w:after="0" w:line="225" w:lineRule="exact"/>
        <w:rPr>
          <w:sz w:val="20"/>
          <w:szCs w:val="20"/>
          <w:color w:val="auto"/>
        </w:rPr>
      </w:pPr>
    </w:p>
    <w:p>
      <w:pPr>
        <w:jc w:val="both"/>
        <w:ind w:right="20" w:firstLine="1304"/>
        <w:spacing w:after="0" w:line="261" w:lineRule="auto"/>
        <w:tabs>
          <w:tab w:leader="none" w:pos="205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Political Contributions</w:t>
      </w:r>
      <w:r>
        <w:rPr>
          <w:rFonts w:ascii="Times New Roman" w:cs="Times New Roman" w:eastAsia="Times New Roman" w:hAnsi="Times New Roman"/>
          <w:sz w:val="18"/>
          <w:szCs w:val="18"/>
          <w:color w:val="auto"/>
        </w:rPr>
        <w:t>. Covered Persons may not use Company funds, property or services for contributions to any political party or committee, or to any candidate for or holder of any office of any government. This does not preclude (i) the operation of a political action committee under applicable laws, (ii) Company contributions, where lawful, to support or oppose public referenda or similar ballot issues, or (iii) Company political contributions, where lawful and done in accordance with current policy.</w:t>
      </w:r>
    </w:p>
    <w:p>
      <w:pPr>
        <w:spacing w:after="0" w:line="180"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This policy is not intended to affect the rights of individuals to make personal political contributions as long as the donation is derived exclusively from that individual’s personal funds or time and in no way was provided directly or indirectly by the Company.</w:t>
      </w:r>
    </w:p>
    <w:p>
      <w:pPr>
        <w:spacing w:after="0" w:line="158" w:lineRule="exact"/>
        <w:rPr>
          <w:sz w:val="20"/>
          <w:szCs w:val="20"/>
          <w:color w:val="auto"/>
        </w:rPr>
      </w:pPr>
    </w:p>
    <w:p>
      <w:pPr>
        <w:jc w:val="both"/>
        <w:ind w:firstLine="656"/>
        <w:spacing w:after="0" w:line="257" w:lineRule="auto"/>
        <w:tabs>
          <w:tab w:leader="none" w:pos="139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Conflicts of Interest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 conflict of interest occurs when an individual’s private interest interferes, or appears to interfere,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interests of the Company</w:t>
      </w:r>
      <w:r>
        <w:rPr>
          <w:rFonts w:ascii="Times New Roman" w:cs="Times New Roman" w:eastAsia="Times New Roman" w:hAnsi="Times New Roman"/>
          <w:sz w:val="18"/>
          <w:szCs w:val="18"/>
          <w:color w:val="auto"/>
        </w:rPr>
        <w:t>. Covered Persons should avoid any situation that involves or may involve a perceived or actual conflict between their personal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interests and the Company’s interests. As in all other facets of their duties, Covered Persons dealing with customers, suppliers, contractors, competitors or any persons doing or seeking to do business with the Company are to act in the best interests of the Company to the exclusion of considerations of personal preference or advantage. Each Covered Person must make prompt and full disclosure in writing to his or her supervisor (if applicable) and Innventure’s General Counsel of the following prospective situations that may involve a perceived or actual conflict of interest:</w:t>
      </w:r>
    </w:p>
    <w:p>
      <w:pPr>
        <w:spacing w:after="0" w:line="186" w:lineRule="exact"/>
        <w:rPr>
          <w:sz w:val="20"/>
          <w:szCs w:val="20"/>
          <w:color w:val="auto"/>
        </w:rPr>
      </w:pPr>
    </w:p>
    <w:p>
      <w:pPr>
        <w:jc w:val="both"/>
        <w:ind w:left="1300" w:hanging="644"/>
        <w:spacing w:after="0" w:line="258" w:lineRule="auto"/>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Person, or a member of the Covered Person’s family, has a significant financial interest in any outside enterprise that does or seeks to do business with or is a direct or indirect competitor of the Company. As a minimum standard, a “significant” financial interest exists with respect to a company where (A) there is greater than 2% ownership of a private company or 5% in the case of a public company, (B) a family member is associated with the company, or (C) there is any other interest in the company in excess of 5% of the company’s assets or annual revenue.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ind w:left="1300" w:hanging="644"/>
        <w:spacing w:after="0" w:line="282"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Covered Person serves as a director, officer, partner, consultant or employee to any outside enterprise that does or is seeking to do business with or is a competitor of the Company.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broker, finder, go-between or otherwise for the benefit of a third party in transactions involving or potentially involving the Company or its interests.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arrangement or circumstance, including family or other personal relationships, that might dissuade the Covered Person from acting in the best interest of the Company.</w:t>
      </w:r>
    </w:p>
    <w:p>
      <w:pPr>
        <w:spacing w:after="0" w:line="158" w:lineRule="exact"/>
        <w:rPr>
          <w:sz w:val="20"/>
          <w:szCs w:val="20"/>
          <w:color w:val="auto"/>
        </w:rPr>
      </w:pPr>
    </w:p>
    <w:p>
      <w:pPr>
        <w:jc w:val="both"/>
        <w:ind w:firstLine="656"/>
        <w:spacing w:after="0" w:line="256" w:lineRule="auto"/>
        <w:tabs>
          <w:tab w:leader="none" w:pos="130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Service in Outside Organizations</w:t>
      </w:r>
      <w:r>
        <w:rPr>
          <w:rFonts w:ascii="Times New Roman" w:cs="Times New Roman" w:eastAsia="Times New Roman" w:hAnsi="Times New Roman"/>
          <w:sz w:val="18"/>
          <w:szCs w:val="18"/>
          <w:color w:val="auto"/>
        </w:rPr>
        <w:t>. Employees should not accept a directorship with any for-profit corporation without the prior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of Innventure’s General Counsel and, in the case of directors and executive officers of Innventure (including Innventure’s principal executive officer, principal financial officer and principal accounting officer), they also must notify Innventure’s Nominating and Corporate Governance Committee and comply with the applicable procedures, if any, set forth or recommended by Innventure’s Nominating and Corporate Governance Committee. Employees, directors and executive officers must ensure their participation or service to other organizations, be they civic, charitable, corporate, governmental, public, private, or non-profit in nature, does not (A) materially detract from or interfere with the full and timely performance of their services to the Company or (B) create possible or perceived conflicts of interest as to the Company.</w:t>
      </w:r>
    </w:p>
    <w:p>
      <w:pPr>
        <w:spacing w:after="0" w:line="182" w:lineRule="exact"/>
        <w:rPr>
          <w:rFonts w:ascii="Times New Roman" w:cs="Times New Roman" w:eastAsia="Times New Roman" w:hAnsi="Times New Roman"/>
          <w:sz w:val="18"/>
          <w:szCs w:val="18"/>
          <w:color w:val="auto"/>
        </w:rPr>
      </w:pPr>
    </w:p>
    <w:p>
      <w:pPr>
        <w:jc w:val="both"/>
        <w:ind w:firstLine="656"/>
        <w:spacing w:after="0" w:line="268" w:lineRule="auto"/>
        <w:tabs>
          <w:tab w:leader="none" w:pos="138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 Protection of Company Information and Assets</w:t>
      </w:r>
      <w:r>
        <w:rPr>
          <w:rFonts w:ascii="Times New Roman" w:cs="Times New Roman" w:eastAsia="Times New Roman" w:hAnsi="Times New Roman"/>
          <w:sz w:val="18"/>
          <w:szCs w:val="18"/>
          <w:color w:val="auto"/>
        </w:rPr>
        <w:t>. Covered Persons must ensure the proper handling, protection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disposal of Company information. Business information is a valuable resource to the Company and improperly handled or disclosed business information (whether intentional or inadvertent), may result in financial damage to the Company and have other negative consequences.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ensure the proper handling, protection and disposal of Company information, Covered Persons must not:</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or release confidential data or information obtained while in the Company’s employment or service, including (but not limited to) materials relating to patents, trade secrets, other intellectual property, customers, development programs, costs, marketing, trading, investment, sales activities, promotion, credit and financial data, manufacturing processes, financing methods, strategic plans or the business and affairs of the Company, to any unauthorized individual or entity; and/or</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nonpublic information obtained while in the Company’s employment or service for the Covered Person’s personal advantage, including any use for the purposes of: (A) trading or providing information for others to trade in securities, (B) acquiring a property interest of any kind, or (C) retaining Company documents or using for any purpose or revealing to anyone else Company business practices, confidential information or trade secrets after leaving the Company.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jc w:val="both"/>
        <w:spacing w:after="0" w:line="282" w:lineRule="auto"/>
        <w:rPr>
          <w:sz w:val="20"/>
          <w:szCs w:val="20"/>
          <w:color w:val="auto"/>
        </w:rPr>
      </w:pPr>
      <w:r>
        <w:rPr>
          <w:rFonts w:ascii="Times New Roman" w:cs="Times New Roman" w:eastAsia="Times New Roman" w:hAnsi="Times New Roman"/>
          <w:sz w:val="18"/>
          <w:szCs w:val="18"/>
          <w:color w:val="auto"/>
        </w:rPr>
        <w:t>Upon termination of employment or service with the Company, Covered Persons must return to the company that employed or engaged them (i.e., Innventure or a Subsidiary) all tangible items and electronic files (including copies) that relate to the business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important to remember that these obligations continue even after a person is no longer employed by or serving with the Company.</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Notwithstanding the foregoing, nothing in this Code is intended to restrict, limit or prohibit Covered Persons from reporting possible violations of law or regulation to any governmental agency or entity, including but not limited to, the Department of Justice or the SEC, or from making other disclosures that are protected under state or federal law or regulation, including, without limitation, good faith disclosure on a confidential basis of confidential information constituting “Trade Secrets” as defined in 18 U.S.C. § 1839, so long as such disclosures are consistent with 18 U.S.C. § 1833. Covered Persons do not need the prior authorization of the Company to make such reports or disclosures. Covered Persons are not required to notify the Company that they have made any such reports or disclosures.</w:t>
      </w:r>
    </w:p>
    <w:p>
      <w:pPr>
        <w:spacing w:after="0" w:line="182" w:lineRule="exact"/>
        <w:rPr>
          <w:sz w:val="20"/>
          <w:szCs w:val="20"/>
          <w:color w:val="auto"/>
        </w:rPr>
      </w:pPr>
    </w:p>
    <w:p>
      <w:pPr>
        <w:jc w:val="both"/>
        <w:ind w:firstLine="656"/>
        <w:spacing w:after="0" w:line="268" w:lineRule="auto"/>
        <w:tabs>
          <w:tab w:leader="none" w:pos="127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Fair Dealing</w:t>
      </w:r>
      <w:r>
        <w:rPr>
          <w:rFonts w:ascii="Times New Roman" w:cs="Times New Roman" w:eastAsia="Times New Roman" w:hAnsi="Times New Roman"/>
          <w:sz w:val="18"/>
          <w:szCs w:val="18"/>
          <w:color w:val="auto"/>
        </w:rPr>
        <w:t>. All Covered Persons must deal honestly and fairly with the Company’s customers, suppliers, competitors, stockholders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stakeholders and must not take unfair advantage of others through manipulation, concealment, abuse of privileged information, misrepresentation of material facts or other unfair dealing practices.</w:t>
      </w:r>
    </w:p>
    <w:p>
      <w:pPr>
        <w:spacing w:after="0" w:line="170" w:lineRule="exact"/>
        <w:rPr>
          <w:rFonts w:ascii="Times New Roman" w:cs="Times New Roman" w:eastAsia="Times New Roman" w:hAnsi="Times New Roman"/>
          <w:sz w:val="18"/>
          <w:szCs w:val="18"/>
          <w:color w:val="auto"/>
        </w:rPr>
      </w:pPr>
    </w:p>
    <w:p>
      <w:pPr>
        <w:jc w:val="both"/>
        <w:ind w:firstLine="656"/>
        <w:spacing w:after="0" w:line="254" w:lineRule="auto"/>
        <w:tabs>
          <w:tab w:leader="none" w:pos="127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Company Data and Information Systems</w:t>
      </w:r>
      <w:r>
        <w:rPr>
          <w:rFonts w:ascii="Times New Roman" w:cs="Times New Roman" w:eastAsia="Times New Roman" w:hAnsi="Times New Roman"/>
          <w:sz w:val="18"/>
          <w:szCs w:val="18"/>
          <w:color w:val="auto"/>
        </w:rPr>
        <w:t>. The Company’s computer information systems and the Company data processed, transmitted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stored electronically are assets requiring unique protection. Each Covered Person is responsible for compliance with the Company’s policies, standards and related procedures for electronic information security. Additionally, Covered Persons may be required by law to read and comply with the license agreements associated with the computer software they utilize. Covered Persons should properly utilize and protect the Company’s computer information systems and the Company data, including but not limited to only using such data as necessary for the performance of their duties and only using such Company computer information systems and/or Company data for the benefit of the Company. Covered Persons are expected to use good judgment and conduct themselves professionally when posting and interacting on social media platforms or participating in online forums, blogs, chat rooms or comment boards. Covered Persons should not act or post in a way that would give the impression that they are speaking or posting on behalf of the Company unless they are specifically authorized to do so.</w:t>
      </w:r>
    </w:p>
    <w:p>
      <w:pPr>
        <w:spacing w:after="0" w:line="188" w:lineRule="exact"/>
        <w:rPr>
          <w:rFonts w:ascii="Times New Roman" w:cs="Times New Roman" w:eastAsia="Times New Roman" w:hAnsi="Times New Roman"/>
          <w:sz w:val="18"/>
          <w:szCs w:val="18"/>
          <w:color w:val="auto"/>
        </w:rPr>
      </w:pPr>
    </w:p>
    <w:p>
      <w:pPr>
        <w:ind w:right="20" w:firstLine="656"/>
        <w:spacing w:after="0" w:line="286" w:lineRule="auto"/>
        <w:tabs>
          <w:tab w:leader="none" w:pos="140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the Law</w:t>
      </w:r>
      <w:r>
        <w:rPr>
          <w:rFonts w:ascii="Times New Roman" w:cs="Times New Roman" w:eastAsia="Times New Roman" w:hAnsi="Times New Roman"/>
          <w:sz w:val="18"/>
          <w:szCs w:val="18"/>
          <w:color w:val="auto"/>
        </w:rPr>
        <w:t>. All Covered Persons are expected to comply with all applicable laws, rules and regulations including,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limited to, the following:</w:t>
      </w:r>
    </w:p>
    <w:p>
      <w:pPr>
        <w:spacing w:after="0" w:line="15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45"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Safety and Health</w:t>
      </w:r>
      <w:r>
        <w:rPr>
          <w:rFonts w:ascii="Times New Roman" w:cs="Times New Roman" w:eastAsia="Times New Roman" w:hAnsi="Times New Roman"/>
          <w:sz w:val="18"/>
          <w:szCs w:val="18"/>
          <w:color w:val="auto"/>
        </w:rPr>
        <w:t>. It is the Company’s policy to conduct operations so as to protect and preserve the environment and the health and safety of Covered Persons, and in compliance with all applicable state and federal environmental, health and safety laws and regulations. These laws and regulations govern work practices at all Company sites and the impact of our operations on the air, land and water. Covered Persons must be scrupulous in the observance of applicable laws and regulations to avoid risks to the health and safety of Covered Persons, to the environment and of non-compliance.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jc w:val="both"/>
        <w:ind w:firstLine="1304"/>
        <w:spacing w:after="0" w:line="256" w:lineRule="auto"/>
        <w:tabs>
          <w:tab w:leader="none" w:pos="21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Equal Employment Opportunity</w:t>
      </w:r>
      <w:r>
        <w:rPr>
          <w:rFonts w:ascii="Times New Roman" w:cs="Times New Roman" w:eastAsia="Times New Roman" w:hAnsi="Times New Roman"/>
          <w:sz w:val="18"/>
          <w:szCs w:val="18"/>
          <w:color w:val="auto"/>
        </w:rPr>
        <w:t>. It is the Company’s policy to provide equal employment opportunities to all employees, consultants, independent contractors and agents and applicants for employment without regard to race, color, religion, sex, national origin, age, disability, marital status, sexual orientation, genetic information, protected veteran status or any other status or characteristic protected by applicable law. This applies to all employment decisions regarding recruiting, hiring, promotion, transfer, layoff, termination, compensation, benefits, training (including apprenticeship), classification, certification, testing, retention, referral and all other aspects of employment, except where a bona fide occupational qualification applies.</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82"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Harassment</w:t>
      </w:r>
      <w:r>
        <w:rPr>
          <w:rFonts w:ascii="Times New Roman" w:cs="Times New Roman" w:eastAsia="Times New Roman" w:hAnsi="Times New Roman"/>
          <w:sz w:val="18"/>
          <w:szCs w:val="18"/>
          <w:color w:val="auto"/>
        </w:rPr>
        <w:t>. Workplace harassment is strictly prohibited. Verbal or physical conduct by any Covered Person that harasses another, disrupts another’s work performance or creates an intimidating, offensive, abusive or hostile work environment will not be tolerated. The Company is dedicated to ensuring a harassment-free workplace environment for all Covered Persons. If employees, consultants, independent contractors and agents have any questions or concerns in this area, they should bring them to the immediate attention of their supervisor or, in the case of directors, to Innventure’s General Counsel. Alternatively, Covered Persons are encouraged to report any such acts of alleged workplace harassment through the Syntrio Lighthouse Employee Hotline and Anonymous Reporting System in accordance with Section 16 of this Policy.</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6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Drugs and Alcohol</w:t>
      </w:r>
      <w:r>
        <w:rPr>
          <w:rFonts w:ascii="Times New Roman" w:cs="Times New Roman" w:eastAsia="Times New Roman" w:hAnsi="Times New Roman"/>
          <w:sz w:val="18"/>
          <w:szCs w:val="18"/>
          <w:color w:val="auto"/>
        </w:rPr>
        <w:t>. The use or consumption of illegal drugs or alcohol while a Covered Person is working is prohibited as it can create significant risks to the health and safety of the employees. The possession and use of illegal drugs is prohibited on Company properties. In certain limited circumstances, possession and consumption of alcohol may be permitted during or after normal business hours when approved in advance by management or for Company-sponsored functions. If a supervisor or manager has reasonable suspicion to believe that an employee is using illegal drugs and/or alcohol in violation of this policy, the supervisor or manager may, but is not required to, request an alcohol and/or drug screening. A reasonable suspicion may be based on objective symptoms such as the employee’s appearance, behavior or speech.</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9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Competition</w:t>
      </w:r>
      <w:r>
        <w:rPr>
          <w:rFonts w:ascii="Times New Roman" w:cs="Times New Roman" w:eastAsia="Times New Roman" w:hAnsi="Times New Roman"/>
          <w:sz w:val="18"/>
          <w:szCs w:val="18"/>
          <w:color w:val="auto"/>
        </w:rPr>
        <w:t>. The Company supports an environment in which we comply with all competition laws. Covered Persons must avoid any activities that seek to reach any understandings or agreements with competitors or suppliers that restrict competition. Covered Persons should avoid discussion of, or collaboration on, proprietary or confidential information with competitors or suppliers, including pricing policies, contract terms, costs and marketing plans, production plans and capabilities, and allocating clients or territories. When conducting business, Covered Persons must adhere to these guidelines. Covered Persons should consult with Innventure’s General Counsel with any questions regarding these obligations.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5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 Laws</w:t>
      </w:r>
      <w:r>
        <w:rPr>
          <w:rFonts w:ascii="Times New Roman" w:cs="Times New Roman" w:eastAsia="Times New Roman" w:hAnsi="Times New Roman"/>
          <w:sz w:val="18"/>
          <w:szCs w:val="18"/>
          <w:color w:val="auto"/>
        </w:rPr>
        <w:t>. Our products and supplies may be subject to local, regional and international import and export laws, rules and regulations. The Company also acknowledges trade sanctions and import/export restrictions applicable to our activities. Before initiating a cross-border transaction that may involve importing, exporting or re-exporting Company products or supplies, Covered Persons must ensure that such exporting activity is permitted under U.S. export regulations and any applicable non-U.S. laws and regulations.</w:t>
      </w:r>
    </w:p>
    <w:p>
      <w:pPr>
        <w:spacing w:after="0" w:line="175" w:lineRule="exact"/>
        <w:rPr>
          <w:rFonts w:ascii="Times New Roman" w:cs="Times New Roman" w:eastAsia="Times New Roman" w:hAnsi="Times New Roman"/>
          <w:sz w:val="18"/>
          <w:szCs w:val="18"/>
          <w:color w:val="auto"/>
        </w:rPr>
      </w:pPr>
    </w:p>
    <w:p>
      <w:pPr>
        <w:jc w:val="both"/>
        <w:ind w:firstLine="656"/>
        <w:spacing w:after="0" w:line="268" w:lineRule="auto"/>
        <w:tabs>
          <w:tab w:leader="none" w:pos="137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Travel and Entertainment</w:t>
      </w:r>
      <w:r>
        <w:rPr>
          <w:rFonts w:ascii="Times New Roman" w:cs="Times New Roman" w:eastAsia="Times New Roman" w:hAnsi="Times New Roman"/>
          <w:sz w:val="18"/>
          <w:szCs w:val="18"/>
          <w:color w:val="auto"/>
        </w:rPr>
        <w:t>. Travel and entertainment should be consistent with the needs of the Company’s business. Covered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expected to exercise good judgment, travel on Company business in a cost-efficient manner, adhere to normal safety requirements and promptly report any expenditures incurred. The Company’s intent is that Covered Persons neither lose nor gain financially as a result of business travel and entertainment.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Employees who approve travel and entertainment expense reports are responsible for the propriety and reasonableness of expenditures, and for ensuring that expense reports of their subordinates are submitted promptly and that receipts and explanations properly support reported expenses. Covered Persons should ensure compliance with any Company guidelines and rules regarding travel and entertainment expenses.</w:t>
      </w:r>
    </w:p>
    <w:p>
      <w:pPr>
        <w:spacing w:after="0" w:line="172" w:lineRule="exact"/>
        <w:rPr>
          <w:sz w:val="20"/>
          <w:szCs w:val="20"/>
          <w:color w:val="auto"/>
        </w:rPr>
      </w:pPr>
    </w:p>
    <w:p>
      <w:pPr>
        <w:jc w:val="both"/>
        <w:ind w:firstLine="656"/>
        <w:spacing w:after="0" w:line="268" w:lineRule="auto"/>
        <w:tabs>
          <w:tab w:leader="none" w:pos="155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External Communications</w:t>
      </w:r>
      <w:r>
        <w:rPr>
          <w:rFonts w:ascii="Times New Roman" w:cs="Times New Roman" w:eastAsia="Times New Roman" w:hAnsi="Times New Roman"/>
          <w:sz w:val="18"/>
          <w:szCs w:val="18"/>
          <w:color w:val="auto"/>
        </w:rPr>
        <w:t>. Communications by Covered Persons to individuals, businesses and the media outside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online and social media posts) should not disclose confidential proprietary information or represent (or otherwise give the impression) that they are speaking on behalf of the Company unless authorized to do so by the Company.</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63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Accounting Standards and Documentation</w:t>
      </w:r>
      <w:r>
        <w:rPr>
          <w:rFonts w:ascii="Times New Roman" w:cs="Times New Roman" w:eastAsia="Times New Roman" w:hAnsi="Times New Roman"/>
          <w:sz w:val="18"/>
          <w:szCs w:val="18"/>
          <w:color w:val="auto"/>
        </w:rPr>
        <w:t>. It is the Company’s policy to comply with all applicable financial reporting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regulations. Accounts and records must be documented in a manner that clearly describes and identifies the true nature of business transactions, assets, liabilities or equity, and properly and timely classifies and records entries on the books of account in conformity with generally accepted accounting principles. No record, entry or document may be false, distorted, misleading, misdirected, deliberately incomplete or suppressed.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established internal control standards and procedures to ensure that assets are protected and properly used and that financial reports are accurate and reliable. Covered Persons share the responsibility for maintaining and complying with required internal controls.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employee, director or other person has concerns or complaints regarding accounting, internal accounting controls or auditing matters of the Company, then he or she should submit those concerns or complaints to the Chair of the Audit Committee of the Board of Directors of Innventure promptly through the Syntrio Lighthouse Employee Hotline and Anonymous Reporting System in accordance with Section 16 of this Policy.</w:t>
      </w:r>
    </w:p>
    <w:p>
      <w:pPr>
        <w:spacing w:after="0" w:line="172" w:lineRule="exact"/>
        <w:rPr>
          <w:sz w:val="20"/>
          <w:szCs w:val="20"/>
          <w:color w:val="auto"/>
        </w:rPr>
      </w:pPr>
    </w:p>
    <w:p>
      <w:pPr>
        <w:ind w:left="1340" w:hanging="684"/>
        <w:spacing w:after="0"/>
        <w:tabs>
          <w:tab w:leader="none" w:pos="1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Protection and Proper Use of Company Assets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8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Protecting Against Waste of Assets</w:t>
      </w:r>
      <w:r>
        <w:rPr>
          <w:rFonts w:ascii="Times New Roman" w:cs="Times New Roman" w:eastAsia="Times New Roman" w:hAnsi="Times New Roman"/>
          <w:sz w:val="18"/>
          <w:szCs w:val="18"/>
          <w:color w:val="auto"/>
        </w:rPr>
        <w:t>. Covered Persons must protect the Company’s assets and ensure their efficient use. Theft, loss, misuse, carelessness and waste of assets have a direct impact on the Company’s profitability. In general, all Company assets should be used only for legitimate business purposes. The Company may, in its discretion, request reimbursement for the direct costs associated with misuse or loss. Although the Company recognizes that limited personal use of Company assets may be appropriate, the Company’s intellectual and proprietary information, software applications, product plans, documentation of business systems and other business data are only to be used for authorized business purposes.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61"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Fraud Prevention</w:t>
      </w:r>
      <w:r>
        <w:rPr>
          <w:rFonts w:ascii="Times New Roman" w:cs="Times New Roman" w:eastAsia="Times New Roman" w:hAnsi="Times New Roman"/>
          <w:sz w:val="18"/>
          <w:szCs w:val="18"/>
          <w:color w:val="auto"/>
        </w:rPr>
        <w:t>. In addition, it is the Company’s policy to prevent fraud and maintain certain deterrents against the initiation of fraud, including theft, impairment or misrepresentation of an asset value, misrepresentation or concealment of liabilities, manipulation or misrepresentation of revenues or expenses, bribery, and violation of any state or federal law or regulation regarding theft, corruption, fraudulent claims, diversion or embezzlement. Fraud may include acts of concealment, such as omissions of entries and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jc w:val="both"/>
        <w:spacing w:after="0" w:line="258" w:lineRule="auto"/>
        <w:rPr>
          <w:sz w:val="20"/>
          <w:szCs w:val="20"/>
          <w:color w:val="auto"/>
        </w:rPr>
      </w:pPr>
      <w:r>
        <w:rPr>
          <w:rFonts w:ascii="Times New Roman" w:cs="Times New Roman" w:eastAsia="Times New Roman" w:hAnsi="Times New Roman"/>
          <w:sz w:val="18"/>
          <w:szCs w:val="18"/>
          <w:color w:val="auto"/>
        </w:rPr>
        <w:t>manipulation of documents (including forgery) or could involve collusion among individuals inside or outside of the Company. To deter such actions, the Company maintains the right “tone at the top” with a view that improper or fraudulent activity will not be tolerated. The Company will take the appropriate actions against any individual that commits or is in any way involved in an improper activity. The Company will maintain the proper segregation of duties pertaining to its internal control environment, and risk assessment procedures will include discussions surrounding opportunities for fraud. Internal reviews may be performed in various areas that have a greater propensity for fraud.</w:t>
      </w:r>
    </w:p>
    <w:p>
      <w:pPr>
        <w:spacing w:after="0" w:line="183" w:lineRule="exact"/>
        <w:rPr>
          <w:sz w:val="20"/>
          <w:szCs w:val="20"/>
          <w:color w:val="auto"/>
        </w:rPr>
      </w:pPr>
    </w:p>
    <w:p>
      <w:pPr>
        <w:jc w:val="both"/>
        <w:ind w:firstLine="1304"/>
        <w:spacing w:after="0" w:line="255" w:lineRule="auto"/>
        <w:tabs>
          <w:tab w:leader="none" w:pos="226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Protecting Intellectual Property</w:t>
      </w:r>
      <w:r>
        <w:rPr>
          <w:rFonts w:ascii="Times New Roman" w:cs="Times New Roman" w:eastAsia="Times New Roman" w:hAnsi="Times New Roman"/>
          <w:sz w:val="18"/>
          <w:szCs w:val="18"/>
          <w:color w:val="auto"/>
        </w:rPr>
        <w:t>. Intellectual property developed by the Company’s employees, consultants, independent contractors and agents during the course of their employment with the Company is a valuable corporate asset. All intellectual property, including all patentable inventions, any copyrightable subject matter, trade secrets, works of art, technical information, discoveries, inventions, writings or other creations that might normally be developed on a proprietary basis resulting from work, research or investigation conducted by the Company’s employees, consultants, independent contractors and agents on the Company’s time or with its facilities and equipment (whether or not reimbursed by the Company) are the property of the Company and will be assigned (and deemed immediately assigned upon creation, pending delivery of documents or instruments of assignment) to the Company or its designee.</w:t>
      </w:r>
    </w:p>
    <w:p>
      <w:pPr>
        <w:spacing w:after="0" w:line="184" w:lineRule="exact"/>
        <w:rPr>
          <w:rFonts w:ascii="Times New Roman" w:cs="Times New Roman" w:eastAsia="Times New Roman" w:hAnsi="Times New Roman"/>
          <w:sz w:val="18"/>
          <w:szCs w:val="18"/>
          <w:color w:val="auto"/>
        </w:rPr>
      </w:pPr>
    </w:p>
    <w:p>
      <w:pPr>
        <w:jc w:val="both"/>
        <w:ind w:firstLine="656"/>
        <w:spacing w:after="0" w:line="259" w:lineRule="auto"/>
        <w:tabs>
          <w:tab w:leader="none" w:pos="146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Corporate Opportunities</w:t>
      </w:r>
      <w:r>
        <w:rPr>
          <w:rFonts w:ascii="Times New Roman" w:cs="Times New Roman" w:eastAsia="Times New Roman" w:hAnsi="Times New Roman"/>
          <w:sz w:val="18"/>
          <w:szCs w:val="18"/>
          <w:color w:val="auto"/>
        </w:rPr>
        <w:t>. All Covered Persons owe a duty to the Company to advance the Company’s legitimate interests when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opportunity to do so arises. Covered Persons must not: (A) receive or seek to receive a benefit from opportunities that are discovered or developed through his or her involvement or employment with the Company (including, without limitation, his or her use of the Company’s property or information, or his or her position); (B) use corporate property or information, or his or her position for personal gain; or (C) compete with the Company, directly or indirectly, for business opportunities.</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151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and Reporting</w:t>
      </w:r>
      <w:r>
        <w:rPr>
          <w:rFonts w:ascii="Times New Roman" w:cs="Times New Roman" w:eastAsia="Times New Roman" w:hAnsi="Times New Roman"/>
          <w:sz w:val="18"/>
          <w:szCs w:val="18"/>
          <w:color w:val="auto"/>
        </w:rPr>
        <w:t>. Covered Persons are expected to comply with this Code and its underlying policies and procedures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 the Company and its Covered Persons from criticism, litigation or embarrassment that might result from alleged, perceived or real conflicts of interest or unethical practices. Violations of this Code are grounds for disciplinary action up to and including discharge and possible legal prosecution.</w:t>
      </w:r>
    </w:p>
    <w:p>
      <w:pPr>
        <w:spacing w:after="0" w:line="17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Each report of apparent violations of this Code is treated in a confidential manner, to the extent permitted by applicable law. Confidentiality, to the extent permitted by applicable law, is important to avoid damaging the reputations of persons suspected, but subsequently found innocent, of wrongful conduct and to protect the Company from potential civil liability. Covered Persons should not attempt to personally conduct investigations or interviews/interrogations related to any suspected illegal or unethical behavior or activity.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Covered Persons have a duty to report any violations of the Code, as well as violations of any laws, rules or regulations. Covered Persons should report apparent or potential violations to their immediate supervisor (if applicable) or to Innventure’s General Counsel. If a Covered Person prefers, he or she may report violations through the Syntrio Lighthouse Employee Hotline and Anonymous Reporting System (the “Hotline”). The Hotline is operated by an independent company not affiliated with Innventure and provides for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line="282" w:lineRule="auto"/>
        <w:rPr>
          <w:sz w:val="20"/>
          <w:szCs w:val="20"/>
          <w:color w:val="auto"/>
        </w:rPr>
      </w:pPr>
      <w:r>
        <w:rPr>
          <w:rFonts w:ascii="Times New Roman" w:cs="Times New Roman" w:eastAsia="Times New Roman" w:hAnsi="Times New Roman"/>
          <w:sz w:val="18"/>
          <w:szCs w:val="18"/>
          <w:color w:val="auto"/>
        </w:rPr>
        <w:t>confidential and anonymous reporting for Company Persons who desire to remain anonymous. To enable a proper review of a reported concern, one of the following key words should be using in making a report: Innventure, Accelsius or Aeroflexx. Concerns can be reported through the Hotline as follows:</w:t>
      </w:r>
    </w:p>
    <w:p>
      <w:pPr>
        <w:spacing w:after="0" w:line="162" w:lineRule="exact"/>
        <w:rPr>
          <w:sz w:val="20"/>
          <w:szCs w:val="20"/>
          <w:color w:val="auto"/>
        </w:rPr>
      </w:pPr>
    </w:p>
    <w:p>
      <w:pPr>
        <w:ind w:left="1300" w:right="2680" w:hanging="320"/>
        <w:spacing w:after="0" w:line="500" w:lineRule="auto"/>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 the following websites (using the specific website for the company to which the concern relates): o </w:t>
      </w:r>
      <w:r>
        <w:rPr>
          <w:rFonts w:ascii="Times New Roman" w:cs="Times New Roman" w:eastAsia="Times New Roman" w:hAnsi="Times New Roman"/>
          <w:sz w:val="18"/>
          <w:szCs w:val="18"/>
          <w:u w:val="single" w:color="auto"/>
          <w:color w:val="auto"/>
        </w:rPr>
        <w:t>https://report.syntrio.com/innventure</w:t>
      </w:r>
    </w:p>
    <w:p>
      <w:pPr>
        <w:spacing w:after="0" w:line="1" w:lineRule="exact"/>
        <w:rPr>
          <w:rFonts w:ascii="Times New Roman" w:cs="Times New Roman" w:eastAsia="Times New Roman" w:hAnsi="Times New Roman"/>
          <w:sz w:val="18"/>
          <w:szCs w:val="18"/>
          <w:color w:val="auto"/>
        </w:rPr>
      </w:pPr>
    </w:p>
    <w:p>
      <w:pPr>
        <w:jc w:val="both"/>
        <w:ind w:left="1300" w:right="70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u w:val="single" w:color="auto"/>
          <w:color w:val="auto"/>
        </w:rPr>
        <w:t>https://report.syntrio.com/accelsius</w:t>
      </w:r>
      <w:r>
        <w:rPr>
          <w:rFonts w:ascii="Times New Roman" w:cs="Times New Roman" w:eastAsia="Times New Roman" w:hAnsi="Times New Roman"/>
          <w:sz w:val="18"/>
          <w:szCs w:val="18"/>
          <w:color w:val="auto"/>
        </w:rPr>
        <w:t xml:space="preserve"> o </w:t>
      </w:r>
      <w:r>
        <w:rPr>
          <w:rFonts w:ascii="Times New Roman" w:cs="Times New Roman" w:eastAsia="Times New Roman" w:hAnsi="Times New Roman"/>
          <w:sz w:val="18"/>
          <w:szCs w:val="18"/>
          <w:u w:val="single" w:color="auto"/>
          <w:color w:val="auto"/>
        </w:rPr>
        <w:t>https://report.syntrio.com/aeroflexx</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 email at </w:t>
      </w:r>
      <w:r>
        <w:rPr>
          <w:rFonts w:ascii="Times New Roman" w:cs="Times New Roman" w:eastAsia="Times New Roman" w:hAnsi="Times New Roman"/>
          <w:sz w:val="18"/>
          <w:szCs w:val="18"/>
          <w:u w:val="single" w:color="auto"/>
          <w:color w:val="auto"/>
        </w:rPr>
        <w:t>reports@syntrio.com</w:t>
      </w:r>
      <w:r>
        <w:rPr>
          <w:rFonts w:ascii="Times New Roman" w:cs="Times New Roman" w:eastAsia="Times New Roman" w:hAnsi="Times New Roman"/>
          <w:sz w:val="18"/>
          <w:szCs w:val="18"/>
          <w:color w:val="auto"/>
        </w:rPr>
        <w:t xml:space="preserve"> (including the specific company name with the report)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toll-free telephone call:</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English-speaking USA and Canada: 866-729-7886</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Spanish-speaking USA and Canada: 800-216-1288</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Spanish-speaking Mexico: 800-681-5340</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an Anonymous Reporting App</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Detailed app instructions can be download </w:t>
      </w:r>
      <w:r>
        <w:rPr>
          <w:rFonts w:ascii="Times New Roman" w:cs="Times New Roman" w:eastAsia="Times New Roman" w:hAnsi="Times New Roman"/>
          <w:sz w:val="18"/>
          <w:szCs w:val="18"/>
          <w:u w:val="single" w:color="auto"/>
          <w:color w:val="auto"/>
        </w:rPr>
        <w:t>here</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Hotline is available 24 hours a day, 365 days of the year and, though not intended as a substitute for speaking directly to management, is an option that allows Covered Persons to report illegal or unethical behavior or activity confidentially and anonymously. Any Covered Person who makes an anonymous report should preserve his or her own record of the report in order to demonstrate compliance with the Code and any applicable corporate policy. The Company prohibits retaliation for any good-faith reports made in this regard, including threats of or actual withholding or withdrawal of pay, promotion, demotion, discipline, firing, salary reduction, negative evaluation, change in job assignment, lack of training or other employment opportunities, hostile behavior or attitudes toward a person who submits a complaint or violation in good faith. Anyone found to have engaged in retaliation will face appropriate disciplinary action.</w:t>
      </w:r>
    </w:p>
    <w:p>
      <w:pPr>
        <w:spacing w:after="0" w:line="185" w:lineRule="exact"/>
        <w:rPr>
          <w:sz w:val="20"/>
          <w:szCs w:val="20"/>
          <w:color w:val="auto"/>
        </w:rPr>
      </w:pPr>
    </w:p>
    <w:p>
      <w:pPr>
        <w:jc w:val="both"/>
        <w:ind w:firstLine="656"/>
        <w:spacing w:after="0" w:line="259" w:lineRule="auto"/>
        <w:tabs>
          <w:tab w:leader="none" w:pos="155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Waivers and Exceptions</w:t>
      </w:r>
      <w:r>
        <w:rPr>
          <w:rFonts w:ascii="Times New Roman" w:cs="Times New Roman" w:eastAsia="Times New Roman" w:hAnsi="Times New Roman"/>
          <w:sz w:val="18"/>
          <w:szCs w:val="18"/>
          <w:color w:val="auto"/>
        </w:rPr>
        <w:t>. Amendments, waivers or exceptions to this Code must conform with applicable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and be approved by Innventure’s Chief Financial Officer or General Counsel, or in the case of Innventure’s directors and executive officers, by Innventure’s Board of Directors or an authorized committee of Innventure’s Board of Directors. Amendments, waivers or exceptions will be approved or granted only after full disclosure of all material facts and, in the case of Innventure’s directors and executive officers, will be promptly disclosed to the extent required by law, regulation or listing standards.</w:t>
      </w:r>
    </w:p>
    <w:p>
      <w:pPr>
        <w:spacing w:after="0" w:line="179" w:lineRule="exact"/>
        <w:rPr>
          <w:rFonts w:ascii="Times New Roman" w:cs="Times New Roman" w:eastAsia="Times New Roman" w:hAnsi="Times New Roman"/>
          <w:sz w:val="18"/>
          <w:szCs w:val="18"/>
          <w:color w:val="auto"/>
        </w:rPr>
      </w:pPr>
    </w:p>
    <w:p>
      <w:pPr>
        <w:jc w:val="both"/>
        <w:ind w:firstLine="656"/>
        <w:spacing w:after="0" w:line="259" w:lineRule="auto"/>
        <w:tabs>
          <w:tab w:leader="none" w:pos="139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Policies</w:t>
      </w:r>
      <w:r>
        <w:rPr>
          <w:rFonts w:ascii="Times New Roman" w:cs="Times New Roman" w:eastAsia="Times New Roman" w:hAnsi="Times New Roman"/>
          <w:sz w:val="18"/>
          <w:szCs w:val="18"/>
          <w:color w:val="auto"/>
        </w:rPr>
        <w:t>. Nothing in this Code is intended to alter other legal rights and obligations of the Company or its Covered Persons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“at will” employment arrangements). This Code is not intended to be a comprehensive policy addressing every situation a Covered Person of the Company might encounter. Further, Innventure maintains a number of additional corporate policies, procedures and guidelines that outline more specific requirements applicable to certain situations. If a Covered Person encounters a situation that is not addressed by this Code and is uncertain whether it would be in compliance with this Code and Innventure’s policies, that Covered Person should seek guidance from Innventure’s General Counsel.</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16.1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read the statements made by Innventure, Inc. (formerly known as Learn SPAC HoldCo, Inc., which was previously a subsidiary of Learn CW Investment Corporation) under Item 4.01 of its Form 8-K dated October 8, 2024. We agree with the statements concerning our Firm in such Form 8-K; we are not in a position to agree or disagree with other statements of Innventure, Inc. contained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40" w:type="dxa"/>
            <w:vAlign w:val="bottom"/>
            <w:gridSpan w:val="2"/>
          </w:tcPr>
          <w:p>
            <w:pPr>
              <w:jc w:val="center"/>
              <w:ind w:right="3210"/>
              <w:spacing w:after="0"/>
              <w:rPr>
                <w:sz w:val="20"/>
                <w:szCs w:val="20"/>
                <w:color w:val="auto"/>
              </w:rPr>
            </w:pPr>
            <w:r>
              <w:rPr>
                <w:rFonts w:ascii="Times New Roman" w:cs="Times New Roman" w:eastAsia="Times New Roman" w:hAnsi="Times New Roman"/>
                <w:sz w:val="18"/>
                <w:szCs w:val="18"/>
                <w:b w:val="1"/>
                <w:bCs w:val="1"/>
                <w:color w:val="auto"/>
              </w:rPr>
              <w:t>LIST OF SUBSIDIARIES OF INNVENTURE, INC.</w:t>
            </w:r>
          </w:p>
        </w:tc>
      </w:tr>
      <w:tr>
        <w:trPr>
          <w:trHeight w:val="432"/>
        </w:trPr>
        <w:tc>
          <w:tcPr>
            <w:tcW w:w="3300" w:type="dxa"/>
            <w:vAlign w:val="bottom"/>
          </w:tcPr>
          <w:p>
            <w:pPr>
              <w:spacing w:after="0"/>
              <w:rPr>
                <w:sz w:val="24"/>
                <w:szCs w:val="24"/>
                <w:color w:val="auto"/>
              </w:rPr>
            </w:pPr>
          </w:p>
        </w:tc>
        <w:tc>
          <w:tcPr>
            <w:tcW w:w="7940" w:type="dxa"/>
            <w:vAlign w:val="bottom"/>
            <w:gridSpan w:val="2"/>
          </w:tcPr>
          <w:p>
            <w:pPr>
              <w:jc w:val="center"/>
              <w:ind w:right="3190"/>
              <w:spacing w:after="0"/>
              <w:rPr>
                <w:sz w:val="20"/>
                <w:szCs w:val="20"/>
                <w:color w:val="auto"/>
              </w:rPr>
            </w:pPr>
            <w:r>
              <w:rPr>
                <w:rFonts w:ascii="Times New Roman" w:cs="Times New Roman" w:eastAsia="Times New Roman" w:hAnsi="Times New Roman"/>
                <w:sz w:val="18"/>
                <w:szCs w:val="18"/>
                <w:b w:val="1"/>
                <w:bCs w:val="1"/>
                <w:color w:val="auto"/>
              </w:rPr>
              <w:t>(As of October 2, 2024)</w:t>
            </w:r>
          </w:p>
        </w:tc>
      </w:tr>
      <w:tr>
        <w:trPr>
          <w:trHeight w:val="223"/>
        </w:trPr>
        <w:tc>
          <w:tcPr>
            <w:tcW w:w="330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r>
      <w:tr>
        <w:trPr>
          <w:trHeight w:val="194"/>
        </w:trPr>
        <w:tc>
          <w:tcPr>
            <w:tcW w:w="3300" w:type="dxa"/>
            <w:vAlign w:val="bottom"/>
            <w:tcBorders>
              <w:left w:val="single" w:sz="8" w:color="auto"/>
            </w:tcBorders>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Subsidiary</w:t>
            </w:r>
          </w:p>
        </w:tc>
        <w:tc>
          <w:tcPr>
            <w:tcW w:w="426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of Jurisdiction of</w:t>
            </w:r>
          </w:p>
        </w:tc>
      </w:tr>
      <w:tr>
        <w:trPr>
          <w:trHeight w:val="245"/>
        </w:trPr>
        <w:tc>
          <w:tcPr>
            <w:tcW w:w="330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tcPr>
          <w:p>
            <w:pPr>
              <w:spacing w:after="0"/>
              <w:rPr>
                <w:sz w:val="21"/>
                <w:szCs w:val="21"/>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r>
      <w:tr>
        <w:trPr>
          <w:trHeight w:val="223"/>
        </w:trPr>
        <w:tc>
          <w:tcPr>
            <w:tcW w:w="3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Learn CW Investment Corporation</w:t>
            </w:r>
          </w:p>
        </w:tc>
        <w:tc>
          <w:tcPr>
            <w:tcW w:w="42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3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Innventure LLC</w:t>
            </w:r>
          </w:p>
        </w:tc>
        <w:tc>
          <w:tcPr>
            <w:tcW w:w="42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Innventure Management Services, LLC</w:t>
            </w:r>
          </w:p>
        </w:tc>
        <w:tc>
          <w:tcPr>
            <w:tcW w:w="42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Innventure GP LLC</w:t>
            </w:r>
          </w:p>
        </w:tc>
        <w:tc>
          <w:tcPr>
            <w:tcW w:w="42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AeroFlexx, LLC</w:t>
            </w:r>
          </w:p>
        </w:tc>
        <w:tc>
          <w:tcPr>
            <w:tcW w:w="42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AeroFlexx Packaging Company, LLC</w:t>
            </w:r>
          </w:p>
        </w:tc>
        <w:tc>
          <w:tcPr>
            <w:tcW w:w="42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Accelsius Holdings, LLC</w:t>
            </w:r>
          </w:p>
        </w:tc>
        <w:tc>
          <w:tcPr>
            <w:tcW w:w="42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Accelsisus LLC</w:t>
            </w:r>
          </w:p>
        </w:tc>
        <w:tc>
          <w:tcPr>
            <w:tcW w:w="42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520"/>
        </w:trPr>
        <w:tc>
          <w:tcPr>
            <w:tcW w:w="33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Defined terms included below shall have the same meaning as terms defined and included in this Current Report on Form 8-K (the “Form 8-K”) and, if not defined in the Form 8-K, the final proxy statement/consent solicitation statement/prospectus filed with the Securities and Exchange Commission (the “SEC”) on September 10, 2024 (the “Proxy Statement/Prospectus”). All amounts are reflected in thousands, except for per share amounts and unless otherwise specified.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Innventure, Inc., formerly Learn SPAC HoldCo, Inc., (“Holdco”) is providing the following unaudited pro forma condensed combined financial information to aid you in your analysis of the financial aspects of the Business Combination.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Learn CW Investment Corporation, (“Learn CW”) was a blank check company incorporated on February 21, 2021 as a Cayman Islands exempted company for the purpose of effecting a merger, share exchange, asset acquisition, share purchase, reorganization or similar business combination with one or more businesses. On October 13, 2021, Learn CW consummated its initial public offering (the “IPO”) of 23,000,000 units,which included the issuance of 3,000,000 units as a result of the underwriter’s full exercise of their over-allotment option (the “Units”), each Unit consisting of one Class A ordinary share of the Company, par value $0.0001 per share (the “Public Shares”) and one-half of one redeemable warrant of the Company (each, a “Public Warrant”), each whole Public Warrant entitling the holder thereof to purchase one Class A Ordinary Share for $11.50 per share, subject to adjustment. The Units were sold at a price of $10.00 per Unit, and the IPO generated gross proceeds of $230,000,000. Simultaneously with the closing of the IPO, Learn CW consummated a private placement (the “Private Placement”) with CWAM LC sponsor LLC, Learn CW’s sponsor, of an aggregate of 7,146,000 private placement warrants (the “Private Placement Warrants”) at a price of $1.00 per Private Placement Warrant, generating gross proceeds to the Company of $7,146,000. Following the closing of the IPO on October 13, 2021, a total of $230,000,000 ($10.00 per Public Unit) of the net proceeds from the IPO and the Private Placement were deposited in a trust account (the “Trust Account”) established for the benefit of the Company’s public stockholders at a U.S. based trust account.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11, 2023, Learn CW held an extraordinary general meeting of stockholders regarding the Extension Amendment Proposal, at which Learn CW shareholders approved the Extension Amendment. Approximately 59% of the Public Shares in the Trust were redeemed in connection with the Extension Amendment with a proportional reduction in the Trust Account after the satisfaction of such redemptions.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Holdco, (together with its subsidiaries, following the consummation of the Business Combination) founds, funds, and operates companies with a focus on transformative, sustainable technology solutions acquired or licensed from Multinational Corporations (“MNCs”). As owner-operators, Holdco takes what it believes to be breakthrough technologies from early evaluation to scaled commercialization utilizing an approach designed to help mitigate risk as it builds disruptive companies that it believes have the potential to achieve a target enterprise value of at least $1 billion. Holdco defines “disruptive” as innovations that have the ability to significantly change the way businesses, industries, markets and/or consumers operate. Holdco’s headquarters is located in Orlando, Florida.</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 Combination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24, 2023, Learn CW and Innventure, LLC, entered into a Business Combination Agreement, with Holdco, LCW Merger Sub, Inc., a direct, wholly-owned subsidiary of Holdco (“LCW Merger Sub”) and Innventure Merger Sub, LLC, a direct, wholly-owned subsidiary of Holdco (“Innventure Merger Sub”) and, together with LCW Merger Sub, the “Merger Subs”). On September 30, 2024, Learn CW held an extraordinary general meeting of its shareholders to, among other things, approve the Business Combination of Learn CW, Legacy Innventure, and Holdco, pursuant to the transactions contemplated by the Business Combination Agreement. On October 2, 2024, Learn CW and Innventure, LLC consummated the Business Combination. Following the closing of the Business Combination, each of Learn CW and Innventure, LLC became a subsidiary of Holdco, Holdco became a publicly traded company, and Holdco changed its name to “Innventure, Inc.” (“INV”).</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aggregate consideration (the “Merger Consideration”) paid to the holders of Innventure, LLC’s outstanding equity and profits interests and warrants, other than the Class PCTA Units and the Class I Units (such holders, the “Innventure Members”), at the Closing consists of a number of shares of Holdco Common Stock equal to (i) (A) $435 million minus (B) the outstanding indebtedness as of the Closing (not including Indebtedness from any Additional Financing (terms used as defined in the Business Combination Agreement)) plus (C) cash and cash equivalents (not including cash from any Additional Financing) held by Innventure, LLC and its direct and indirect subsidiaries (“Legacy Innventure”) as of the Closing, divided by (ii) $10.00. A portion of the aggregate Merger Consideration also included right to receive certain Company Earnout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Treatment of the Business Combination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Business Combination has been accounted for as a reverse recapitalization. Under this method of accounting, Learn CW has been treated as the “acquired” company for financial reporting purposes. This determination is based on the fact that subsequent to the Business Combination:</w:t>
      </w:r>
    </w:p>
    <w:p>
      <w:pPr>
        <w:ind w:left="1460" w:hanging="480"/>
        <w:spacing w:after="0"/>
        <w:tabs>
          <w:tab w:leader="none" w:pos="14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 equity holders have a majority of the voting power of Innventure,</w:t>
      </w:r>
    </w:p>
    <w:p>
      <w:pPr>
        <w:spacing w:after="0" w:line="9"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 comprises all of the ongoing operations of Innventure,</w:t>
      </w:r>
    </w:p>
    <w:p>
      <w:pPr>
        <w:spacing w:after="0" w:line="9"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 has appointed a majority of the governing body of Innventure, and</w:t>
      </w:r>
    </w:p>
    <w:p>
      <w:pPr>
        <w:spacing w:after="0" w:line="9"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Innventure’s senior management comprises all of the senior management of Innventure.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Accordingly, the consolidated assets, liabilities and results of operations of Legacy Innventure have now become the historical financial statements of the combined entity; the assets, liabilities and results of operations of Learn CW were consolidated with Legacy Innventure beginning on the Closing Date. For accounting purposes, the financial statements of the combined entity represent a continuation of the financial statements of Legacy Innventure. The net assets of Learn CW are stated at historical costs, with no goodwill or other intangible assets recorded.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Pro Forma Presentation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2024 gives pro forma effect to the Business Combination as if it had been consummated as of June 30, 2024. The unaudited pro forma condensed combined statements of operations for the six months ended June 30, 2024 and for the year ended December 31, 2023 give pro forma effect to the Business Combination as if it had been consummated as of January 1, 2023, the beginning of the earliest period presented. The unaudited pro forma condensed combined financial information should be read in conjunction with:</w:t>
      </w:r>
    </w:p>
    <w:p>
      <w:pPr>
        <w:spacing w:after="0" w:line="180" w:lineRule="exact"/>
        <w:rPr>
          <w:sz w:val="20"/>
          <w:szCs w:val="20"/>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Legacy Innventure and the historical audited financial statements of Learn CW as of and for the year ended December 31, 2023, included in the Proxy Statement/Prospectus;</w:t>
      </w:r>
    </w:p>
    <w:p>
      <w:pPr>
        <w:ind w:left="660" w:hanging="328"/>
        <w:spacing w:after="0" w:line="250"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Legacy Innventure and the historical unaudited condensed financial statements of Learn CW as of and for the six months ended June 30, 2024, included in the Proxy Statement/Prospectus;</w:t>
      </w:r>
    </w:p>
    <w:p>
      <w:pPr>
        <w:ind w:left="660" w:hanging="328"/>
        <w:spacing w:after="0" w:line="250"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entitled “</w:t>
      </w:r>
      <w:r>
        <w:rPr>
          <w:rFonts w:ascii="Times New Roman" w:cs="Times New Roman" w:eastAsia="Times New Roman" w:hAnsi="Times New Roman"/>
          <w:sz w:val="18"/>
          <w:szCs w:val="18"/>
          <w:i w:val="1"/>
          <w:iCs w:val="1"/>
          <w:color w:val="auto"/>
        </w:rPr>
        <w:t>Learn CW Management’s Discussion and Analysis of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 of Innventure</w:t>
      </w:r>
      <w:r>
        <w:rPr>
          <w:rFonts w:ascii="Times New Roman" w:cs="Times New Roman" w:eastAsia="Times New Roman" w:hAnsi="Times New Roman"/>
          <w:sz w:val="18"/>
          <w:szCs w:val="18"/>
          <w:color w:val="auto"/>
        </w:rPr>
        <w:t>” included in the Proxy Statement/Prospectus; and</w:t>
      </w: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 Proposal No. 1—The Business Combination Proposal,</w:t>
      </w:r>
      <w:r>
        <w:rPr>
          <w:rFonts w:ascii="Times New Roman" w:cs="Times New Roman" w:eastAsia="Times New Roman" w:hAnsi="Times New Roman"/>
          <w:sz w:val="18"/>
          <w:szCs w:val="18"/>
          <w:color w:val="auto"/>
        </w:rPr>
        <w:t>” and other financial information included in the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1" w:name="page182"/>
    <w:bookmarkEnd w:id="181"/>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to illustrate the estimated effects of the Business Combination. It sets forth and is derived from:</w:t>
      </w:r>
    </w:p>
    <w:p>
      <w:pPr>
        <w:spacing w:after="0" w:line="162" w:lineRule="exact"/>
        <w:rPr>
          <w:sz w:val="20"/>
          <w:szCs w:val="20"/>
          <w:color w:val="auto"/>
        </w:rPr>
      </w:pPr>
    </w:p>
    <w:p>
      <w:pPr>
        <w:jc w:val="both"/>
        <w:ind w:left="660" w:hanging="328"/>
        <w:spacing w:after="0" w:line="257"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Innventure’s historical unaudited condensed consolidated financial statements as of and for the six months ended June 30, 2024, and Legacy Innventure’s historical audited consolidated financial statements as of and for the year ended December 31, 2023, as included in the Proxy Statement/Prospectus, respectively;</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Learn CW’s historical unaudited condensed financial statements as of and for the six months ended June 30, 2024, and Learn CW’s historical audited financial statements as of and for the year ended December 31, 2023, as included in the Proxy Statement/Prospectus, respectively;</w:t>
      </w:r>
    </w:p>
    <w:p>
      <w:pPr>
        <w:ind w:left="660" w:hanging="328"/>
        <w:spacing w:after="0" w:line="250"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transaction accounting adjustments to give effect to the Business Combination on the unaudited condensed combined balance sheet as of June 30, 2024, as if the Business Combination closed on June 30, 2024; and</w:t>
      </w:r>
    </w:p>
    <w:p>
      <w:pPr>
        <w:ind w:left="660" w:right="20" w:hanging="328"/>
        <w:spacing w:after="0" w:line="260"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adjustments to give effect to the Business Combination on the unaudited condensed combined statement of operations for the year ended December 31, 2023 and for the six months ended June 30, 2024, as if the Business Combination closed on January 1, 2023.</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summarizes the number of Holdco Common Shares outstanding following the consummation of the Business Combination: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capitalization at Closing</w:t>
            </w:r>
          </w:p>
        </w:tc>
        <w:tc>
          <w:tcPr>
            <w:tcW w:w="100" w:type="dxa"/>
            <w:vAlign w:val="bottom"/>
          </w:tcPr>
          <w:p>
            <w:pPr>
              <w:spacing w:after="0"/>
              <w:rPr>
                <w:sz w:val="21"/>
                <w:szCs w:val="21"/>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221E20"/>
              </w:rPr>
              <w:t>Shares</w:t>
            </w: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221E20"/>
              </w:rPr>
              <w:t>%</w:t>
            </w:r>
          </w:p>
        </w:tc>
      </w:tr>
      <w:tr>
        <w:trPr>
          <w:trHeight w:val="216"/>
        </w:trPr>
        <w:tc>
          <w:tcPr>
            <w:tcW w:w="8520" w:type="dxa"/>
            <w:vAlign w:val="bottom"/>
            <w:tcBorders>
              <w:top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Innventure Members</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38,494,999</w:t>
            </w:r>
          </w:p>
        </w:tc>
        <w:tc>
          <w:tcPr>
            <w:tcW w:w="22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Learn CW public shareholders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1,027,674</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Learn CW Sponsor</w:t>
            </w:r>
            <w:r>
              <w:rPr>
                <w:rFonts w:ascii="Times New Roman" w:cs="Times New Roman" w:eastAsia="Times New Roman" w:hAnsi="Times New Roman"/>
                <w:sz w:val="25"/>
                <w:szCs w:val="25"/>
                <w:color w:val="auto"/>
                <w:vertAlign w:val="superscript"/>
              </w:rPr>
              <w:t>(2)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4,880,000</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Learn CW independent directors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8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Sundry investors</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shares of Holdco Common Stock outstanding at closing of the Transactions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44,602,673</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8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right="20" w:hanging="652"/>
        <w:spacing w:after="0" w:line="266"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38,494,999 shares of Holdco Common Stock issued at the Closing as the Merger Consideration. This excludes issuance of up to 5,000,000 Company Earnout Shares because at Closing none of the Milestones were achieved and therefore, considered a liability of Innventure and not an equity interest at Closing.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forfeiture of: (i) 750,000 Learn CW Class B Ordinary Shares pursuant to the Sponsor Support Agreement across all scenarios presented; and excludes 344,866 Sponsor Earnout Shares that the Sponsors received at Closing, subject to transfer restrictions and potential forfeit if the Milestones are not achieved within seven years because this interest is considered a liability to the Sponsor and not an equity interest at Closing.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purport to project the future financial position or operating results of Holdco following the Business Combination. The unaudited pro forma adjustments represent management’s estimates based on information currently available as of the date of these unaudited pro forma condensed combined financial statements and are subject to change as additional information becomes available and analyses are performed. The assumptions and estimates underlying the unaudited pro forma adjustments are described in the accompanying notes. Actual results may differ materially from the assumptions used, including in respect of the matters further described in Note 1 hereto, to present the unaudited pro forma condensed combined financial information. Legacy Innventure and Learn CW have not had any historical relationship prior to the Business Combination. Accordingly, no pro forma adjustments were required to eliminate activities between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Innventure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Learn CW</w:t>
            </w: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a, b, h, i, j, k,</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21,156</w:t>
            </w:r>
          </w:p>
        </w:tc>
        <w:tc>
          <w:tcPr>
            <w:tcW w:w="1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23,442</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1,964</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662</w:t>
            </w:r>
          </w:p>
        </w:tc>
      </w:tr>
      <w:tr>
        <w:trPr>
          <w:trHeight w:val="223"/>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7,681</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21,056</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33,749</w:t>
            </w: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101,593</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(101,593)</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17,925</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1,274</w:t>
            </w:r>
          </w:p>
        </w:tc>
      </w:tr>
      <w:tr>
        <w:trPr>
          <w:trHeight w:val="22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102,065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(80,537)</w:t>
            </w:r>
          </w:p>
        </w:tc>
        <w:tc>
          <w:tcPr>
            <w:tcW w:w="11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53,920</w:t>
            </w:r>
          </w:p>
        </w:tc>
      </w:tr>
      <w:tr>
        <w:trPr>
          <w:trHeight w:val="20"/>
        </w:trPr>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Unitholders’ Capital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(7,160)</w:t>
            </w:r>
          </w:p>
        </w:tc>
        <w:tc>
          <w:tcPr>
            <w:tcW w:w="1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4,108</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6,582</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(710)</w:t>
            </w:r>
          </w:p>
        </w:tc>
        <w:tc>
          <w:tcPr>
            <w:tcW w:w="1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notes payable - current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13,000</w:t>
            </w:r>
          </w:p>
        </w:tc>
        <w:tc>
          <w:tcPr>
            <w:tcW w:w="1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14,000</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 current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772</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 installment payable - current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525</w:t>
            </w:r>
          </w:p>
        </w:tc>
      </w:tr>
      <w:tr>
        <w:trPr>
          <w:trHeight w:val="223"/>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(587)</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27,780</w:t>
            </w: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 net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 due to related party, net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(3,800)</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58,099</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58,099</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installment payable, net of current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13,075</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(1,725)</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1,072</w:t>
            </w:r>
          </w:p>
        </w:tc>
      </w:tr>
      <w:tr>
        <w:trPr>
          <w:trHeight w:val="22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15,202</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57,117</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101,006</w:t>
            </w:r>
          </w:p>
        </w:tc>
      </w:tr>
      <w:tr>
        <w:trPr>
          <w:trHeight w:val="20"/>
        </w:trPr>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Capital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4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23,000,000 shares at redemption</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101,593</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(101,593)</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c</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non-controlling Interest - Class I Units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4,126</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non-controlling Interest - Class PCTA Units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11,281</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Unitholders' Deficit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Holdco Common Stock</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 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Holdco Series B Preferred Stock</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10,579</w:t>
            </w:r>
          </w:p>
        </w:tc>
        <w:tc>
          <w:tcPr>
            <w:tcW w:w="1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 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10,579</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Preferred Units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(48,540)</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B-1 Preferred Units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(3,323)</w:t>
            </w:r>
          </w:p>
        </w:tc>
        <w:tc>
          <w:tcPr>
            <w:tcW w:w="1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Units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(1,950)</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C Units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(940)</w:t>
            </w:r>
          </w:p>
        </w:tc>
        <w:tc>
          <w:tcPr>
            <w:tcW w:w="1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authorized; none issued or outstanding</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200,000,000</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shares authorized; None issued and outstanding (excluding</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4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9,338,421 shares subject to possible redemption)</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20,000,000</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 authorized; 5,750,000 shares issued and outstanding</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 d, e, f, g, h,</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(14,731)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4,933</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 e, j, 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(91,366)</w:t>
            </w:r>
          </w:p>
        </w:tc>
      </w:tr>
      <w:tr>
        <w:trPr>
          <w:trHeight w:val="223"/>
        </w:trPr>
        <w:tc>
          <w:tcPr>
            <w:tcW w:w="4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15,113</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Unitholders’ Deficit</w:t>
            </w:r>
          </w:p>
        </w:tc>
        <w:tc>
          <w:tcPr>
            <w:tcW w:w="1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(14,730)</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(36,061)</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(62,493)</w:t>
            </w:r>
          </w:p>
        </w:tc>
      </w:tr>
      <w:tr>
        <w:trPr>
          <w:trHeight w:val="194"/>
        </w:trPr>
        <w:tc>
          <w:tcPr>
            <w:tcW w:w="4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Mezzanine Capital, and Unitholders'</w:t>
            </w: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5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32,392</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102,065</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(80,537)</w:t>
            </w:r>
          </w:p>
        </w:tc>
        <w:tc>
          <w:tcPr>
            <w:tcW w:w="11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53,920</w:t>
            </w:r>
          </w:p>
        </w:tc>
      </w:tr>
      <w:tr>
        <w:trPr>
          <w:trHeight w:val="20"/>
        </w:trPr>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7" w:right="339" w:bottom="1115" w:gutter="0" w:footer="0" w:header="0"/>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115" w:gutter="0" w:footer="0" w:header="0"/>
          <w:type w:val="continuous"/>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Transaction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Innventure</w:t>
            </w: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Learn</w:t>
            </w:r>
          </w:p>
        </w:tc>
        <w:tc>
          <w:tcPr>
            <w:tcW w:w="10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fee income - related party</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w:t>
            </w:r>
          </w:p>
        </w:tc>
      </w:tr>
      <w:tr>
        <w:trPr>
          <w:trHeight w:val="22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Consulting revenue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14,794</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aa</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38,587</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3,205</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4,001</w:t>
            </w:r>
          </w:p>
        </w:tc>
      </w:tr>
      <w:tr>
        <w:trPr>
          <w:trHeight w:val="27"/>
        </w:trPr>
        <w:tc>
          <w:tcPr>
            <w:tcW w:w="5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6,204</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14,794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45,793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(23,678)</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(44,676)</w:t>
            </w: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 operating (Expense)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(1,869) ff</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(3,093)</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8,809</w:t>
            </w:r>
          </w:p>
        </w:tc>
        <w:tc>
          <w:tcPr>
            <w:tcW w:w="100" w:type="dxa"/>
            <w:vAlign w:val="bottom"/>
          </w:tcPr>
          <w:p>
            <w:pPr>
              <w:spacing w:after="0"/>
              <w:rPr>
                <w:sz w:val="18"/>
                <w:szCs w:val="18"/>
                <w:color w:val="auto"/>
              </w:rPr>
            </w:pPr>
          </w:p>
        </w:tc>
        <w:tc>
          <w:tcPr>
            <w:tcW w:w="15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(8,809) bb</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on investments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(6,448)</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 on investments – related parties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embedded derivative liability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of deferred underwriting fees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8"/>
                <w:szCs w:val="18"/>
                <w:color w:val="auto"/>
              </w:rPr>
            </w:pPr>
          </w:p>
        </w:tc>
        <w:tc>
          <w:tcPr>
            <w:tcW w:w="15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(556) dd</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(460) cc</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r>
      <w:tr>
        <w:trPr>
          <w:trHeight w:val="22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Non-operating (Expense) Income</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(7,306)</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(11,694)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(8,889)</w:t>
            </w:r>
          </w:p>
        </w:tc>
        <w:tc>
          <w:tcPr>
            <w:tcW w:w="100" w:type="dxa"/>
            <w:vAlign w:val="bottom"/>
            <w:shd w:val="clear" w:color="auto" w:fill="CCEEFF"/>
          </w:tcPr>
          <w:p>
            <w:pPr>
              <w:spacing w:after="0"/>
              <w:rPr>
                <w:sz w:val="18"/>
                <w:szCs w:val="18"/>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(30,984)</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(26,488)</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(5,366) ee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(5,505)</w:t>
            </w:r>
          </w:p>
        </w:tc>
      </w:tr>
      <w:tr>
        <w:trPr>
          <w:trHeight w:val="223"/>
        </w:trPr>
        <w:tc>
          <w:tcPr>
            <w:tcW w:w="584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2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r>
      <w:tr>
        <w:trPr>
          <w:trHeight w:val="25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controlling interests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(30,845)</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(21,122)</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(48,060)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per share (Note 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 per share, Class A ordinary shares/common stock</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A ordinary shares/common stock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23,000,000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21,602,673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44,602,673</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 per share, Class B ordinary shares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B ordinary shares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(5,750,000)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9560" w:type="dxa"/>
            <w:vAlign w:val="bottom"/>
            <w:gridSpan w:val="11"/>
          </w:tcPr>
          <w:p>
            <w:pPr>
              <w:ind w:left="216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5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Transaction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Innventure</w:t>
            </w:r>
          </w:p>
        </w:tc>
        <w:tc>
          <w:tcPr>
            <w:tcW w:w="100" w:type="dxa"/>
            <w:vAlign w:val="bottom"/>
          </w:tcPr>
          <w:p>
            <w:pPr>
              <w:spacing w:after="0"/>
              <w:rPr>
                <w:sz w:val="18"/>
                <w:szCs w:val="18"/>
                <w:color w:val="auto"/>
              </w:rPr>
            </w:pPr>
          </w:p>
        </w:tc>
        <w:tc>
          <w:tcPr>
            <w:tcW w:w="9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Learn</w:t>
            </w:r>
          </w:p>
        </w:tc>
        <w:tc>
          <w:tcPr>
            <w:tcW w:w="10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6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6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fee income - related parties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r>
      <w:tr>
        <w:trPr>
          <w:trHeight w:val="27"/>
        </w:trPr>
        <w:tc>
          <w:tcPr>
            <w:tcW w:w="60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16,283</w:t>
            </w:r>
          </w:p>
        </w:tc>
        <w:tc>
          <w:tcPr>
            <w:tcW w:w="10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19,211</w:t>
            </w:r>
          </w:p>
        </w:tc>
      </w:tr>
      <w:tr>
        <w:trPr>
          <w:trHeight w:val="216"/>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2,549</w:t>
            </w:r>
          </w:p>
        </w:tc>
      </w:tr>
      <w:tr>
        <w:trPr>
          <w:trHeight w:val="223"/>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3,433</w:t>
            </w:r>
          </w:p>
        </w:tc>
      </w:tr>
      <w:tr>
        <w:trPr>
          <w:trHeight w:val="223"/>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22,265</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(21,818)</w:t>
            </w:r>
          </w:p>
        </w:tc>
        <w:tc>
          <w:tcPr>
            <w:tcW w:w="10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(2,928)</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(24,746)</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operating (Expense) Income</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(935) ii</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(1,383)</w:t>
            </w:r>
          </w:p>
        </w:tc>
      </w:tr>
      <w:tr>
        <w:trPr>
          <w:trHeight w:val="216"/>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w:t>
            </w: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gain on investments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4,399</w:t>
            </w:r>
          </w:p>
        </w:tc>
      </w:tr>
      <w:tr>
        <w:trPr>
          <w:trHeight w:val="216"/>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gain on investments – due to related parties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embedded derivative liability</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deferred underwriting fees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1,495</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gg</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(929)</w:t>
            </w:r>
          </w:p>
        </w:tc>
      </w:tr>
      <w:tr>
        <w:trPr>
          <w:trHeight w:val="216"/>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 investment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784</w:t>
            </w:r>
          </w:p>
        </w:tc>
      </w:tr>
      <w:tr>
        <w:trPr>
          <w:trHeight w:val="223"/>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(1,119)</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Non-operating (Expense) Income</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2,978</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1,752</w:t>
            </w:r>
          </w:p>
        </w:tc>
        <w:tc>
          <w:tcPr>
            <w:tcW w:w="100" w:type="dxa"/>
            <w:vAlign w:val="bottom"/>
            <w:shd w:val="clear" w:color="auto" w:fill="CCEEFF"/>
          </w:tcPr>
          <w:p>
            <w:pPr>
              <w:spacing w:after="0"/>
              <w:rPr>
                <w:sz w:val="18"/>
                <w:szCs w:val="18"/>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(18,840)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(6,333)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4,777</w:t>
            </w: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hh</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(1,556)</w:t>
            </w:r>
          </w:p>
        </w:tc>
      </w:tr>
      <w:tr>
        <w:trPr>
          <w:trHeight w:val="223"/>
        </w:trPr>
        <w:tc>
          <w:tcPr>
            <w:tcW w:w="6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r>
      <w:tr>
        <w:trPr>
          <w:trHeight w:val="256"/>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controlling interests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(12,507)</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(4,217)</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(21,438)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per share (Note 2)</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 per share, Class A ordinary shares/common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(0.49)</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A ordinary shares/common stock</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9"/>
              </w:rPr>
              <w:t>9,338,422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35,264,251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44,602,673</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 per share, Class B ordinary shares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B ordinary shares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9"/>
              </w:rPr>
              <w:t>5,750,000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(5,750,000)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9560" w:type="dxa"/>
            <w:vAlign w:val="bottom"/>
            <w:gridSpan w:val="10"/>
          </w:tcPr>
          <w:p>
            <w:pPr>
              <w:ind w:left="216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6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color w:val="auto"/>
        </w:rPr>
        <w:t>NOTES TO UNAUDITED PRO FORMA COMBINED FINANCIAL STATEMENTS</w:t>
      </w:r>
    </w:p>
    <w:p>
      <w:pPr>
        <w:spacing w:after="0" w:line="225" w:lineRule="exact"/>
        <w:rPr>
          <w:sz w:val="20"/>
          <w:szCs w:val="20"/>
          <w:color w:val="auto"/>
        </w:rPr>
      </w:pPr>
    </w:p>
    <w:p>
      <w:pPr>
        <w:ind w:left="600" w:hanging="592"/>
        <w:spacing w:after="0"/>
        <w:tabs>
          <w:tab w:leader="none" w:pos="60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Financial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and is not necessarily indicative of the operating results and financial position that would have been achieved had the business combination occurred on the dates indicated.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Holdco has elected not to present management adjustments and will only be presenting transaction accounting adjustments in the accompanying unaudited pro forma condensed combined financial information. There are no autonomous entity adjustments required because Legacy Innventure existed autonomously prior to the Business Combination. The historical financial information has been adjusted to reflect the pro forma adjustments that are directly attributable to the Business Combination.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 forma combined provision for income taxes does not necessarily reflect the amounts that would have resulted had the post-combination company filed consolidated income tax returns during the periods presented. The pro forma basic and diluted earnings per share amounts presented in the unaudited pro forma condensed combined statement of operations are based upon the weighted average number of Holdco shares outstanding for the year ended December 31, 2023 and for the six months ended June 30, 2024, assuming the business combination occurred on January 1, 2023.</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Transactions allowed Learn CW Public Warrants to be reclassified to equity. As such, the Learn CW Public Warrants were remeasured at fair value at closing and transferred at that value to equity. The equity classified public warrants will not be subject to subsequent remeasurement.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Balance Sheet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adjustments included in the unaudited pro forma condensed combined balance sheet as of June 30, 2024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Accounting Adjustments:</w:t>
      </w:r>
    </w:p>
    <w:p>
      <w:pPr>
        <w:spacing w:after="0" w:line="225" w:lineRule="exact"/>
        <w:rPr>
          <w:sz w:val="20"/>
          <w:szCs w:val="20"/>
          <w:color w:val="auto"/>
        </w:rPr>
      </w:pPr>
    </w:p>
    <w:p>
      <w:pPr>
        <w:ind w:left="660" w:hanging="328"/>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and reclassification of $11,342 of funds held in the Trust Account to cash that became available following the Business Combination together with the redemption by shareholders of their Class A common stock in exchange for $90,701 in cash.</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incremental transaction costs incurred by Holdco of approximately $6,717 (increasing accumulated deficit), the reclassification of accrued transaction costs and accounts payable amounting to $710 and $7,160, respectively, that were paid upon Closing and the reclassification of prepaid expenses - transaction costs amounting to $100 and the reclassification of other current liabilities (deferred credits for transaction costs) amounting to $587. The net reduction in cash of this adjustment was $15,074.</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approximately $10,892 of shares of Learn CW’s Class A ordinary shares subject to possible redemption to permanent equity (Holdco Common Stock of $1 and Additional paid-in capital of $10,891).</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recapitalization of $54,754 of Innventure Units, the issuance of 43,494,999 shares of Holdco Common Stock to Innventure Unitholders as consideration for the reverse recapitalization and the conversion of Learn CW’s Class B ordinary shares to Holdco Common Stock (together $5) with a net increase of $54,749 in Additional paid-in capital.</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Learn CW historical accumulated deficit of $14,731 by reducing Additional paid-in capital upon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6" w:name="page187"/>
    <w:bookmarkEnd w:id="186"/>
    <w:p>
      <w:pPr>
        <w:jc w:val="both"/>
        <w:ind w:left="660" w:hanging="328"/>
        <w:spacing w:after="0" w:line="254"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fair value of (i) Company Earnout Shares contingently issuable to the Innventure Members at Closing and (ii) Sponsor Earnout Shares that are issued at Closing but subject to the same earnout contingencies; and reflected as a liability with a corresponding decrease in Additional paid-in capital. The preliminary fair value of $58,099 was determined based on the closing stock price of LCW on October 2, 2024. A Monte Carlo simulation was completed which approximated the closing stock price because the probability that the contingencies will be resolved is considered to be virtually certain. The fair values of the Company Earnout Shares and the Sponsor Earnout Shares are subject to change as additional information becomes available and additional analyses are performed. Such changes could be material once the final valuation is determined at the closing of the Business Combination. Subsequent changes in the fair value of the earnout liability will flow through the consolidated statement of operations until contingencies are resolved and shares are issued and the liability is transferred at its final fair value to equity.</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of $1,725 to account for reclassification of Learn CW Public Warrants from liabilities to stockholders’ equity thereby increasing Additional paid-in capital.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additional cash deposited of $6,559 through September 30, 2024 and the issuance of Class A Preferred Units of Accelsius in the amount of $3,175 (reflected as an increase in Non-controlling interest) and Class B Preferred Units of Innventure in the amount of $3,384 (reflected as an increase in Additional paid-in capital), subsequent to June 30, 2024. Also reflects additional cash deposited at Closing of $11,020 for the issuance of Holdco Series B Preferred Shares.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repayment of the Learn CW Convertible Promissory Note due to the Sponsor which becomes repayable at Closing in the amount of $3,800.</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effect of the execution on August 20, 2024 and August 22, 2024 of two unsecured short-term promissory note with related parties for $10,000 plus a $1,000 loan fee and $2,000 plus interest at 11.5%, respectively. Later on October 1, 2024, terms of both these notes were restated with one note consisting of a principal amount of $10,000 plus interest at 15.99% and the other note consisting of $1,000 plus interest of 13.5% interest. Both notes are repayable on January 31, 2025.</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transfer of $450 from cash to the Learn CW Trust Account after June 30, 2024 that was required to be deposited into the Trust Account to extend the period of time Learn CW has to consummate a business combination.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equity issuance costs paid at Closing in the amount of $441.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negative Additional paid-in capital balance of $2,081 to accumulated deficit.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Statements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Holdco did not pay the one time anticipated cash award at Closing in the amount of $2,800 because given the level of redemptions and continuing need for cash the Company has deferred and potentially may cancel these payments. As such the potential cash award is is no longer recognized as a pro forma adjustment. Furthermore, at Closing Holdco had not yet undertaken compensation studies to decide upon the appropriate executive compensation package which may include some element of stock-based compensation. Therefore, no pro forma adjustment has been recorded.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 forma adjustments included in the unaudited pro forma condensed combined statements of operations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are as follows:</w:t>
      </w:r>
    </w:p>
    <w:p>
      <w:pPr>
        <w:spacing w:after="0" w:line="207" w:lineRule="exact"/>
        <w:rPr>
          <w:sz w:val="20"/>
          <w:szCs w:val="20"/>
          <w:color w:val="auto"/>
        </w:rPr>
      </w:pPr>
    </w:p>
    <w:p>
      <w:pPr>
        <w:ind w:left="660" w:hanging="328"/>
        <w:spacing w:after="0" w:line="282"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incremental transaction costs incurred by Holdco of approximately $14,794 as if incurred on January 1, 2023, the date the Business Combination occurred for the purposes of the unaudited pro forma condensed combined statement of operations. This is a non-recurring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elimination of investment income and unrealized loss on investments held in the Trust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fair value movements related to the reclassification of Learn CW Public Warrants from liability to equity classification.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the gain on settlement of deferred underwriting fees following the resignation of the underwriters from their role in the Business Combination and their agreement to waive their deferred underwriting fees.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allocation of income loss to Class PCTA and Class I units in form of net income to non-controlling interests as these units will be present in the combined entity post business combination. The amount allocated to these units is based on the amount accreted during the period for the portions of business related to these units.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interest expense related to debt financing raised in the form of unsecured promissory notes as described in adjustment (j) above. Interest is calculated, assuming the notes were outstanding from January 1, 2023, based on the interest rate and principal amounts applicable on the final date, (after the restatement of both notes).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 forma adjustments included in the unaudited pro forma condensed combined statement of operations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are as follows:</w:t>
      </w:r>
    </w:p>
    <w:p>
      <w:pPr>
        <w:spacing w:after="0" w:line="207" w:lineRule="exact"/>
        <w:rPr>
          <w:sz w:val="20"/>
          <w:szCs w:val="20"/>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fair value movements related to the reclassification of Learn CW Public Warrants from liability to equity classification.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allocation of income loss to Class PCTA and Class I units in form of net income to non-controlling interests as these units will be present in the combined entity post business combination. The amount allocated to these units is based on the amount accreted during the period for the portions of business related to these units.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interest expense related to debt financing raised in the form of unsecured promissory notes as described in adjustment (j) above. Interest is calculated, assuming the notes were outstanding from January 1, 2024, based on the interest rate and principal amounts applicable on the final date, (after the restatement of both notes).</w:t>
      </w:r>
    </w:p>
    <w:p>
      <w:pPr>
        <w:spacing w:after="0" w:line="172" w:lineRule="exact"/>
        <w:rPr>
          <w:sz w:val="20"/>
          <w:szCs w:val="20"/>
          <w:color w:val="auto"/>
        </w:rPr>
      </w:pPr>
    </w:p>
    <w:p>
      <w:pPr>
        <w:ind w:left="600" w:hanging="592"/>
        <w:spacing w:after="0"/>
        <w:tabs>
          <w:tab w:leader="none" w:pos="60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loss per share is calculated using the historical weighted average shares outstanding, and the issuance of additional shares in connection with the Business Combination, assuming the shares were outstanding since January 1, 2023. As the Business Combination and related equity transactions are being reflected as if they had occurred at the beginning of the periods presented, the calculation of weighted average shares outstanding for basic and diluted net loss per share assumes that the shares issuable relating to the Business Combination have been outstanding for the entirety of all periods presented. This calculation is retroactively adjusted to eliminate the shares actually redeemed, for the entire period.</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considering the actual redemptions into cash of Common Stock for the year ended December 31, 2023 and for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7"/>
        </w:trPr>
        <w:tc>
          <w:tcPr>
            <w:tcW w:w="8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8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Year ended</w:t>
            </w:r>
          </w:p>
        </w:tc>
        <w:tc>
          <w:tcPr>
            <w:tcW w:w="220" w:type="dxa"/>
            <w:vAlign w:val="bottom"/>
            <w:gridSpan w:val="2"/>
          </w:tcPr>
          <w:p>
            <w:pPr>
              <w:spacing w:after="0"/>
              <w:rPr>
                <w:sz w:val="16"/>
                <w:szCs w:val="16"/>
                <w:color w:val="auto"/>
              </w:rPr>
            </w:pPr>
          </w:p>
        </w:tc>
        <w:tc>
          <w:tcPr>
            <w:tcW w:w="14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tc>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1"/>
                <w:szCs w:val="21"/>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6"/>
        </w:trPr>
        <w:tc>
          <w:tcPr>
            <w:tcW w:w="81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Pro forma net loss </w:t>
            </w:r>
            <w:r>
              <w:rPr>
                <w:rFonts w:ascii="Times New Roman" w:cs="Times New Roman" w:eastAsia="Times New Roman" w:hAnsi="Times New Roman"/>
                <w:sz w:val="25"/>
                <w:szCs w:val="25"/>
                <w:color w:val="auto"/>
                <w:vertAlign w:val="superscript"/>
              </w:rPr>
              <w:t>(1)</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(48,941)</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(21,878)</w:t>
            </w:r>
          </w:p>
        </w:tc>
        <w:tc>
          <w:tcPr>
            <w:tcW w:w="100" w:type="dxa"/>
            <w:vAlign w:val="bottom"/>
            <w:shd w:val="clear" w:color="auto" w:fill="CCEEFF"/>
          </w:tcPr>
          <w:p>
            <w:pPr>
              <w:spacing w:after="0"/>
              <w:rPr>
                <w:sz w:val="18"/>
                <w:szCs w:val="18"/>
                <w:color w:val="auto"/>
              </w:rPr>
            </w:pPr>
          </w:p>
        </w:tc>
      </w:tr>
      <w:tr>
        <w:trPr>
          <w:trHeight w:val="22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44,602,673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44,602,673</w:t>
            </w:r>
          </w:p>
        </w:tc>
      </w:tr>
      <w:tr>
        <w:trPr>
          <w:trHeight w:val="257"/>
        </w:trPr>
        <w:tc>
          <w:tcPr>
            <w:tcW w:w="812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Pro forma net loss per share – basic and diluted </w:t>
            </w:r>
            <w:r>
              <w:rPr>
                <w:rFonts w:ascii="Times New Roman" w:cs="Times New Roman" w:eastAsia="Times New Roman" w:hAnsi="Times New Roman"/>
                <w:sz w:val="25"/>
                <w:szCs w:val="25"/>
                <w:b w:val="1"/>
                <w:bCs w:val="1"/>
                <w:color w:val="auto"/>
                <w:vertAlign w:val="superscript"/>
              </w:rPr>
              <w:t>(2)</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 and diluted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Learn CW</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6,027,674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6,027,674</w:t>
            </w:r>
          </w:p>
        </w:tc>
      </w:tr>
      <w:tr>
        <w:trPr>
          <w:trHeight w:val="216"/>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Innventure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38,494,999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38,494,999</w:t>
            </w:r>
          </w:p>
        </w:tc>
      </w:tr>
      <w:tr>
        <w:trPr>
          <w:trHeight w:val="22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Sundry investors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80,000</w:t>
            </w:r>
          </w:p>
        </w:tc>
      </w:tr>
      <w:tr>
        <w:trPr>
          <w:trHeight w:val="257"/>
        </w:trPr>
        <w:tc>
          <w:tcPr>
            <w:tcW w:w="8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44,602,673</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44,602,673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net loss by the 8% preferential cumulative dividends due to Holdco Series B Preferred Stockholders in the amount of $882 and $441 for the year ended December 31, 2023 and six months ended June 30, 24, respectively, as if these shares had been outstanding since January 1, 2023.</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Learn CW Public Warrants, Learn CW Private Warrants and Series B preferred shares, and shares issuable under the SEPA are anti-dilutive and are not included in the calculation of diluted net loss per share. There are currently 11,500,000 Learn CW Public Warrants and 7,146,000 Learn CW Private Warrants outstanding. Each such warrant entitles the holder to purchase one Class A Ordinary Share at an exercise price of $11.50 per share. Subject to the terms of the Warrant Agreement, these warrants are not exercisable until 30 days after the consummation of a business combination. There are 1,102,000 Series B Preferred Shares outstanding. Each preferred share is convertible to common shares at a price of $12.50 per share (subject to adjustment upon certain circumstances). The SEPA allows for the drawdown of capital in exchange for a maximum of 9.99% of the outstanding voting common shares. The 5,000,000 potentially dilutive Company Earnout Shares were excluded from the computation of pro forma net loss per share, basic and diluted, because issuance of such shares is contingent upon the satisfaction of certain conditions which were not satisfied by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amp;"/>
      <w:numFmt w:val="bullet"/>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
      <w:numFmt w:val="bullet"/>
      <w:start w:val="1"/>
    </w:lvl>
  </w:abstractNum>
  <w:abstractNum w:abstractNumId="8">
    <w:nsid w:val="6EB5BD4"/>
    <w:multiLevelType w:val="hybridMultilevel"/>
    <w:lvl w:ilvl="0">
      <w:lvlJc w:val="left"/>
      <w:lvlText w:val="(%1)"/>
      <w:numFmt w:val="decimal"/>
      <w:start w:val="1"/>
    </w:lvl>
  </w:abstractNum>
  <w:abstractNum w:abstractNumId="9">
    <w:nsid w:val="6F6DD9AC"/>
    <w:multiLevelType w:val="hybridMultilevel"/>
    <w:lvl w:ilvl="0">
      <w:lvlJc w:val="left"/>
      <w:lvlText w:val="(%1)"/>
      <w:numFmt w:val="lowerRoman"/>
      <w:start w:val="2"/>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1."/>
      <w:numFmt w:val="upperLetter"/>
      <w:start w:val="1"/>
    </w:lvl>
  </w:abstractNum>
  <w:abstractNum w:abstractNumId="15">
    <w:nsid w:val="14E17E33"/>
    <w:multiLevelType w:val="hybridMultilevel"/>
    <w:lvl w:ilvl="0">
      <w:lvlJc w:val="left"/>
      <w:lvlText w:val="(%1)"/>
      <w:numFmt w:val="lowerLetter"/>
      <w:start w:val="1"/>
    </w:lvl>
  </w:abstractNum>
  <w:abstractNum w:abstractNumId="16">
    <w:nsid w:val="3222E7CD"/>
    <w:multiLevelType w:val="hybridMultilevel"/>
    <w:lvl w:ilvl="0">
      <w:lvlJc w:val="left"/>
      <w:lvlText w:val="(%1)"/>
      <w:numFmt w:val="lowerLetter"/>
      <w:start w:val="2"/>
    </w:lvl>
  </w:abstractNum>
  <w:abstractNum w:abstractNumId="17">
    <w:nsid w:val="74DE0EE3"/>
    <w:multiLevelType w:val="hybridMultilevel"/>
    <w:lvl w:ilvl="0">
      <w:lvlJc w:val="left"/>
      <w:lvlText w:val="(%1)"/>
      <w:numFmt w:val="lowerLetter"/>
      <w:start w:val="1"/>
    </w:lvl>
  </w:abstractNum>
  <w:abstractNum w:abstractNumId="18">
    <w:nsid w:val="68EBC550"/>
    <w:multiLevelType w:val="hybridMultilevel"/>
    <w:lvl w:ilvl="0">
      <w:lvlJc w:val="left"/>
      <w:lvlText w:val="(%1)"/>
      <w:numFmt w:val="lowerLetter"/>
      <w:start w:val="4"/>
    </w:lvl>
  </w:abstractNum>
  <w:abstractNum w:abstractNumId="19">
    <w:nsid w:val="2DF6D648"/>
    <w:multiLevelType w:val="hybridMultilevel"/>
    <w:lvl w:ilvl="0">
      <w:lvlJc w:val="left"/>
      <w:lvlText w:val="(%1)"/>
      <w:numFmt w:val="lowerLetter"/>
      <w:start w:val="1"/>
    </w:lvl>
    <w:lvl w:ilvl="1">
      <w:lvlJc w:val="left"/>
      <w:lvlText w:val="(%2)"/>
      <w:numFmt w:val="lowerRoman"/>
      <w:start w:val="1"/>
    </w:lvl>
  </w:abstractNum>
  <w:abstractNum w:abstractNumId="20">
    <w:nsid w:val="46B7D447"/>
    <w:multiLevelType w:val="hybridMultilevel"/>
    <w:lvl w:ilvl="0">
      <w:lvlJc w:val="left"/>
      <w:lvlText w:val="(%1)"/>
      <w:numFmt w:val="lowerLetter"/>
      <w:start w:val="5"/>
    </w:lvl>
  </w:abstractNum>
  <w:abstractNum w:abstractNumId="21">
    <w:nsid w:val="4A2AC315"/>
    <w:multiLevelType w:val="hybridMultilevel"/>
    <w:lvl w:ilvl="0">
      <w:lvlJc w:val="left"/>
      <w:lvlText w:val="(%1)"/>
      <w:numFmt w:val="lowerRoman"/>
      <w:start w:val="1"/>
    </w:lvl>
  </w:abstractNum>
  <w:abstractNum w:abstractNumId="22">
    <w:nsid w:val="39EE015C"/>
    <w:multiLevelType w:val="hybridMultilevel"/>
    <w:lvl w:ilvl="0">
      <w:lvlJc w:val="left"/>
      <w:lvlText w:val="(%1)"/>
      <w:numFmt w:val="lowerLetter"/>
      <w:start w:val="1"/>
    </w:lvl>
  </w:abstractNum>
  <w:abstractNum w:abstractNumId="23">
    <w:nsid w:val="57FC4FBB"/>
    <w:multiLevelType w:val="hybridMultilevel"/>
    <w:lvl w:ilvl="0">
      <w:lvlJc w:val="left"/>
      <w:lvlText w:val="(%1)"/>
      <w:numFmt w:val="lowerLetter"/>
      <w:start w:val="1"/>
    </w:lvl>
  </w:abstractNum>
  <w:abstractNum w:abstractNumId="24">
    <w:nsid w:val="CC1016F"/>
    <w:multiLevelType w:val="hybridMultilevel"/>
    <w:lvl w:ilvl="0">
      <w:lvlJc w:val="left"/>
      <w:lvlText w:val="%1"/>
      <w:numFmt w:val="upperLetter"/>
      <w:start w:val="1"/>
    </w:lvl>
    <w:lvl w:ilvl="1">
      <w:lvlJc w:val="left"/>
      <w:lvlText w:val="(%2)"/>
      <w:numFmt w:val="lowerLetter"/>
      <w:start w:val="1"/>
    </w:lvl>
  </w:abstractNum>
  <w:abstractNum w:abstractNumId="25">
    <w:nsid w:val="43F18422"/>
    <w:multiLevelType w:val="hybridMultilevel"/>
    <w:lvl w:ilvl="0">
      <w:lvlJc w:val="left"/>
      <w:lvlText w:val="(%1)"/>
      <w:numFmt w:val="upperLetter"/>
      <w:start w:val="2"/>
    </w:lvl>
    <w:lvl w:ilvl="1">
      <w:lvlJc w:val="left"/>
      <w:lvlText w:val="%2"/>
      <w:numFmt w:val="lowerLetter"/>
      <w:start w:val="1"/>
    </w:lvl>
  </w:abstractNum>
  <w:abstractNum w:abstractNumId="26">
    <w:nsid w:val="60EF0119"/>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7">
    <w:nsid w:val="26F324BA"/>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28">
    <w:nsid w:val="7F01579B"/>
    <w:multiLevelType w:val="hybridMultilevel"/>
    <w:lvl w:ilvl="0">
      <w:lvlJc w:val="left"/>
      <w:lvlText w:val="%1"/>
      <w:numFmt w:val="lowerLetter"/>
      <w:start w:val="1"/>
    </w:lvl>
    <w:lvl w:ilvl="1">
      <w:lvlJc w:val="left"/>
      <w:lvlText w:val="(%2)"/>
      <w:numFmt w:val="lowerLetter"/>
      <w:start w:val="61"/>
    </w:lvl>
  </w:abstractNum>
  <w:abstractNum w:abstractNumId="29">
    <w:nsid w:val="49DA307D"/>
    <w:multiLevelType w:val="hybridMultilevel"/>
    <w:lvl w:ilvl="0">
      <w:lvlJc w:val="left"/>
      <w:lvlText w:val="(%1)"/>
      <w:numFmt w:val="lowerLetter"/>
      <w:start w:val="4"/>
    </w:lvl>
    <w:lvl w:ilvl="1">
      <w:lvlJc w:val="left"/>
      <w:lvlText w:val="%2"/>
      <w:numFmt w:val="lowerLetter"/>
      <w:start w:val="1"/>
    </w:lvl>
  </w:abstractNum>
  <w:abstractNum w:abstractNumId="30">
    <w:nsid w:val="7055A5F5"/>
    <w:multiLevelType w:val="hybridMultilevel"/>
    <w:lvl w:ilvl="0">
      <w:lvlJc w:val="left"/>
      <w:lvlText w:val="(%1)"/>
      <w:numFmt w:val="lowerLetter"/>
      <w:start w:val="6"/>
    </w:lvl>
  </w:abstractNum>
  <w:abstractNum w:abstractNumId="31">
    <w:nsid w:val="5FB8370B"/>
    <w:multiLevelType w:val="hybridMultilevel"/>
    <w:lvl w:ilvl="0">
      <w:lvlJc w:val="left"/>
      <w:lvlText w:val="%1"/>
      <w:numFmt w:val="decimal"/>
      <w:start w:val="1"/>
    </w:lvl>
    <w:lvl w:ilvl="1">
      <w:lvlJc w:val="left"/>
      <w:lvlText w:val="(%2)"/>
      <w:numFmt w:val="lowerLetter"/>
      <w:start w:val="1"/>
    </w:lvl>
  </w:abstractNum>
  <w:abstractNum w:abstractNumId="32">
    <w:nsid w:val="50801EE1"/>
    <w:multiLevelType w:val="hybridMultilevel"/>
    <w:lvl w:ilvl="0">
      <w:lvlJc w:val="left"/>
      <w:lvlText w:val="(%1)"/>
      <w:numFmt w:val="decimal"/>
      <w:start w:val="3"/>
    </w:lvl>
    <w:lvl w:ilvl="1">
      <w:lvlJc w:val="left"/>
      <w:lvlText w:val="%2"/>
      <w:numFmt w:val="lowerLetter"/>
      <w:start w:val="1"/>
    </w:lvl>
  </w:abstractNum>
  <w:abstractNum w:abstractNumId="33">
    <w:nsid w:val="488AC1A"/>
    <w:multiLevelType w:val="hybridMultilevel"/>
    <w:lvl w:ilvl="0">
      <w:lvlJc w:val="left"/>
      <w:lvlText w:val="(%1)"/>
      <w:numFmt w:val="lowerRoman"/>
      <w:start w:val="1"/>
    </w:lvl>
  </w:abstractNum>
  <w:abstractNum w:abstractNumId="34">
    <w:nsid w:val="5FB8011C"/>
    <w:multiLevelType w:val="hybridMultilevel"/>
    <w:lvl w:ilvl="0">
      <w:lvlJc w:val="left"/>
      <w:lvlText w:val="%1"/>
      <w:numFmt w:val="lowerLetter"/>
      <w:start w:val="1"/>
    </w:lvl>
    <w:lvl w:ilvl="1">
      <w:lvlJc w:val="left"/>
      <w:lvlText w:val="(%2)"/>
      <w:numFmt w:val="lowerRoman"/>
      <w:start w:val="2"/>
    </w:lvl>
  </w:abstractNum>
  <w:abstractNum w:abstractNumId="35">
    <w:nsid w:val="6AA78F7F"/>
    <w:multiLevelType w:val="hybridMultilevel"/>
    <w:lvl w:ilvl="0">
      <w:lvlJc w:val="left"/>
      <w:lvlText w:val="(%1)"/>
      <w:numFmt w:val="lowerLetter"/>
      <w:start w:val="3"/>
    </w:lvl>
    <w:lvl w:ilvl="1">
      <w:lvlJc w:val="left"/>
      <w:lvlText w:val="(%2)"/>
      <w:numFmt w:val="lowerRoman"/>
      <w:start w:val="1"/>
    </w:lvl>
  </w:abstractNum>
  <w:abstractNum w:abstractNumId="36">
    <w:nsid w:val="7672BD23"/>
    <w:multiLevelType w:val="hybridMultilevel"/>
    <w:lvl w:ilvl="0">
      <w:lvlJc w:val="left"/>
      <w:lvlText w:val="%1"/>
      <w:numFmt w:val="lowerLetter"/>
      <w:start w:val="1"/>
    </w:lvl>
    <w:lvl w:ilvl="1">
      <w:lvlJc w:val="left"/>
      <w:lvlText w:val="(%2)"/>
      <w:numFmt w:val="lowerLetter"/>
      <w:start w:val="61"/>
    </w:lvl>
  </w:abstractNum>
  <w:abstractNum w:abstractNumId="37">
    <w:nsid w:val="6FC75AF8"/>
    <w:multiLevelType w:val="hybridMultilevel"/>
    <w:lvl w:ilvl="0">
      <w:lvlJc w:val="left"/>
      <w:lvlText w:val="(%1)"/>
      <w:numFmt w:val="lowerLetter"/>
      <w:start w:val="4"/>
    </w:lvl>
    <w:lvl w:ilvl="1">
      <w:lvlJc w:val="left"/>
      <w:lvlText w:val="%2"/>
      <w:numFmt w:val="lowerLetter"/>
      <w:start w:val="1"/>
    </w:lvl>
  </w:abstractNum>
  <w:abstractNum w:abstractNumId="38">
    <w:nsid w:val="6A5F7029"/>
    <w:multiLevelType w:val="hybridMultilevel"/>
    <w:lvl w:ilvl="0">
      <w:lvlJc w:val="left"/>
      <w:lvlText w:val="%1"/>
      <w:numFmt w:val="decimal"/>
      <w:start w:val="1"/>
    </w:lvl>
    <w:lvl w:ilvl="1">
      <w:lvlJc w:val="left"/>
      <w:lvlText w:val="(%2)"/>
      <w:numFmt w:val="lowerLetter"/>
      <w:start w:val="7"/>
    </w:lvl>
  </w:abstractNum>
  <w:abstractNum w:abstractNumId="39">
    <w:nsid w:val="7D5E18F8"/>
    <w:multiLevelType w:val="hybridMultilevel"/>
    <w:lvl w:ilvl="0">
      <w:lvlJc w:val="left"/>
      <w:lvlText w:val="(%1)"/>
      <w:numFmt w:val="decimal"/>
      <w:start w:val="2"/>
    </w:lvl>
    <w:lvl w:ilvl="1">
      <w:lvlJc w:val="left"/>
      <w:lvlText w:val="%2"/>
      <w:numFmt w:val="lowerLetter"/>
      <w:start w:val="1"/>
    </w:lvl>
  </w:abstractNum>
  <w:abstractNum w:abstractNumId="40">
    <w:nsid w:val="5F3534A4"/>
    <w:multiLevelType w:val="hybridMultilevel"/>
    <w:lvl w:ilvl="0">
      <w:lvlJc w:val="left"/>
      <w:lvlText w:val="(%1)"/>
      <w:numFmt w:val="lowerLetter"/>
      <w:start w:val="1"/>
    </w:lvl>
  </w:abstractNum>
  <w:abstractNum w:abstractNumId="41">
    <w:nsid w:val="73A1821B"/>
    <w:multiLevelType w:val="hybridMultilevel"/>
    <w:lvl w:ilvl="0">
      <w:lvlJc w:val="left"/>
      <w:lvlText w:val="(%1)"/>
      <w:numFmt w:val="lowerLetter"/>
      <w:start w:val="1"/>
    </w:lvl>
  </w:abstractNum>
  <w:abstractNum w:abstractNumId="42">
    <w:nsid w:val="7DE67713"/>
    <w:multiLevelType w:val="hybridMultilevel"/>
    <w:lvl w:ilvl="0">
      <w:lvlJc w:val="left"/>
      <w:lvlText w:val="(%1)"/>
      <w:numFmt w:val="lowerLetter"/>
      <w:start w:val="1"/>
    </w:lvl>
  </w:abstractNum>
  <w:abstractNum w:abstractNumId="43">
    <w:nsid w:val="555C55B5"/>
    <w:multiLevelType w:val="hybridMultilevel"/>
    <w:lvl w:ilvl="0">
      <w:lvlJc w:val="left"/>
      <w:lvlText w:val="(%1)"/>
      <w:numFmt w:val="lowerLetter"/>
      <w:start w:val="1"/>
    </w:lvl>
  </w:abstractNum>
  <w:abstractNum w:abstractNumId="44">
    <w:nsid w:val="3FA62ACA"/>
    <w:multiLevelType w:val="hybridMultilevel"/>
    <w:lvl w:ilvl="0">
      <w:lvlJc w:val="left"/>
      <w:lvlText w:val="(%1)"/>
      <w:numFmt w:val="lowerLetter"/>
      <w:start w:val="2"/>
    </w:lvl>
  </w:abstractNum>
  <w:abstractNum w:abstractNumId="45">
    <w:nsid w:val="14FCE74E"/>
    <w:multiLevelType w:val="hybridMultilevel"/>
    <w:lvl w:ilvl="0">
      <w:lvlJc w:val="left"/>
      <w:lvlText w:val="%1."/>
      <w:numFmt w:val="decimal"/>
      <w:start w:val="1"/>
    </w:lvl>
    <w:lvl w:ilvl="1">
      <w:lvlJc w:val="left"/>
      <w:lvlText w:val="(%2)"/>
      <w:numFmt w:val="lowerLetter"/>
      <w:start w:val="1"/>
    </w:lvl>
  </w:abstractNum>
  <w:abstractNum w:abstractNumId="46">
    <w:nsid w:val="6A3DD3E8"/>
    <w:multiLevelType w:val="hybridMultilevel"/>
    <w:lvl w:ilvl="0">
      <w:lvlJc w:val="left"/>
      <w:lvlText w:val="1"/>
      <w:numFmt w:val="bullet"/>
      <w:start w:val="1"/>
    </w:lvl>
  </w:abstractNum>
  <w:abstractNum w:abstractNumId="47">
    <w:nsid w:val="71C91298"/>
    <w:multiLevelType w:val="hybridMultilevel"/>
    <w:lvl w:ilvl="0">
      <w:lvlJc w:val="left"/>
      <w:lvlText w:val="2"/>
      <w:numFmt w:val="bullet"/>
      <w:start w:val="1"/>
    </w:lvl>
  </w:abstractNum>
  <w:abstractNum w:abstractNumId="48">
    <w:nsid w:val="9DAF63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9">
    <w:nsid w:val="5329993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50">
    <w:nsid w:val="1FBFE8E0"/>
    <w:multiLevelType w:val="hybridMultilevel"/>
    <w:lvl w:ilvl="0">
      <w:lvlJc w:val="left"/>
      <w:lvlText w:val="%1"/>
      <w:numFmt w:val="lowerLetter"/>
      <w:start w:val="1"/>
    </w:lvl>
    <w:lvl w:ilvl="1">
      <w:lvlJc w:val="left"/>
      <w:lvlText w:val="(%2)"/>
      <w:numFmt w:val="lowerLetter"/>
      <w:start w:val="35"/>
    </w:lvl>
  </w:abstractNum>
  <w:abstractNum w:abstractNumId="51">
    <w:nsid w:val="5092CA79"/>
    <w:multiLevelType w:val="hybridMultilevel"/>
    <w:lvl w:ilvl="0">
      <w:lvlJc w:val="left"/>
      <w:lvlText w:val="(%1)"/>
      <w:numFmt w:val="lowerLetter"/>
      <w:start w:val="2"/>
    </w:lvl>
    <w:lvl w:ilvl="1">
      <w:lvlJc w:val="left"/>
      <w:lvlText w:val="(%2)"/>
      <w:numFmt w:val="lowerLetter"/>
      <w:start w:val="9"/>
    </w:lvl>
  </w:abstractNum>
  <w:abstractNum w:abstractNumId="52">
    <w:nsid w:val="1D545C4D"/>
    <w:multiLevelType w:val="hybridMultilevel"/>
    <w:lvl w:ilvl="0">
      <w:lvlJc w:val="left"/>
      <w:lvlText w:val="(%1)"/>
      <w:numFmt w:val="lowerRoman"/>
      <w:start w:val="2"/>
    </w:lvl>
  </w:abstractNum>
  <w:abstractNum w:abstractNumId="53">
    <w:nsid w:val="59ADEA3D"/>
    <w:multiLevelType w:val="hybridMultilevel"/>
    <w:lvl w:ilvl="0">
      <w:lvlJc w:val="left"/>
      <w:lvlText w:val="(%1)"/>
      <w:numFmt w:val="lowerLetter"/>
      <w:start w:val="26"/>
    </w:lvl>
  </w:abstractNum>
  <w:abstractNum w:abstractNumId="54">
    <w:nsid w:val="288F1A34"/>
    <w:multiLevelType w:val="hybridMultilevel"/>
    <w:lvl w:ilvl="0">
      <w:lvlJc w:val="left"/>
      <w:lvlText w:val="%1"/>
      <w:numFmt w:val="decimal"/>
      <w:start w:val="1"/>
    </w:lvl>
    <w:lvl w:ilvl="1">
      <w:lvlJc w:val="left"/>
      <w:lvlText w:val="(%2)"/>
      <w:numFmt w:val="lowerLetter"/>
      <w:start w:val="3"/>
    </w:lvl>
  </w:abstractNum>
  <w:abstractNum w:abstractNumId="55">
    <w:nsid w:val="2A155DBC"/>
    <w:multiLevelType w:val="hybridMultilevel"/>
    <w:lvl w:ilvl="0">
      <w:lvlJc w:val="left"/>
      <w:lvlText w:val="%1."/>
      <w:numFmt w:val="decimal"/>
      <w:start w:val="7"/>
    </w:lvl>
    <w:lvl w:ilvl="1">
      <w:lvlJc w:val="left"/>
      <w:lvlText w:val="(%2)"/>
      <w:numFmt w:val="lowerLetter"/>
      <w:start w:val="1"/>
    </w:lvl>
  </w:abstractNum>
  <w:abstractNum w:abstractNumId="56">
    <w:nsid w:val="1D9F6E5F"/>
    <w:multiLevelType w:val="hybridMultilevel"/>
    <w:lvl w:ilvl="0">
      <w:lvlJc w:val="left"/>
      <w:lvlText w:val="%1"/>
      <w:numFmt w:val="decimal"/>
      <w:start w:val="1"/>
    </w:lvl>
    <w:lvl w:ilvl="1">
      <w:lvlJc w:val="left"/>
      <w:lvlText w:val="(%2)"/>
      <w:numFmt w:val="lowerLetter"/>
      <w:start w:val="2"/>
    </w:lvl>
  </w:abstractNum>
  <w:abstractNum w:abstractNumId="57">
    <w:nsid w:val="97E1B4E"/>
    <w:multiLevelType w:val="hybridMultilevel"/>
    <w:lvl w:ilvl="0">
      <w:lvlJc w:val="left"/>
      <w:lvlText w:val="%1."/>
      <w:numFmt w:val="decimal"/>
      <w:start w:val="8"/>
    </w:lvl>
    <w:lvl w:ilvl="1">
      <w:lvlJc w:val="left"/>
      <w:lvlText w:val="(%2)"/>
      <w:numFmt w:val="lowerLetter"/>
      <w:start w:val="1"/>
    </w:lvl>
  </w:abstractNum>
  <w:abstractNum w:abstractNumId="58">
    <w:nsid w:val="51088277"/>
    <w:multiLevelType w:val="hybridMultilevel"/>
    <w:lvl w:ilvl="0">
      <w:lvlJc w:val="left"/>
      <w:lvlText w:val="%1."/>
      <w:numFmt w:val="decimal"/>
      <w:start w:val="10"/>
    </w:lvl>
    <w:lvl w:ilvl="1">
      <w:lvlJc w:val="left"/>
      <w:lvlText w:val="(%2)"/>
      <w:numFmt w:val="lowerLetter"/>
      <w:start w:val="1"/>
    </w:lvl>
  </w:abstractNum>
  <w:abstractNum w:abstractNumId="59">
    <w:nsid w:val="1CA0C5FA"/>
    <w:multiLevelType w:val="hybridMultilevel"/>
    <w:lvl w:ilvl="0">
      <w:lvlJc w:val="left"/>
      <w:lvlText w:val="(%1)"/>
      <w:numFmt w:val="lowerLetter"/>
      <w:start w:val="5"/>
    </w:lvl>
  </w:abstractNum>
  <w:abstractNum w:abstractNumId="60">
    <w:nsid w:val="53584BCB"/>
    <w:multiLevelType w:val="hybridMultilevel"/>
    <w:lvl w:ilvl="0">
      <w:lvlJc w:val="left"/>
      <w:lvlText w:val="%1."/>
      <w:numFmt w:val="decimal"/>
      <w:start w:val="1"/>
    </w:lvl>
    <w:lvl w:ilvl="1">
      <w:lvlJc w:val="left"/>
      <w:lvlText w:val="(%2)"/>
      <w:numFmt w:val="lowerLetter"/>
      <w:start w:val="1"/>
    </w:lvl>
  </w:abstractNum>
  <w:abstractNum w:abstractNumId="61">
    <w:nsid w:val="415E286C"/>
    <w:multiLevelType w:val="hybridMultilevel"/>
    <w:lvl w:ilvl="0">
      <w:lvlJc w:val="left"/>
      <w:lvlText w:val="(%1)"/>
      <w:numFmt w:val="lowerLetter"/>
      <w:start w:val="5"/>
    </w:lvl>
  </w:abstractNum>
  <w:abstractNum w:abstractNumId="62">
    <w:nsid w:val="7C58FD05"/>
    <w:multiLevelType w:val="hybridMultilevel"/>
    <w:lvl w:ilvl="0">
      <w:lvlJc w:val="left"/>
      <w:lvlText w:val="(%1)"/>
      <w:numFmt w:val="lowerLetter"/>
      <w:start w:val="7"/>
    </w:lvl>
  </w:abstractNum>
  <w:abstractNum w:abstractNumId="63">
    <w:nsid w:val="23D86AAC"/>
    <w:multiLevelType w:val="hybridMultilevel"/>
    <w:lvl w:ilvl="0">
      <w:lvlJc w:val="left"/>
      <w:lvlText w:val="%1."/>
      <w:numFmt w:val="decimal"/>
      <w:start w:val="3"/>
    </w:lvl>
    <w:lvl w:ilvl="1">
      <w:lvlJc w:val="left"/>
      <w:lvlText w:val="(%2)"/>
      <w:numFmt w:val="lowerLetter"/>
      <w:start w:val="1"/>
    </w:lvl>
  </w:abstractNum>
  <w:abstractNum w:abstractNumId="64">
    <w:nsid w:val="45E6D486"/>
    <w:multiLevelType w:val="hybridMultilevel"/>
    <w:lvl w:ilvl="0">
      <w:lvlJc w:val="left"/>
      <w:lvlText w:val="(%1)"/>
      <w:numFmt w:val="lowerLetter"/>
      <w:start w:val="6"/>
    </w:lvl>
  </w:abstractNum>
  <w:abstractNum w:abstractNumId="65">
    <w:nsid w:val="5C10FE21"/>
    <w:multiLevelType w:val="hybridMultilevel"/>
    <w:lvl w:ilvl="0">
      <w:lvlJc w:val="left"/>
      <w:lvlText w:val="(%1)"/>
      <w:numFmt w:val="upperLetter"/>
      <w:start w:val="1"/>
    </w:lvl>
  </w:abstractNum>
  <w:abstractNum w:abstractNumId="66">
    <w:nsid w:val="E7FFA2B"/>
    <w:multiLevelType w:val="hybridMultilevel"/>
    <w:lvl w:ilvl="0">
      <w:lvlJc w:val="left"/>
      <w:lvlText w:val="(%1)"/>
      <w:numFmt w:val="lowerRoman"/>
      <w:start w:val="3"/>
    </w:lvl>
  </w:abstractNum>
  <w:abstractNum w:abstractNumId="67">
    <w:nsid w:val="3C5991AA"/>
    <w:multiLevelType w:val="hybridMultilevel"/>
    <w:lvl w:ilvl="0">
      <w:lvlJc w:val="left"/>
      <w:lvlText w:val="(%1)"/>
      <w:numFmt w:val="lowerLetter"/>
      <w:start w:val="1"/>
    </w:lvl>
  </w:abstractNum>
  <w:abstractNum w:abstractNumId="68">
    <w:nsid w:val="4BD8591A"/>
    <w:multiLevelType w:val="hybridMultilevel"/>
    <w:lvl w:ilvl="0">
      <w:lvlJc w:val="left"/>
      <w:lvlText w:val="(%1)"/>
      <w:numFmt w:val="lowerLetter"/>
      <w:start w:val="2"/>
    </w:lvl>
  </w:abstractNum>
  <w:abstractNum w:abstractNumId="69">
    <w:nsid w:val="78DF6A55"/>
    <w:multiLevelType w:val="hybridMultilevel"/>
    <w:lvl w:ilvl="0">
      <w:lvlJc w:val="left"/>
      <w:lvlText w:val="(%1)"/>
      <w:numFmt w:val="decimal"/>
      <w:start w:val="12"/>
    </w:lvl>
  </w:abstractNum>
  <w:abstractNum w:abstractNumId="70">
    <w:nsid w:val="39B7AAA2"/>
    <w:multiLevelType w:val="hybridMultilevel"/>
    <w:lvl w:ilvl="0">
      <w:lvlJc w:val="left"/>
      <w:lvlText w:val="(%1)"/>
      <w:numFmt w:val="decimal"/>
      <w:start w:val="90"/>
    </w:lvl>
  </w:abstractNum>
  <w:abstractNum w:abstractNumId="71">
    <w:nsid w:val="2B0D8DBE"/>
    <w:multiLevelType w:val="hybridMultilevel"/>
    <w:lvl w:ilvl="0">
      <w:lvlJc w:val="left"/>
      <w:lvlText w:val="%1."/>
      <w:numFmt w:val="decimal"/>
      <w:start w:val="1"/>
    </w:lvl>
  </w:abstractNum>
  <w:abstractNum w:abstractNumId="72">
    <w:nsid w:val="6C80EC70"/>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1"/>
    </w:lvl>
  </w:abstractNum>
  <w:abstractNum w:abstractNumId="73">
    <w:nsid w:val="379E21B5"/>
    <w:multiLevelType w:val="hybridMultilevel"/>
    <w:lvl w:ilvl="0">
      <w:lvlJc w:val="left"/>
      <w:lvlText w:val="(%1)"/>
      <w:numFmt w:val="lowerRoman"/>
      <w:start w:val="1"/>
    </w:lvl>
  </w:abstractNum>
  <w:abstractNum w:abstractNumId="74">
    <w:nsid w:val="69E373"/>
    <w:multiLevelType w:val="hybridMultilevel"/>
    <w:lvl w:ilvl="0">
      <w:lvlJc w:val="left"/>
      <w:lvlText w:val="%1"/>
      <w:numFmt w:val="decimal"/>
      <w:start w:val="1"/>
    </w:lvl>
    <w:lvl w:ilvl="1">
      <w:lvlJc w:val="left"/>
      <w:lvlText w:val="(%2)"/>
      <w:numFmt w:val="lowerLetter"/>
      <w:start w:val="4"/>
    </w:lvl>
  </w:abstractNum>
  <w:abstractNum w:abstractNumId="75">
    <w:nsid w:val="2C27173B"/>
    <w:multiLevelType w:val="hybridMultilevel"/>
    <w:lvl w:ilvl="0">
      <w:lvlJc w:val="left"/>
      <w:lvlText w:val="%1."/>
      <w:numFmt w:val="decimal"/>
      <w:start w:val="3"/>
    </w:lvl>
    <w:lvl w:ilvl="1">
      <w:lvlJc w:val="left"/>
      <w:lvlText w:val="%2"/>
      <w:numFmt w:val="lowerLetter"/>
      <w:start w:val="1"/>
    </w:lvl>
  </w:abstractNum>
  <w:abstractNum w:abstractNumId="76">
    <w:nsid w:val="4C9B0904"/>
    <w:multiLevelType w:val="hybridMultilevel"/>
    <w:lvl w:ilvl="0">
      <w:lvlJc w:val="left"/>
      <w:lvlText w:val="%1."/>
      <w:numFmt w:val="upperLetter"/>
      <w:start w:val="1"/>
    </w:lvl>
  </w:abstractNum>
  <w:abstractNum w:abstractNumId="77">
    <w:nsid w:val="6AA7B75C"/>
    <w:multiLevelType w:val="hybridMultilevel"/>
    <w:lvl w:ilvl="0">
      <w:lvlJc w:val="left"/>
      <w:lvlText w:val="%1."/>
      <w:numFmt w:val="decimal"/>
      <w:start w:val="1"/>
    </w:lvl>
    <w:lvl w:ilvl="1">
      <w:lvlJc w:val="left"/>
      <w:lvlText w:val="(%2)"/>
      <w:numFmt w:val="lowerLetter"/>
      <w:start w:val="1"/>
    </w:lvl>
  </w:abstractNum>
  <w:abstractNum w:abstractNumId="78">
    <w:nsid w:val="1DF029D3"/>
    <w:multiLevelType w:val="hybridMultilevel"/>
    <w:lvl w:ilvl="0">
      <w:lvlJc w:val="left"/>
      <w:lvlText w:val="(%1)"/>
      <w:numFmt w:val="lowerLetter"/>
      <w:start w:val="2"/>
    </w:lvl>
  </w:abstractNum>
  <w:abstractNum w:abstractNumId="79">
    <w:nsid w:val="5675FF36"/>
    <w:multiLevelType w:val="hybridMultilevel"/>
    <w:lvl w:ilvl="0">
      <w:lvlJc w:val="left"/>
      <w:lvlText w:val="(%1)"/>
      <w:numFmt w:val="lowerLetter"/>
      <w:start w:val="6"/>
    </w:lvl>
  </w:abstractNum>
  <w:abstractNum w:abstractNumId="80">
    <w:nsid w:val="3DD15094"/>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81">
    <w:nsid w:val="3DB012B3"/>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2"/>
    </w:lvl>
    <w:lvl w:ilvl="3">
      <w:lvlJc w:val="left"/>
      <w:lvlText w:val="(%4)"/>
      <w:numFmt w:val="lowerRoman"/>
      <w:start w:val="3"/>
    </w:lvl>
  </w:abstractNum>
  <w:abstractNum w:abstractNumId="82">
    <w:nsid w:val="2708C9AF"/>
    <w:multiLevelType w:val="hybridMultilevel"/>
    <w:lvl w:ilvl="0">
      <w:lvlJc w:val="left"/>
      <w:lvlText w:val="(%1)"/>
      <w:numFmt w:val="lowerLetter"/>
      <w:start w:val="4"/>
    </w:lvl>
  </w:abstractNum>
  <w:abstractNum w:abstractNumId="83">
    <w:nsid w:val="5B25ACE2"/>
    <w:multiLevelType w:val="hybridMultilevel"/>
    <w:lvl w:ilvl="0">
      <w:lvlJc w:val="left"/>
      <w:lvlText w:val="(%1)"/>
      <w:numFmt w:val="lowerLetter"/>
      <w:start w:val="6"/>
    </w:lvl>
  </w:abstractNum>
  <w:abstractNum w:abstractNumId="84">
    <w:nsid w:val="175DFCF0"/>
    <w:multiLevelType w:val="hybridMultilevel"/>
    <w:lvl w:ilvl="0">
      <w:lvlJc w:val="left"/>
      <w:lvlText w:val="%1."/>
      <w:numFmt w:val="decimal"/>
      <w:start w:val="3"/>
    </w:lvl>
    <w:lvl w:ilvl="1">
      <w:lvlJc w:val="left"/>
      <w:lvlText w:val="(%2)"/>
      <w:numFmt w:val="lowerLetter"/>
      <w:start w:val="1"/>
    </w:lvl>
  </w:abstractNum>
  <w:abstractNum w:abstractNumId="85">
    <w:nsid w:val="4F97E3E4"/>
    <w:multiLevelType w:val="hybridMultilevel"/>
    <w:lvl w:ilvl="0">
      <w:lvlJc w:val="left"/>
      <w:lvlText w:val="(%1)"/>
      <w:numFmt w:val="decimal"/>
      <w:start w:val="45"/>
    </w:lvl>
    <w:lvl w:ilvl="1">
      <w:lvlJc w:val="left"/>
      <w:lvlText w:val="(%2)"/>
      <w:numFmt w:val="lowerLetter"/>
      <w:start w:val="2"/>
    </w:lvl>
  </w:abstractNum>
  <w:abstractNum w:abstractNumId="86">
    <w:nsid w:val="53B0A9E"/>
    <w:multiLevelType w:val="hybridMultilevel"/>
    <w:lvl w:ilvl="0">
      <w:lvlJc w:val="left"/>
      <w:lvlText w:val="%1"/>
      <w:numFmt w:val="decimal"/>
      <w:start w:val="1"/>
    </w:lvl>
    <w:lvl w:ilvl="1">
      <w:lvlJc w:val="left"/>
      <w:lvlText w:val="(%2)"/>
      <w:numFmt w:val="lowerLetter"/>
      <w:start w:val="4"/>
    </w:lvl>
  </w:abstractNum>
  <w:abstractNum w:abstractNumId="87">
    <w:nsid w:val="34FD6B4F"/>
    <w:multiLevelType w:val="hybridMultilevel"/>
    <w:lvl w:ilvl="0">
      <w:lvlJc w:val="left"/>
      <w:lvlText w:val="%1."/>
      <w:numFmt w:val="decimal"/>
      <w:start w:val="5"/>
    </w:lvl>
    <w:lvl w:ilvl="1">
      <w:lvlJc w:val="left"/>
      <w:lvlText w:val="(%2)"/>
      <w:numFmt w:val="lowerLetter"/>
      <w:start w:val="1"/>
    </w:lvl>
  </w:abstractNum>
  <w:abstractNum w:abstractNumId="88">
    <w:nsid w:val="5915FF32"/>
    <w:multiLevelType w:val="hybridMultilevel"/>
    <w:lvl w:ilvl="0">
      <w:lvlJc w:val="left"/>
      <w:lvlText w:val="%1"/>
      <w:numFmt w:val="decimal"/>
      <w:start w:val="1"/>
    </w:lvl>
    <w:lvl w:ilvl="1">
      <w:lvlJc w:val="left"/>
      <w:lvlText w:val="(%2)"/>
      <w:numFmt w:val="lowerLetter"/>
      <w:start w:val="2"/>
    </w:lvl>
  </w:abstractNum>
  <w:abstractNum w:abstractNumId="89">
    <w:nsid w:val="56438D15"/>
    <w:multiLevelType w:val="hybridMultilevel"/>
    <w:lvl w:ilvl="0">
      <w:lvlJc w:val="left"/>
      <w:lvlText w:val="%1."/>
      <w:numFmt w:val="decimal"/>
      <w:start w:val="6"/>
    </w:lvl>
    <w:lvl w:ilvl="1">
      <w:lvlJc w:val="left"/>
      <w:lvlText w:val="%2"/>
      <w:numFmt w:val="lowerLetter"/>
      <w:start w:val="1"/>
    </w:lvl>
  </w:abstractNum>
  <w:abstractNum w:abstractNumId="90">
    <w:nsid w:val="519E3149"/>
    <w:multiLevelType w:val="hybridMultilevel"/>
    <w:lvl w:ilvl="0">
      <w:lvlJc w:val="left"/>
      <w:lvlText w:val="%1."/>
      <w:numFmt w:val="decimal"/>
      <w:start w:val="10"/>
    </w:lvl>
    <w:lvl w:ilvl="1">
      <w:lvlJc w:val="left"/>
      <w:lvlText w:val="(%2)"/>
      <w:numFmt w:val="lowerLetter"/>
      <w:start w:val="1"/>
    </w:lvl>
  </w:abstractNum>
  <w:abstractNum w:abstractNumId="91">
    <w:nsid w:val="2C6E4AFD"/>
    <w:multiLevelType w:val="hybridMultilevel"/>
    <w:lvl w:ilvl="0">
      <w:lvlJc w:val="left"/>
      <w:lvlText w:val="%1."/>
      <w:numFmt w:val="decimal"/>
      <w:start w:val="11"/>
    </w:lvl>
  </w:abstractNum>
  <w:abstractNum w:abstractNumId="92">
    <w:nsid w:val="17A1B582"/>
    <w:multiLevelType w:val="hybridMultilevel"/>
    <w:lvl w:ilvl="0">
      <w:lvlJc w:val="left"/>
      <w:lvlText w:val="%1"/>
      <w:numFmt w:val="lowerRoman"/>
      <w:start w:val="1"/>
    </w:lvl>
    <w:lvl w:ilvl="1">
      <w:lvlJc w:val="left"/>
      <w:lvlText w:val="%2."/>
      <w:numFmt w:val="decimal"/>
      <w:start w:val="14"/>
    </w:lvl>
  </w:abstractNum>
  <w:abstractNum w:abstractNumId="93">
    <w:nsid w:val="4DF72E4E"/>
    <w:multiLevelType w:val="hybridMultilevel"/>
    <w:lvl w:ilvl="0">
      <w:lvlJc w:val="left"/>
      <w:lvlText w:val="(%1)"/>
      <w:numFmt w:val="lowerRoman"/>
      <w:start w:val="2"/>
    </w:lvl>
    <w:lvl w:ilvl="1">
      <w:lvlJc w:val="left"/>
      <w:lvlText w:val="%2."/>
      <w:numFmt w:val="decimal"/>
      <w:start w:val="19"/>
    </w:lvl>
  </w:abstractNum>
  <w:abstractNum w:abstractNumId="94">
    <w:nsid w:val="5046B5A9"/>
    <w:multiLevelType w:val="hybridMultilevel"/>
    <w:lvl w:ilvl="0">
      <w:lvlJc w:val="left"/>
      <w:lvlText w:val="%1."/>
      <w:numFmt w:val="decimal"/>
      <w:start w:val="20"/>
    </w:lvl>
  </w:abstractNum>
  <w:abstractNum w:abstractNumId="95">
    <w:nsid w:val="5D888A08"/>
    <w:multiLevelType w:val="hybridMultilevel"/>
    <w:lvl w:ilvl="0">
      <w:lvlJc w:val="left"/>
      <w:lvlText w:val="(%1)"/>
      <w:numFmt w:val="lowerLetter"/>
      <w:start w:val="1"/>
    </w:lvl>
    <w:lvl w:ilvl="1">
      <w:lvlJc w:val="left"/>
      <w:lvlText w:val="(%2)"/>
      <w:numFmt w:val="lowerRoman"/>
      <w:start w:val="1"/>
    </w:lvl>
  </w:abstractNum>
  <w:abstractNum w:abstractNumId="96">
    <w:nsid w:val="2A082C70"/>
    <w:multiLevelType w:val="hybridMultilevel"/>
    <w:lvl w:ilvl="0">
      <w:lvlJc w:val="left"/>
      <w:lvlText w:val="(%1)"/>
      <w:numFmt w:val="lowerLetter"/>
      <w:start w:val="1"/>
    </w:lvl>
    <w:lvl w:ilvl="1">
      <w:lvlJc w:val="left"/>
      <w:lvlText w:val="(%2)"/>
      <w:numFmt w:val="lowerRoman"/>
      <w:start w:val="1"/>
    </w:lvl>
  </w:abstractNum>
  <w:abstractNum w:abstractNumId="97">
    <w:nsid w:val="5EC6AFD4"/>
    <w:multiLevelType w:val="hybridMultilevel"/>
    <w:lvl w:ilvl="0">
      <w:lvlJc w:val="left"/>
      <w:lvlText w:val="%1"/>
      <w:numFmt w:val="lowerLetter"/>
      <w:start w:val="1"/>
    </w:lvl>
    <w:lvl w:ilvl="1">
      <w:lvlJc w:val="left"/>
      <w:lvlText w:val="(%2)"/>
      <w:numFmt w:val="lowerRoman"/>
      <w:start w:val="1"/>
    </w:lvl>
  </w:abstractNum>
  <w:abstractNum w:abstractNumId="98">
    <w:nsid w:val="19E21BB2"/>
    <w:multiLevelType w:val="hybridMultilevel"/>
    <w:lvl w:ilvl="0">
      <w:lvlJc w:val="left"/>
      <w:lvlText w:val="(%1)"/>
      <w:numFmt w:val="lowerLetter"/>
      <w:start w:val="3"/>
    </w:lvl>
    <w:lvl w:ilvl="1">
      <w:lvlJc w:val="left"/>
      <w:lvlText w:val="(%2)"/>
      <w:numFmt w:val="lowerRoman"/>
      <w:start w:val="1"/>
    </w:lvl>
  </w:abstractNum>
  <w:abstractNum w:abstractNumId="99">
    <w:nsid w:val="75E0858A"/>
    <w:multiLevelType w:val="hybridMultilevel"/>
    <w:lvl w:ilvl="0">
      <w:lvlJc w:val="left"/>
      <w:lvlText w:val="(%1)"/>
      <w:numFmt w:val="lowerLetter"/>
      <w:start w:val="1"/>
    </w:lvl>
  </w:abstractNum>
  <w:abstractNum w:abstractNumId="100">
    <w:nsid w:val="57A61A29"/>
    <w:multiLevelType w:val="hybridMultilevel"/>
    <w:lvl w:ilvl="0">
      <w:lvlJc w:val="left"/>
      <w:lvlText w:val="(%1)"/>
      <w:numFmt w:val="lowerLetter"/>
      <w:start w:val="2"/>
    </w:lvl>
  </w:abstractNum>
  <w:abstractNum w:abstractNumId="101">
    <w:nsid w:val="5399C654"/>
    <w:multiLevelType w:val="hybridMultilevel"/>
    <w:lvl w:ilvl="0">
      <w:lvlJc w:val="left"/>
      <w:lvlText w:val="(%1)"/>
      <w:numFmt w:val="lowerLetter"/>
      <w:start w:val="5"/>
    </w:lvl>
    <w:lvl w:ilvl="1">
      <w:lvlJc w:val="left"/>
      <w:lvlText w:val="(%2)"/>
      <w:numFmt w:val="lowerRoman"/>
      <w:start w:val="1"/>
    </w:lvl>
  </w:abstractNum>
  <w:abstractNum w:abstractNumId="102">
    <w:nsid w:val="20EE1348"/>
    <w:multiLevelType w:val="hybridMultilevel"/>
    <w:lvl w:ilvl="0">
      <w:lvlJc w:val="left"/>
      <w:lvlText w:val="%1"/>
      <w:numFmt w:val="lowerLetter"/>
      <w:start w:val="1"/>
    </w:lvl>
    <w:lvl w:ilvl="1">
      <w:lvlJc w:val="left"/>
      <w:lvlText w:val="(%2)"/>
      <w:numFmt w:val="lowerLetter"/>
      <w:start w:val="61"/>
    </w:lvl>
  </w:abstractNum>
  <w:abstractNum w:abstractNumId="103">
    <w:nsid w:val="4427069A"/>
    <w:multiLevelType w:val="hybridMultilevel"/>
    <w:lvl w:ilvl="0">
      <w:lvlJc w:val="left"/>
      <w:lvlText w:val="(%1)"/>
      <w:numFmt w:val="lowerLetter"/>
      <w:start w:val="8"/>
    </w:lvl>
    <w:lvl w:ilvl="1">
      <w:lvlJc w:val="left"/>
      <w:lvlText w:val="%2"/>
      <w:numFmt w:val="lowerLetter"/>
      <w:start w:val="1"/>
    </w:lvl>
  </w:abstractNum>
  <w:abstractNum w:abstractNumId="104">
    <w:nsid w:val="B37E80A"/>
    <w:multiLevelType w:val="hybridMultilevel"/>
    <w:lvl w:ilvl="0">
      <w:lvlJc w:val="left"/>
      <w:lvlText w:val="(%1)"/>
      <w:numFmt w:val="lowerLetter"/>
      <w:start w:val="13"/>
    </w:lvl>
  </w:abstractNum>
  <w:abstractNum w:abstractNumId="105">
    <w:nsid w:val="2157F6BC"/>
    <w:multiLevelType w:val="hybridMultilevel"/>
    <w:lvl w:ilvl="0">
      <w:lvlJc w:val="left"/>
      <w:lvlText w:val="(%1)"/>
      <w:numFmt w:val="lowerLetter"/>
      <w:start w:val="1"/>
    </w:lvl>
  </w:abstractNum>
  <w:abstractNum w:abstractNumId="106">
    <w:nsid w:val="704E1DD5"/>
    <w:multiLevelType w:val="hybridMultilevel"/>
    <w:lvl w:ilvl="0">
      <w:lvlJc w:val="left"/>
      <w:lvlText w:val="(%1)"/>
      <w:numFmt w:val="lowerLetter"/>
      <w:start w:val="3"/>
    </w:lvl>
  </w:abstractNum>
  <w:abstractNum w:abstractNumId="107">
    <w:nsid w:val="57D2F10E"/>
    <w:multiLevelType w:val="hybridMultilevel"/>
    <w:lvl w:ilvl="0">
      <w:lvlJc w:val="left"/>
      <w:lvlText w:val="(%1)"/>
      <w:numFmt w:val="lowerLetter"/>
      <w:start w:val="7"/>
    </w:lvl>
  </w:abstractNum>
  <w:abstractNum w:abstractNumId="108">
    <w:nsid w:val="BFFAE18"/>
    <w:multiLevelType w:val="hybridMultilevel"/>
    <w:lvl w:ilvl="0">
      <w:lvlJc w:val="left"/>
      <w:lvlText w:val="(%1)"/>
      <w:numFmt w:val="lowerLetter"/>
      <w:start w:val="8"/>
    </w:lvl>
  </w:abstractNum>
  <w:abstractNum w:abstractNumId="109">
    <w:nsid w:val="E3E47A8"/>
    <w:multiLevelType w:val="hybridMultilevel"/>
    <w:lvl w:ilvl="0">
      <w:lvlJc w:val="left"/>
      <w:lvlText w:val="(%1)"/>
      <w:numFmt w:val="lowerLetter"/>
      <w:start w:val="1"/>
    </w:lvl>
  </w:abstractNum>
  <w:abstractNum w:abstractNumId="110">
    <w:nsid w:val="2E48F044"/>
    <w:multiLevelType w:val="hybridMultilevel"/>
    <w:lvl w:ilvl="0">
      <w:lvlJc w:val="left"/>
      <w:lvlText w:val="(%1)"/>
      <w:numFmt w:val="lowerLetter"/>
      <w:start w:val="2"/>
    </w:lvl>
  </w:abstractNum>
  <w:abstractNum w:abstractNumId="111">
    <w:nsid w:val="49D0FEAC"/>
    <w:multiLevelType w:val="hybridMultilevel"/>
    <w:lvl w:ilvl="0">
      <w:lvlJc w:val="left"/>
      <w:lvlText w:val="(%1)"/>
      <w:numFmt w:val="lowerLetter"/>
      <w:start w:val="1"/>
    </w:lvl>
  </w:abstractNum>
  <w:abstractNum w:abstractNumId="112">
    <w:nsid w:val="4BEE5A5B"/>
    <w:multiLevelType w:val="hybridMultilevel"/>
    <w:lvl w:ilvl="0">
      <w:lvlJc w:val="left"/>
      <w:lvlText w:val="(%1)"/>
      <w:numFmt w:val="lowerLetter"/>
      <w:start w:val="3"/>
    </w:lvl>
  </w:abstractNum>
  <w:abstractNum w:abstractNumId="113">
    <w:nsid w:val="5551B9F3"/>
    <w:multiLevelType w:val="hybridMultilevel"/>
    <w:lvl w:ilvl="0">
      <w:lvlJc w:val="left"/>
      <w:lvlText w:val="(%1)"/>
      <w:numFmt w:val="lowerLetter"/>
      <w:start w:val="1"/>
    </w:lvl>
  </w:abstractNum>
  <w:abstractNum w:abstractNumId="114">
    <w:nsid w:val="24F6AB8E"/>
    <w:multiLevelType w:val="hybridMultilevel"/>
    <w:lvl w:ilvl="0">
      <w:lvlJc w:val="left"/>
      <w:lvlText w:val="(%1)"/>
      <w:numFmt w:val="lowerLetter"/>
      <w:start w:val="2"/>
    </w:lvl>
  </w:abstractNum>
  <w:abstractNum w:abstractNumId="115">
    <w:nsid w:val="634C574C"/>
    <w:multiLevelType w:val="hybridMultilevel"/>
    <w:lvl w:ilvl="0">
      <w:lvlJc w:val="left"/>
      <w:lvlText w:val="(%1)"/>
      <w:numFmt w:val="lowerLetter"/>
      <w:start w:val="1"/>
    </w:lvl>
  </w:abstractNum>
  <w:abstractNum w:abstractNumId="116">
    <w:nsid w:val="24E99DD7"/>
    <w:multiLevelType w:val="hybridMultilevel"/>
    <w:lvl w:ilvl="0">
      <w:lvlJc w:val="left"/>
      <w:lvlText w:val="(%1)"/>
      <w:numFmt w:val="lowerLetter"/>
      <w:start w:val="2"/>
    </w:lvl>
  </w:abstractNum>
  <w:abstractNum w:abstractNumId="117">
    <w:nsid w:val="2A31B62D"/>
    <w:multiLevelType w:val="hybridMultilevel"/>
    <w:lvl w:ilvl="0">
      <w:lvlJc w:val="left"/>
      <w:lvlText w:val="(%1)"/>
      <w:numFmt w:val="lowerLetter"/>
      <w:start w:val="1"/>
    </w:lvl>
  </w:abstractNum>
  <w:abstractNum w:abstractNumId="118">
    <w:nsid w:val="1849C29B"/>
    <w:multiLevelType w:val="hybridMultilevel"/>
    <w:lvl w:ilvl="0">
      <w:lvlJc w:val="left"/>
      <w:lvlText w:val="(%1)"/>
      <w:numFmt w:val="lowerLetter"/>
      <w:start w:val="1"/>
    </w:lvl>
  </w:abstractNum>
  <w:abstractNum w:abstractNumId="119">
    <w:nsid w:val="7DFF9D09"/>
    <w:multiLevelType w:val="hybridMultilevel"/>
    <w:lvl w:ilvl="0">
      <w:lvlJc w:val="left"/>
      <w:lvlText w:val="(%1)"/>
      <w:numFmt w:val="lowerLetter"/>
      <w:start w:val="1"/>
    </w:lvl>
    <w:lvl w:ilvl="1">
      <w:lvlJc w:val="left"/>
      <w:lvlText w:val="(%2)"/>
      <w:numFmt w:val="lowerRoman"/>
      <w:start w:val="1"/>
    </w:lvl>
  </w:abstractNum>
  <w:abstractNum w:abstractNumId="120">
    <w:nsid w:val="754342"/>
    <w:multiLevelType w:val="hybridMultilevel"/>
    <w:lvl w:ilvl="0">
      <w:lvlJc w:val="left"/>
      <w:lvlText w:val="(%1)"/>
      <w:numFmt w:val="lowerLetter"/>
      <w:start w:val="4"/>
    </w:lvl>
  </w:abstractNum>
  <w:abstractNum w:abstractNumId="121">
    <w:nsid w:val="69E7F3E5"/>
    <w:multiLevelType w:val="hybridMultilevel"/>
    <w:lvl w:ilvl="0">
      <w:lvlJc w:val="left"/>
      <w:lvlText w:val="%1."/>
      <w:numFmt w:val="decimal"/>
      <w:start w:val="1"/>
    </w:lvl>
  </w:abstractNum>
  <w:abstractNum w:abstractNumId="122">
    <w:nsid w:val="2A6DE806"/>
    <w:multiLevelType w:val="hybridMultilevel"/>
    <w:lvl w:ilvl="0">
      <w:lvlJc w:val="left"/>
      <w:lvlText w:val="%1."/>
      <w:numFmt w:val="decimal"/>
      <w:start w:val="1"/>
    </w:lvl>
  </w:abstractNum>
  <w:abstractNum w:abstractNumId="123">
    <w:nsid w:val="1816F8C4"/>
    <w:multiLevelType w:val="hybridMultilevel"/>
    <w:lvl w:ilvl="0">
      <w:lvlJc w:val="left"/>
      <w:lvlText w:val="%1."/>
      <w:numFmt w:val="decimal"/>
      <w:start w:val="2"/>
    </w:lvl>
  </w:abstractNum>
  <w:abstractNum w:abstractNumId="124">
    <w:nsid w:val="37DF2233"/>
    <w:multiLevelType w:val="hybridMultilevel"/>
    <w:lvl w:ilvl="0">
      <w:lvlJc w:val="left"/>
      <w:lvlText w:val="%1."/>
      <w:numFmt w:val="decimal"/>
      <w:start w:val="10"/>
    </w:lvl>
  </w:abstractNum>
  <w:abstractNum w:abstractNumId="125">
    <w:nsid w:val="7AB49DAF"/>
    <w:multiLevelType w:val="hybridMultilevel"/>
    <w:lvl w:ilvl="0">
      <w:lvlJc w:val="left"/>
      <w:lvlText w:val="%1."/>
      <w:numFmt w:val="decimal"/>
      <w:start w:val="1"/>
    </w:lvl>
  </w:abstractNum>
  <w:abstractNum w:abstractNumId="126">
    <w:nsid w:val="759F82CD"/>
    <w:multiLevelType w:val="hybridMultilevel"/>
    <w:lvl w:ilvl="0">
      <w:lvlJc w:val="left"/>
      <w:lvlText w:val="%1."/>
      <w:numFmt w:val="decimal"/>
      <w:start w:val="2"/>
    </w:lvl>
  </w:abstractNum>
  <w:abstractNum w:abstractNumId="127">
    <w:nsid w:val="61E74EA3"/>
    <w:multiLevelType w:val="hybridMultilevel"/>
    <w:lvl w:ilvl="0">
      <w:lvlJc w:val="left"/>
      <w:lvlText w:val="%1."/>
      <w:numFmt w:val="decimal"/>
      <w:start w:val="10"/>
    </w:lvl>
  </w:abstractNum>
  <w:abstractNum w:abstractNumId="128">
    <w:nsid w:val="597B4D84"/>
    <w:multiLevelType w:val="hybridMultilevel"/>
    <w:lvl w:ilvl="0">
      <w:lvlJc w:val="left"/>
      <w:lvlText w:val="%1."/>
      <w:numFmt w:val="decimal"/>
      <w:start w:val="1"/>
    </w:lvl>
  </w:abstractNum>
  <w:abstractNum w:abstractNumId="129">
    <w:nsid w:val="F819E7F"/>
    <w:multiLevelType w:val="hybridMultilevel"/>
    <w:lvl w:ilvl="0">
      <w:lvlJc w:val="left"/>
      <w:lvlText w:val="•"/>
      <w:numFmt w:val="bullet"/>
      <w:start w:val="1"/>
    </w:lvl>
  </w:abstractNum>
  <w:abstractNum w:abstractNumId="130">
    <w:nsid w:val="57C7D42D"/>
    <w:multiLevelType w:val="hybridMultilevel"/>
    <w:lvl w:ilvl="0">
      <w:lvlJc w:val="left"/>
      <w:lvlText w:val="%1."/>
      <w:numFmt w:val="decimal"/>
      <w:start w:val="2"/>
    </w:lvl>
  </w:abstractNum>
  <w:abstractNum w:abstractNumId="131">
    <w:nsid w:val="312167AD"/>
    <w:multiLevelType w:val="hybridMultilevel"/>
    <w:lvl w:ilvl="0">
      <w:lvlJc w:val="left"/>
      <w:lvlText w:val="%1."/>
      <w:numFmt w:val="decimal"/>
      <w:start w:val="4"/>
    </w:lvl>
    <w:lvl w:ilvl="1">
      <w:lvlJc w:val="left"/>
      <w:lvlText w:val="%2."/>
      <w:numFmt w:val="upperLetter"/>
      <w:start w:val="1"/>
    </w:lvl>
  </w:abstractNum>
  <w:abstractNum w:abstractNumId="132">
    <w:nsid w:val="631B64D4"/>
    <w:multiLevelType w:val="hybridMultilevel"/>
    <w:lvl w:ilvl="0">
      <w:lvlJc w:val="left"/>
      <w:lvlText w:val="•"/>
      <w:numFmt w:val="bullet"/>
      <w:start w:val="1"/>
    </w:lvl>
  </w:abstractNum>
  <w:abstractNum w:abstractNumId="133">
    <w:nsid w:val="78B5E776"/>
    <w:multiLevelType w:val="hybridMultilevel"/>
    <w:lvl w:ilvl="0">
      <w:lvlJc w:val="left"/>
      <w:lvlText w:val="%1."/>
      <w:numFmt w:val="upperLetter"/>
      <w:start w:val="3"/>
    </w:lvl>
  </w:abstractNum>
  <w:abstractNum w:abstractNumId="134">
    <w:nsid w:val="75486E47"/>
    <w:multiLevelType w:val="hybridMultilevel"/>
    <w:lvl w:ilvl="0">
      <w:lvlJc w:val="left"/>
      <w:lvlText w:val="%1."/>
      <w:numFmt w:val="upperLetter"/>
      <w:start w:val="4"/>
    </w:lvl>
  </w:abstractNum>
  <w:abstractNum w:abstractNumId="135">
    <w:nsid w:val="6E534CDE"/>
    <w:multiLevelType w:val="hybridMultilevel"/>
    <w:lvl w:ilvl="0">
      <w:lvlJc w:val="left"/>
      <w:lvlText w:val="%1."/>
      <w:numFmt w:val="decimal"/>
      <w:start w:val="5"/>
    </w:lvl>
  </w:abstractNum>
  <w:abstractNum w:abstractNumId="136">
    <w:nsid w:val="1A0DDE32"/>
    <w:multiLevelType w:val="hybridMultilevel"/>
    <w:lvl w:ilvl="0">
      <w:lvlJc w:val="left"/>
      <w:lvlText w:val="•"/>
      <w:numFmt w:val="bullet"/>
      <w:start w:val="1"/>
    </w:lvl>
  </w:abstractNum>
  <w:abstractNum w:abstractNumId="137">
    <w:nsid w:val="65968C1C"/>
    <w:multiLevelType w:val="hybridMultilevel"/>
    <w:lvl w:ilvl="0">
      <w:lvlJc w:val="left"/>
      <w:lvlText w:val="•"/>
      <w:numFmt w:val="bullet"/>
      <w:start w:val="1"/>
    </w:lvl>
  </w:abstractNum>
  <w:abstractNum w:abstractNumId="138">
    <w:nsid w:val="46263DEC"/>
    <w:multiLevelType w:val="hybridMultilevel"/>
    <w:lvl w:ilvl="0">
      <w:lvlJc w:val="left"/>
      <w:lvlText w:val="%1."/>
      <w:numFmt w:val="decimal"/>
      <w:start w:val="6"/>
    </w:lvl>
  </w:abstractNum>
  <w:abstractNum w:abstractNumId="139">
    <w:nsid w:val="260D8C4A"/>
    <w:multiLevelType w:val="hybridMultilevel"/>
    <w:lvl w:ilvl="0">
      <w:lvlJc w:val="left"/>
      <w:lvlText w:val="•"/>
      <w:numFmt w:val="bullet"/>
      <w:start w:val="1"/>
    </w:lvl>
  </w:abstractNum>
  <w:abstractNum w:abstractNumId="140">
    <w:nsid w:val="73D4D3C4"/>
    <w:multiLevelType w:val="hybridMultilevel"/>
    <w:lvl w:ilvl="0">
      <w:lvlJc w:val="left"/>
      <w:lvlText w:val="%1."/>
      <w:numFmt w:val="decimal"/>
      <w:start w:val="8"/>
    </w:lvl>
    <w:lvl w:ilvl="1">
      <w:lvlJc w:val="left"/>
      <w:lvlText w:val="%2."/>
      <w:numFmt w:val="upperLetter"/>
      <w:start w:val="1"/>
    </w:lvl>
  </w:abstractNum>
  <w:abstractNum w:abstractNumId="141">
    <w:nsid w:val="746F2E30"/>
    <w:multiLevelType w:val="hybridMultilevel"/>
    <w:lvl w:ilvl="0">
      <w:lvlJc w:val="left"/>
      <w:lvlText w:val="%1"/>
      <w:numFmt w:val="decimal"/>
      <w:start w:val="1"/>
    </w:lvl>
    <w:lvl w:ilvl="1">
      <w:lvlJc w:val="left"/>
      <w:lvlText w:val="%2."/>
      <w:numFmt w:val="upperLetter"/>
      <w:start w:val="2"/>
    </w:lvl>
  </w:abstractNum>
  <w:abstractNum w:abstractNumId="142">
    <w:nsid w:val="6FDE8AF6"/>
    <w:multiLevelType w:val="hybridMultilevel"/>
    <w:lvl w:ilvl="0">
      <w:lvlJc w:val="left"/>
      <w:lvlText w:val="%1."/>
      <w:numFmt w:val="decimal"/>
      <w:start w:val="11"/>
    </w:lvl>
    <w:lvl w:ilvl="1">
      <w:lvlJc w:val="left"/>
      <w:lvlText w:val="%2"/>
      <w:numFmt w:val="upperLetter"/>
      <w:start w:val="1"/>
    </w:lvl>
  </w:abstractNum>
  <w:abstractNum w:abstractNumId="143">
    <w:nsid w:val="3FC32E20"/>
    <w:multiLevelType w:val="hybridMultilevel"/>
    <w:lvl w:ilvl="0">
      <w:lvlJc w:val="left"/>
      <w:lvlText w:val="%1."/>
      <w:numFmt w:val="decimal"/>
      <w:start w:val="12"/>
    </w:lvl>
  </w:abstractNum>
  <w:abstractNum w:abstractNumId="144">
    <w:nsid w:val="49C0E823"/>
    <w:multiLevelType w:val="hybridMultilevel"/>
    <w:lvl w:ilvl="0">
      <w:lvlJc w:val="left"/>
      <w:lvlText w:val="%1."/>
      <w:numFmt w:val="decimal"/>
      <w:start w:val="14"/>
    </w:lvl>
    <w:lvl w:ilvl="1">
      <w:lvlJc w:val="left"/>
      <w:lvlText w:val="%2."/>
      <w:numFmt w:val="upperLetter"/>
      <w:start w:val="1"/>
    </w:lvl>
  </w:abstractNum>
  <w:abstractNum w:abstractNumId="145">
    <w:nsid w:val="14D53685"/>
    <w:multiLevelType w:val="hybridMultilevel"/>
    <w:lvl w:ilvl="0">
      <w:lvlJc w:val="left"/>
      <w:lvlText w:val="%1"/>
      <w:numFmt w:val="decimal"/>
      <w:start w:val="1"/>
    </w:lvl>
    <w:lvl w:ilvl="1">
      <w:lvlJc w:val="left"/>
      <w:lvlText w:val="%2."/>
      <w:numFmt w:val="upperLetter"/>
      <w:start w:val="3"/>
    </w:lvl>
  </w:abstractNum>
  <w:abstractNum w:abstractNumId="146">
    <w:nsid w:val="230F856C"/>
    <w:multiLevelType w:val="hybridMultilevel"/>
    <w:lvl w:ilvl="0">
      <w:lvlJc w:val="left"/>
      <w:lvlText w:val="%1."/>
      <w:numFmt w:val="decimal"/>
      <w:start w:val="15"/>
    </w:lvl>
    <w:lvl w:ilvl="1">
      <w:lvlJc w:val="left"/>
      <w:lvlText w:val="%2"/>
      <w:numFmt w:val="upperLetter"/>
      <w:start w:val="1"/>
    </w:lvl>
  </w:abstractNum>
  <w:abstractNum w:abstractNumId="147">
    <w:nsid w:val="6EAA85FB"/>
    <w:multiLevelType w:val="hybridMultilevel"/>
    <w:lvl w:ilvl="0">
      <w:lvlJc w:val="left"/>
      <w:lvlText w:val="●"/>
      <w:numFmt w:val="bullet"/>
      <w:start w:val="1"/>
    </w:lvl>
  </w:abstractNum>
  <w:abstractNum w:abstractNumId="148">
    <w:nsid w:val="3F06ECB2"/>
    <w:multiLevelType w:val="hybridMultilevel"/>
    <w:lvl w:ilvl="0">
      <w:lvlJc w:val="left"/>
      <w:lvlText w:val="%1."/>
      <w:numFmt w:val="decimal"/>
      <w:start w:val="17"/>
    </w:lvl>
  </w:abstractNum>
  <w:abstractNum w:abstractNumId="149">
    <w:nsid w:val="3B594807"/>
    <w:multiLevelType w:val="hybridMultilevel"/>
    <w:lvl w:ilvl="0">
      <w:lvlJc w:val="left"/>
      <w:lvlText w:val="•"/>
      <w:numFmt w:val="bullet"/>
      <w:start w:val="1"/>
    </w:lvl>
  </w:abstractNum>
  <w:abstractNum w:abstractNumId="150">
    <w:nsid w:val="6CAA2304"/>
    <w:multiLevelType w:val="hybridMultilevel"/>
    <w:lvl w:ilvl="0">
      <w:lvlJc w:val="left"/>
      <w:lvlText w:val="•"/>
      <w:numFmt w:val="bullet"/>
      <w:start w:val="1"/>
    </w:lvl>
  </w:abstractNum>
  <w:abstractNum w:abstractNumId="151">
    <w:nsid w:val="3F7C2FF4"/>
    <w:multiLevelType w:val="hybridMultilevel"/>
    <w:lvl w:ilvl="0">
      <w:lvlJc w:val="left"/>
      <w:lvlText w:val="•"/>
      <w:numFmt w:val="bullet"/>
      <w:start w:val="1"/>
    </w:lvl>
  </w:abstractNum>
  <w:abstractNum w:abstractNumId="152">
    <w:nsid w:val="25413BEC"/>
    <w:multiLevelType w:val="hybridMultilevel"/>
    <w:lvl w:ilvl="0">
      <w:lvlJc w:val="left"/>
      <w:lvlText w:val="(%1)"/>
      <w:numFmt w:val="decimal"/>
      <w:start w:val="1"/>
    </w:lvl>
  </w:abstractNum>
  <w:abstractNum w:abstractNumId="153">
    <w:nsid w:val="17180B0B"/>
    <w:multiLevelType w:val="hybridMultilevel"/>
    <w:lvl w:ilvl="0">
      <w:lvlJc w:val="left"/>
      <w:lvlText w:val="%1."/>
      <w:numFmt w:val="decimal"/>
      <w:start w:val="1"/>
    </w:lvl>
  </w:abstractNum>
  <w:abstractNum w:abstractNumId="154">
    <w:nsid w:val="579328B9"/>
    <w:multiLevelType w:val="hybridMultilevel"/>
    <w:lvl w:ilvl="0">
      <w:lvlJc w:val="left"/>
      <w:lvlText w:val="(%1)"/>
      <w:numFmt w:val="lowerLetter"/>
      <w:start w:val="1"/>
    </w:lvl>
  </w:abstractNum>
  <w:abstractNum w:abstractNumId="155">
    <w:nsid w:val="5D205E20"/>
    <w:multiLevelType w:val="hybridMultilevel"/>
    <w:lvl w:ilvl="0">
      <w:lvlJc w:val="left"/>
      <w:lvlText w:val="(%1)"/>
      <w:numFmt w:val="lowerLetter"/>
      <w:start w:val="6"/>
    </w:lvl>
  </w:abstractNum>
  <w:abstractNum w:abstractNumId="156">
    <w:nsid w:val="11CCA8BA"/>
    <w:multiLevelType w:val="hybridMultilevel"/>
    <w:lvl w:ilvl="0">
      <w:lvlJc w:val="left"/>
      <w:lvlText w:val="(%1)"/>
      <w:numFmt w:val="lowerLetter"/>
      <w:start w:val="27"/>
    </w:lvl>
  </w:abstractNum>
  <w:abstractNum w:abstractNumId="157">
    <w:nsid w:val="4D32AB86"/>
    <w:multiLevelType w:val="hybridMultilevel"/>
    <w:lvl w:ilvl="0">
      <w:lvlJc w:val="left"/>
      <w:lvlText w:val="(%1)"/>
      <w:numFmt w:val="lowerLetter"/>
      <w:start w:val="28"/>
    </w:lvl>
  </w:abstractNum>
  <w:abstractNum w:abstractNumId="158">
    <w:nsid w:val="3F07ACC3"/>
    <w:multiLevelType w:val="hybridMultilevel"/>
    <w:lvl w:ilvl="0">
      <w:lvlJc w:val="left"/>
      <w:lvlText w:val="(%1)"/>
      <w:numFmt w:val="lowerLetter"/>
      <w:start w:val="33"/>
    </w:lvl>
  </w:abstractNum>
  <w:abstractNum w:abstractNumId="159">
    <w:nsid w:val="6B47F63E"/>
    <w:multiLevelType w:val="hybridMultilevel"/>
    <w:lvl w:ilvl="0">
      <w:lvlJc w:val="left"/>
      <w:lvlText w:val="%1."/>
      <w:numFmt w:val="decimal"/>
      <w:start w:val="2"/>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jpe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32" Type="http://schemas.openxmlformats.org/officeDocument/2006/relationships/hyperlink" Target="https://www.sec.gov/Archives/edgar/data/2001557/000114036124040480/ny20012992x29_s4a.htm#tANNEXA" TargetMode="External"/><Relationship Id="rId33" Type="http://schemas.openxmlformats.org/officeDocument/2006/relationships/hyperlink" Target="https://www.sec.gov/Archives/edgar/data/1847577/000114036121034554/nt10022269x10_ex4-1.htm" TargetMode="External"/><Relationship Id="rId34" Type="http://schemas.openxmlformats.org/officeDocument/2006/relationships/hyperlink" Target="https://www.sec.gov/Archives/edgar/data/2001557/000114036124040480/ny20012992x29_s4a.htm#tANNEXC" TargetMode="External"/><Relationship Id="rId35" Type="http://schemas.openxmlformats.org/officeDocument/2006/relationships/hyperlink" Target="https://www.sec.gov/Archives/edgar/data/2001557/000114036124040480/ny20012992x29_s4a.htm#tANNEXD" TargetMode="External"/><Relationship Id="rId36" Type="http://schemas.openxmlformats.org/officeDocument/2006/relationships/hyperlink" Target="https://www.sec.gov/Archives/edgar/data/2001557/000114036124040480/ny20012992x29_s4a.htm#tANNEXK"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2024-10-09T05:20:48Z</dcterms:created>
  <dcterms:modified xsi:type="dcterms:W3CDTF">2024-10-09T05:20:48Z</dcterms:modified>
</cp:coreProperties>
</file>