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July 1,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July 1, 2025, the closing price of our Common Stock was $4.76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0"/>
          <w:szCs w:val="20"/>
          <w:color w:val="auto"/>
        </w:rPr>
      </w:pPr>
    </w:p>
    <w:tbl>
      <w:tblPr>
        <w:tblLayout w:type="fixed"/>
        <w:tblInd w:w="1060" w:type="dxa"/>
        <w:tblCellMar>
          <w:top w:w="0" w:type="dxa"/>
          <w:left w:w="0" w:type="dxa"/>
          <w:bottom w:w="0" w:type="dxa"/>
          <w:right w:w="0" w:type="dxa"/>
        </w:tblCellMar>
      </w:tblPr>
      <w:tr>
        <w:trPr>
          <w:trHeight w:val="227"/>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001-42303</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93-4440048</w:t>
            </w:r>
          </w:p>
        </w:tc>
      </w:tr>
      <w:tr>
        <w:trPr>
          <w:trHeight w:val="176"/>
        </w:trPr>
        <w:tc>
          <w:tcPr>
            <w:tcW w:w="214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21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spacing w:after="0"/>
              <w:rPr>
                <w:sz w:val="17"/>
                <w:szCs w:val="17"/>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2140" w:type="dxa"/>
            <w:vAlign w:val="bottom"/>
          </w:tcPr>
          <w:p>
            <w:pPr>
              <w:spacing w:after="0"/>
              <w:rPr>
                <w:sz w:val="22"/>
                <w:szCs w:val="22"/>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6900 Tavistock Lakes Blvd, Suite 400</w:t>
            </w:r>
          </w:p>
        </w:tc>
        <w:tc>
          <w:tcPr>
            <w:tcW w:w="1720" w:type="dxa"/>
            <w:vAlign w:val="bottom"/>
          </w:tcPr>
          <w:p>
            <w:pPr>
              <w:spacing w:after="0"/>
              <w:rPr>
                <w:sz w:val="22"/>
                <w:szCs w:val="22"/>
                <w:color w:val="auto"/>
              </w:rPr>
            </w:pPr>
          </w:p>
        </w:tc>
      </w:tr>
      <w:tr>
        <w:trPr>
          <w:trHeight w:val="238"/>
        </w:trPr>
        <w:tc>
          <w:tcPr>
            <w:tcW w:w="2140" w:type="dxa"/>
            <w:vAlign w:val="bottom"/>
          </w:tcPr>
          <w:p>
            <w:pPr>
              <w:spacing w:after="0"/>
              <w:rPr>
                <w:sz w:val="20"/>
                <w:szCs w:val="20"/>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Orlando, Florida 32827</w:t>
            </w:r>
          </w:p>
        </w:tc>
        <w:tc>
          <w:tcPr>
            <w:tcW w:w="1720" w:type="dxa"/>
            <w:vAlign w:val="bottom"/>
          </w:tcPr>
          <w:p>
            <w:pPr>
              <w:spacing w:after="0"/>
              <w:rPr>
                <w:sz w:val="20"/>
                <w:szCs w:val="20"/>
                <w:color w:val="auto"/>
              </w:rPr>
            </w:pPr>
          </w:p>
        </w:tc>
      </w:tr>
      <w:tr>
        <w:trPr>
          <w:trHeight w:val="220"/>
        </w:trPr>
        <w:tc>
          <w:tcPr>
            <w:tcW w:w="2140" w:type="dxa"/>
            <w:vAlign w:val="bottom"/>
          </w:tcPr>
          <w:p>
            <w:pPr>
              <w:spacing w:after="0"/>
              <w:rPr>
                <w:sz w:val="19"/>
                <w:szCs w:val="19"/>
                <w:color w:val="auto"/>
              </w:rPr>
            </w:pPr>
          </w:p>
        </w:tc>
        <w:tc>
          <w:tcPr>
            <w:tcW w:w="49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1720" w:type="dxa"/>
            <w:vAlign w:val="bottom"/>
          </w:tcPr>
          <w:p>
            <w:pPr>
              <w:spacing w:after="0"/>
              <w:rPr>
                <w:sz w:val="19"/>
                <w:szCs w:val="19"/>
                <w:color w:val="auto"/>
              </w:rPr>
            </w:pPr>
          </w:p>
        </w:tc>
      </w:tr>
      <w:tr>
        <w:trPr>
          <w:trHeight w:val="280"/>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(321) 209-6787</w:t>
            </w:r>
          </w:p>
        </w:tc>
        <w:tc>
          <w:tcPr>
            <w:tcW w:w="172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9"/>
                <w:szCs w:val="19"/>
                <w:color w:val="auto"/>
              </w:rPr>
            </w:pPr>
          </w:p>
        </w:tc>
      </w:tr>
      <w:tr>
        <w:trPr>
          <w:trHeight w:val="431"/>
        </w:trPr>
        <w:tc>
          <w:tcPr>
            <w:tcW w:w="2140" w:type="dxa"/>
            <w:vAlign w:val="bottom"/>
          </w:tcPr>
          <w:p>
            <w:pPr>
              <w:spacing w:after="0"/>
              <w:rPr>
                <w:sz w:val="24"/>
                <w:szCs w:val="24"/>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N/A</w:t>
            </w:r>
          </w:p>
        </w:tc>
        <w:tc>
          <w:tcPr>
            <w:tcW w:w="172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49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13" w:lineRule="exact"/>
        <w:rPr>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700" w:hanging="658"/>
        <w:spacing w:after="0"/>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37"/>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INV</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ind w:left="20"/>
        <w:spacing w:after="0" w:line="207" w:lineRule="exact"/>
        <w:tabs>
          <w:tab w:leader="none" w:pos="27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0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From June 27, 2025 through July 1, 2025, Accelsius Holdings LLC (“Accelsius”), a controlled subsidiary of Innventure, Inc., a Delaware corporation (the “Company”), issued convertible unsecured promissory notes in an aggregate principal amount of $13,000,000 with an option to issue additional convertible unsecured promissory notes in an aggregate principal amount of $2,000,000, subject to certain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Accelsius issued convertible unsecured promissory notes (collectively, the “Term Convertible Notes”) in an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$12,000,000 to certain investors, including WE-Inn LLC and Ascent Accelsius, A Series of Ascent X Innventure, LP, each of which is considered to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(as defined in the Company’s Related Party Transactions Policy) (collectively, the “Investors”). The Term Convertible Notes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at the discretion of the Investors, into Series A Units of Accelsius on or after January 2, 2026 and at a price per unit equal to $12.175, bear</w:t>
      </w:r>
    </w:p>
    <w:p>
      <w:pPr>
        <w:spacing w:after="0" w:line="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at the applicable federal rate and mature on December 31, 2026. Accelsius will apply the proceeds from the issuance of the Term Convertible Notes to repay (the “Repayment”) borrowings under that certain Loan and Security Agreement between Innventure LLC and Accelsius, dated as of March 30, 2023 (as amended to date, the “Innventure Convertible Line of Credit”). As a result of the Repayment, the Company’s indirect beneficial holdings, through Innventure LLC, of Accelsius may be reduced in the event that the Term Convertible Notes are converted into Series A Units of Accelsius.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Accelsius also sold a convertible unsecured promissory note (the “Bridge Convertible Note”) in an aggregate principal amount of $1,000,000 to Joshua Claman, Chief Executive Officer of Accelsius. An additional $2,000,000 in aggregate principal amount of Bridge Convertible Notes is issuable in $1,000,000 increments, upon the request of Accelsius and subject to Mr. Claman’s sole discretion. The Bridge Convertible Notes are convertible into equity of Accelsius (including preferred equity at a discount if certain conditions are met), bear interest at a rate of 15% per annum, and mature on December 31, 2025.</w:t>
      </w:r>
    </w:p>
    <w:p>
      <w:pPr>
        <w:spacing w:after="0" w:line="1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Innventure LLC, and Accelsius entered into a letter agreement (the “Letter Agreement”) with Mr. Claman pursuant to which Innventure LLC will not seek repayment of any portion of that Innventure Convertible Line of Credit other than the repayment of up to $12,000,000 that is anticipated to be made immediately following the issuance by Accelsius of the Term Convertible Notes, while any Bridge Convertible Notes remain outstanding.</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Bridge Convertible Notes and the Term Convertible Notes contain customary representations, warranties, and other agreements by Accelsius and, in the case of the Term Convertible Notes, the Investors. Each of WTI Fund X, Inc. and WTI Fund XI, Inc. (the “WTI Lenders”) and YA II PN, Ltd (“Yorkville”) have been granted certain rights under the Bridge Convertible Notes and the Term Convertible Notes, including with respect to restrictions on payment of the Bridge Convertible Notes and the Term Convertible Notes prior to the repayment of certain of the WTI Lenders’ and Yorkville’s existing indebtedness.</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 Convertible Notes, the Letter Agreement and the Bridge Convertible Notes are qualified in their entirety by reference to the text of the Term Convertible Notes, the Letter Agreement and the Bridge Convertible Notes, forms of which are included as Exhibit 10.1, Exhibit 10.2 and Exhibit 10.3, respectively, and are incorporated herein by reference.</w:t>
      </w:r>
    </w:p>
    <w:p>
      <w:pPr>
        <w:spacing w:after="0" w:line="1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in December 2024, the Compensation Committee of the Board of Directors of Innventure, Inc. (the “Company”) approved a grant of 150,000 appreciation rights (“SARs”) to each of Mike Otworth (the Company’s Executive Chairman) and Dr. John Scott (the Company’s Chief Strategy Officer). The SARs represent the right of the officer to receive a number of shares of the common stock of the Company (“Common Stock”) with a value equal to the appreciation in the value of a Class A Common Unit of Accelsius Holdings LLC over a base price of $12.175 (the “Spread”). In general, the SARs will be automatically exercised</w:t>
      </w:r>
    </w:p>
    <w:p>
      <w:pPr>
        <w:sectPr>
          <w:pgSz w:w="11900" w:h="16838" w:orient="portrait"/>
          <w:cols w:equalWidth="0" w:num="1">
            <w:col w:w="11240"/>
          </w:cols>
          <w:pgMar w:left="320" w:top="1413" w:right="339" w:bottom="1440" w:gutter="0" w:footer="0" w:header="0"/>
        </w:sectPr>
      </w:pPr>
    </w:p>
    <w:bookmarkStart w:id="3" w:name="page4"/>
    <w:bookmarkEnd w:id="3"/>
    <w:p>
      <w:pPr>
        <w:ind w:right="600"/>
        <w:spacing w:after="0" w:line="282" w:lineRule="auto"/>
        <w:rPr>
          <w:sz w:val="20"/>
          <w:szCs w:val="20"/>
          <w:color w:val="auto"/>
        </w:rPr>
      </w:pPr>
      <w:r>
        <w:rPr>
          <w:rFonts w:ascii="Times New Roman" w:cs="Times New Roman" w:eastAsia="Times New Roman" w:hAnsi="Times New Roman"/>
          <w:sz w:val="18"/>
          <w:szCs w:val="18"/>
          <w:color w:val="auto"/>
        </w:rPr>
        <w:t>upon the earliest to occur of: (a) the 24-month anniversary of the grant date, (b) the officer’s death, or (c) the officer’s “disability” (as defined in the applicable award agreement).</w:t>
      </w:r>
    </w:p>
    <w:p>
      <w:pPr>
        <w:spacing w:after="0" w:line="16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On June 25, 2025, each of Mr. Otworth and Dr. Scott entered into an amendment to his SAR award (each, a “SAR Amendment”) to (1) clarify that any payment by the Company to the applicable officer with respect to the SARs will be made in the form of shares of Common Stock and (2) to provide that the maximum number of shares of Common Stock that may be issued pursuant to each officer’s SAR award is 1,875,000 (the “Share Cap”). Under the SAR Amendment, the Company will not be required to pay either officer any amount in excess of the Share Cap (in the form of either equity or cash), even if the value of the number of shares of Common Stock issued in settlement of the SARs is less than the aggregate Spread as a result of the Share Cap.</w:t>
      </w:r>
    </w:p>
    <w:p>
      <w:pPr>
        <w:spacing w:after="0" w:line="16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SAR Amendment is qualified in its entirety by reference to the text of the SAR Amendment, a form of which is included as Exhibit 10.4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June 25, 2025, the Company held its Annual Meeting of Stockholders (the “2025 Annual Meeting”). At the close of business on April 28, 2025, the record date for the 2025 Annual Meeting, there were (i) 53,487,294 shares of Common Stock issued and outstanding, each share entitled to one vote, (ii) 239,159 shares of Series B Preferred Stock, par value of $0.0001 per share (the “Series B Preferred Stock”), issued and outstanding, each share of Series B Preferred Stock entitled to 0.97 votes, and (iii) 575,000 shares of Series C Preferred Stock, par value $0.0001 per share (the “Series C Preferred Stock”), issued and outstanding, each share of Series C Preferred Stock entitled to 1.3 votes, constituting all outstanding voting securities of the Company entitled to vote at the 2025 Annual Meeting.</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the 2025 Annual Meeting, the holders of shares of the Company’s Common Stock, Series B Preferred Stock, and Series C Preferred Stock, representing 35,999,645 votes in aggregate, were present in person or by proxy, constituting a quorum. A description of each matter voted upon at the 2025 Annual Meeting is described in detail in the Company’s Definitive Proxy Statement on Schedule 14A, as filed with the U.S. Securities and Exchange Commission on May 9, 2025. The final votes on the proposals presented at the 2025 Annual Meeting are set forth below.</w:t>
      </w:r>
    </w:p>
    <w:p>
      <w:pPr>
        <w:spacing w:after="0" w:line="176"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To elect three nominees to serve as Class I directors for a three-year term expiring at the 2028 annual meeting of stockholders.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nominees listed below has been elected to serve as a Class I director on the Company’s board of directors for a three-year term expiring at the 2028 annual meeting of stockholders or until their respective successors are elected and qualify. The voting results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W. Haskell</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31,153,355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3,222,706</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2"/>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Daniel J. Hennessy</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31,147,269</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3,228,792</w:t>
            </w:r>
          </w:p>
        </w:tc>
        <w:tc>
          <w:tcPr>
            <w:tcW w:w="10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r>
        <w:trPr>
          <w:trHeight w:val="257"/>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Michael Amalfitano</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31,838,348</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2,537,713</w:t>
            </w:r>
          </w:p>
        </w:tc>
        <w:tc>
          <w:tcPr>
            <w:tcW w:w="100" w:type="dxa"/>
            <w:vAlign w:val="bottom"/>
          </w:tcPr>
          <w:p>
            <w:pPr>
              <w:spacing w:after="0"/>
              <w:rPr>
                <w:sz w:val="22"/>
                <w:szCs w:val="22"/>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1,623,584</w:t>
            </w:r>
          </w:p>
        </w:tc>
      </w:tr>
    </w:tbl>
    <w:p>
      <w:pPr>
        <w:spacing w:after="0" w:line="31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To ratify the appointment of BDO USA, P.C.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2025. The ratification was approved by vote of stockholders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35,636,797</w:t>
            </w:r>
          </w:p>
        </w:tc>
        <w:tc>
          <w:tcPr>
            <w:tcW w:w="80" w:type="dxa"/>
            <w:vAlign w:val="bottom"/>
          </w:tcPr>
          <w:p>
            <w:pPr>
              <w:spacing w:after="0"/>
              <w:rPr>
                <w:sz w:val="19"/>
                <w:szCs w:val="19"/>
                <w:color w:val="auto"/>
              </w:rPr>
            </w:pPr>
          </w:p>
        </w:tc>
        <w:tc>
          <w:tcPr>
            <w:tcW w:w="27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223,622</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139,226</w:t>
            </w:r>
          </w:p>
        </w:tc>
        <w:tc>
          <w:tcPr>
            <w:tcW w:w="100" w:type="dxa"/>
            <w:vAlign w:val="bottom"/>
          </w:tcPr>
          <w:p>
            <w:pPr>
              <w:spacing w:after="0"/>
              <w:rPr>
                <w:sz w:val="19"/>
                <w:szCs w:val="19"/>
                <w:color w:val="auto"/>
              </w:rPr>
            </w:pPr>
          </w:p>
        </w:tc>
        <w:tc>
          <w:tcPr>
            <w:tcW w:w="27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October 2, 2024, pursuant to the Standby</w:t>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Equity Purchase Agreement with YA II PN, Ltd. (“Yorkville”). Proposal 3 was approved by vote of stockholders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32,930,848</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1,236,199</w:t>
            </w:r>
          </w:p>
        </w:tc>
        <w:tc>
          <w:tcPr>
            <w:tcW w:w="100" w:type="dxa"/>
            <w:vAlign w:val="bottom"/>
          </w:tcPr>
          <w:p>
            <w:pPr>
              <w:spacing w:after="0"/>
              <w:rPr>
                <w:sz w:val="19"/>
                <w:szCs w:val="19"/>
                <w:color w:val="auto"/>
              </w:rPr>
            </w:pPr>
          </w:p>
        </w:tc>
        <w:tc>
          <w:tcPr>
            <w:tcW w:w="27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209,014</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310"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Proposal 4</w:t>
      </w:r>
      <w:r>
        <w:rPr>
          <w:rFonts w:ascii="Times New Roman" w:cs="Times New Roman" w:eastAsia="Times New Roman" w:hAnsi="Times New Roman"/>
          <w:sz w:val="18"/>
          <w:szCs w:val="18"/>
          <w:color w:val="auto"/>
        </w:rPr>
        <w:t>: To approve, for purposes of complying with Nasdaq Listing Rule 5635(d), the issuance of 20% or more of the Company’s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as of March 25, 2025, pursuant to the convertible debentures, convertible into shares of Common Stock subject to certain conditions and limitations, in the aggregate principal amount of up to $30.0 million, with Yorkville. Proposal 4 was approved by vote of stockholders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7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33,231,820</w:t>
            </w:r>
          </w:p>
        </w:tc>
        <w:tc>
          <w:tcPr>
            <w:tcW w:w="80" w:type="dxa"/>
            <w:vAlign w:val="bottom"/>
          </w:tcPr>
          <w:p>
            <w:pPr>
              <w:spacing w:after="0"/>
              <w:rPr>
                <w:sz w:val="19"/>
                <w:szCs w:val="19"/>
                <w:color w:val="auto"/>
              </w:rPr>
            </w:pPr>
          </w:p>
        </w:tc>
        <w:tc>
          <w:tcPr>
            <w:tcW w:w="27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1,144,220</w:t>
            </w:r>
          </w:p>
        </w:tc>
        <w:tc>
          <w:tcPr>
            <w:tcW w:w="100" w:type="dxa"/>
            <w:vAlign w:val="bottom"/>
          </w:tcPr>
          <w:p>
            <w:pPr>
              <w:spacing w:after="0"/>
              <w:rPr>
                <w:sz w:val="19"/>
                <w:szCs w:val="19"/>
                <w:color w:val="auto"/>
              </w:rPr>
            </w:pPr>
          </w:p>
        </w:tc>
        <w:tc>
          <w:tcPr>
            <w:tcW w:w="27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7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1,623,584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Form of Term Convertible Note</w:t>
              </w:r>
            </w:hyperlink>
          </w:p>
        </w:tc>
        <w:tc>
          <w:tcPr>
            <w:tcW w:w="7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tcBorders>
              <w:bottom w:val="single" w:sz="8" w:color="0000FF"/>
            </w:tcBorders>
          </w:tcPr>
          <w:p>
            <w:pPr>
              <w:spacing w:after="0"/>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The Letter Agreement</w:t>
              </w:r>
            </w:hyperlink>
          </w:p>
        </w:tc>
        <w:tc>
          <w:tcPr>
            <w:tcW w:w="77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Form of Bridge Convertible Note</w:t>
              </w:r>
            </w:hyperlink>
          </w:p>
        </w:tc>
        <w:tc>
          <w:tcPr>
            <w:tcW w:w="0" w:type="dxa"/>
            <w:vAlign w:val="bottom"/>
          </w:tcPr>
          <w:p>
            <w:pPr>
              <w:spacing w:after="0"/>
              <w:rPr>
                <w:sz w:val="1"/>
                <w:szCs w:val="1"/>
                <w:color w:val="auto"/>
              </w:rPr>
            </w:pPr>
          </w:p>
        </w:tc>
      </w:tr>
      <w:tr>
        <w:trPr>
          <w:trHeight w:val="20"/>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8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20" w:type="dxa"/>
            <w:vAlign w:val="bottom"/>
            <w:gridSpan w:val="5"/>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Form of Amendment to Stock Appreciation Right Award Agreement</w:t>
              </w:r>
            </w:hyperlink>
          </w:p>
        </w:tc>
        <w:tc>
          <w:tcPr>
            <w:tcW w:w="0" w:type="dxa"/>
            <w:vAlign w:val="bottom"/>
          </w:tcPr>
          <w:p>
            <w:pPr>
              <w:spacing w:after="0"/>
              <w:rPr>
                <w:sz w:val="1"/>
                <w:szCs w:val="1"/>
                <w:color w:val="auto"/>
              </w:rPr>
            </w:pPr>
          </w:p>
        </w:tc>
      </w:tr>
      <w:tr>
        <w:trPr>
          <w:trHeight w:val="291"/>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3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4160" w:type="dxa"/>
            <w:vAlign w:val="bottom"/>
          </w:tcPr>
          <w:p>
            <w:pPr>
              <w:spacing w:after="0"/>
              <w:rPr>
                <w:sz w:val="20"/>
                <w:szCs w:val="20"/>
                <w:color w:val="auto"/>
              </w:rPr>
            </w:pP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2025</w:t>
            </w: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r>
      <w:tr>
        <w:trPr>
          <w:trHeight w:val="27"/>
        </w:trPr>
        <w:tc>
          <w:tcPr>
            <w:tcW w:w="2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50"/>
        </w:trPr>
        <w:tc>
          <w:tcPr>
            <w:tcW w:w="2920" w:type="dxa"/>
            <w:vAlign w:val="bottom"/>
          </w:tcPr>
          <w:p>
            <w:pPr>
              <w:spacing w:after="0"/>
              <w:rPr>
                <w:sz w:val="21"/>
                <w:szCs w:val="21"/>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r>
      <w:tr>
        <w:trPr>
          <w:trHeight w:val="284"/>
        </w:trPr>
        <w:tc>
          <w:tcPr>
            <w:tcW w:w="2920" w:type="dxa"/>
            <w:vAlign w:val="bottom"/>
          </w:tcPr>
          <w:p>
            <w:pPr>
              <w:spacing w:after="0"/>
              <w:rPr>
                <w:sz w:val="24"/>
                <w:szCs w:val="24"/>
                <w:color w:val="auto"/>
              </w:rPr>
            </w:pPr>
          </w:p>
        </w:tc>
        <w:tc>
          <w:tcPr>
            <w:tcW w:w="39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160"/>
      </w:cols>
      <w:pgMar w:left="320" w:top="141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s://www.sec.gov/Archives/edgar/data/2001557/000162828025033614/exhibit101.htm" TargetMode="External"/><Relationship Id="rId14" Type="http://schemas.openxmlformats.org/officeDocument/2006/relationships/hyperlink" Target="https://www.sec.gov/Archives/edgar/data/2001557/000162828025033614/exhibit102.htm" TargetMode="External"/><Relationship Id="rId15" Type="http://schemas.openxmlformats.org/officeDocument/2006/relationships/hyperlink" Target="https://www.sec.gov/Archives/edgar/data/2001557/000162828025033614/exhibit103.htm" TargetMode="External"/><Relationship Id="rId16" Type="http://schemas.openxmlformats.org/officeDocument/2006/relationships/hyperlink" Target="https://www.sec.gov/Archives/edgar/data/2001557/000162828025033614/exhibit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2025-07-02T15:48:06Z</dcterms:created>
  <dcterms:modified xsi:type="dcterms:W3CDTF">2025-07-02T15:48:06Z</dcterms:modified>
</cp:coreProperties>
</file>