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45784M108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Michael Otworth</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6900 TAVISTOCK LAKES BLVD, SUITE 400,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Orlando, FL, 32827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321-209-6787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Otworth Michael</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2,942,902.00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2,942,902.00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2,942,902.00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760"/>
          </w:cols>
          <w:pgMar w:left="360" w:top="111" w:right="6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Innventure,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6900 TAVISTOCK LAKES BLVD, SUITE 400, ORLANDO, FLORIDA , 32827.</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Otworth</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6900 Tavistock Lakes Blvd., Suite 400, Orlando, FL 32827</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Chairman and a Class III director of Innventure, Inc.</w:t>
      </w:r>
    </w:p>
    <w:p>
      <w:pPr>
        <w:spacing w:after="0" w:line="44" w:lineRule="exact"/>
        <w:rPr>
          <w:rFonts w:ascii="Times New Roman" w:cs="Times New Roman" w:eastAsia="Times New Roman" w:hAnsi="Times New Roman"/>
          <w:sz w:val="22"/>
          <w:szCs w:val="22"/>
          <w:color w:val="auto"/>
        </w:rPr>
      </w:pPr>
    </w:p>
    <w:p>
      <w:pPr>
        <w:ind w:left="9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past five years the Reporting Persons has not been convicted in a criminal proceeding (excluding traffic violations or similar misdemeanors) nor was the Reporting Person a party to a civil proceeding or a judicial or</w:t>
      </w:r>
    </w:p>
    <w:p>
      <w:pPr>
        <w:ind w:left="940" w:right="40" w:hanging="932"/>
        <w:spacing w:after="0" w:line="235"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body of competent jurisdiction and as a result of such proceeding was or is subject to a judgment, decree or final order enjoying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40" w:hanging="932"/>
        <w:spacing w:after="0" w:line="261" w:lineRule="auto"/>
        <w:tabs>
          <w:tab w:leader="none" w:pos="9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past five years the Reporting Persons has not been convicted in a criminal proceeding (excluding traffic violations or similar misdemeanors) nor was the Reporting Person a party to a civil proceeding or a judicial or administrative body of competent jurisdiction and as a result of such proceeding was or is subject to a judgment,</w:t>
      </w:r>
    </w:p>
    <w:p>
      <w:pPr>
        <w:sectPr>
          <w:pgSz w:w="11900" w:h="16838" w:orient="portrait"/>
          <w:cols w:equalWidth="0" w:num="1">
            <w:col w:w="10880"/>
          </w:cols>
          <w:pgMar w:left="360" w:top="111" w:right="659" w:bottom="0" w:gutter="0" w:footer="0" w:header="0"/>
          <w:type w:val="continuous"/>
        </w:sectPr>
      </w:pPr>
    </w:p>
    <w:bookmarkStart w:id="2" w:name="page3"/>
    <w:bookmarkEnd w:id="2"/>
    <w:p>
      <w:pPr>
        <w:ind w:left="940" w:right="320"/>
        <w:spacing w:after="0" w:line="256" w:lineRule="auto"/>
        <w:rPr>
          <w:sz w:val="20"/>
          <w:szCs w:val="20"/>
          <w:color w:val="auto"/>
        </w:rPr>
      </w:pPr>
      <w:r>
        <w:rPr>
          <w:rFonts w:ascii="Times New Roman" w:cs="Times New Roman" w:eastAsia="Times New Roman" w:hAnsi="Times New Roman"/>
          <w:sz w:val="22"/>
          <w:szCs w:val="22"/>
          <w:color w:val="auto"/>
        </w:rPr>
        <w:t>decree or final order enjoying future violations of, or prohibiting or mandating activities subject to, federal or state securities laws or finding any violation with respect to such laws.</w:t>
      </w:r>
    </w:p>
    <w:p>
      <w:pPr>
        <w:spacing w:after="0" w:line="1" w:lineRule="exact"/>
        <w:rPr>
          <w:sz w:val="20"/>
          <w:szCs w:val="20"/>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40"/>
        <w:spacing w:after="0" w:line="246" w:lineRule="auto"/>
        <w:rPr>
          <w:sz w:val="20"/>
          <w:szCs w:val="20"/>
          <w:color w:val="auto"/>
        </w:rPr>
      </w:pPr>
      <w:r>
        <w:rPr>
          <w:rFonts w:ascii="Times New Roman" w:cs="Times New Roman" w:eastAsia="Times New Roman" w:hAnsi="Times New Roman"/>
          <w:sz w:val="21"/>
          <w:szCs w:val="21"/>
          <w:color w:val="auto"/>
        </w:rPr>
        <w:t>On October 2, 2024, the Reporting Person received 2,552,625 shares of the Issuer's common stock in connection with the business combination in accordance with the Business Combination Agreement, (as amended and supplemented), dated as of October 24, 2023, by and among the Issuer, Learn CW Investment Corporation, Innventure LLC, LCW Merger Sub, Inc., and Innventure Merger Sub, LLC. On February 4, 2025, the Reporting Person received 154,829 shares of the Issuer's common stock in connection with the achievement of a milestone pursuant to the Business Combination Agreement. On February 13, 2025, the Reporting Person received 7,126 shares of the Issuer's common stock in connection with a pro rata distribution from Inneventure1 LLC, which were previously reported as indirectly attributable to the Reporting Person as a result of the Reporting Person having shared voting and investment power in respect of Innventure1 LLC. On April 24, 2025, the Reporting Person converted 114,161 shares of the Issuer's Series C Preferred Stock, resulting in the issuance of 228,322 shares of the Issuer's common stock.</w:t>
      </w:r>
    </w:p>
    <w:p>
      <w:pPr>
        <w:spacing w:after="0" w:line="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39" w:lineRule="auto"/>
        <w:rPr>
          <w:sz w:val="20"/>
          <w:szCs w:val="20"/>
          <w:color w:val="auto"/>
        </w:rPr>
      </w:pPr>
      <w:r>
        <w:rPr>
          <w:rFonts w:ascii="Times New Roman" w:cs="Times New Roman" w:eastAsia="Times New Roman" w:hAnsi="Times New Roman"/>
          <w:sz w:val="22"/>
          <w:szCs w:val="22"/>
          <w:color w:val="auto"/>
        </w:rPr>
        <w:t>The Reporting Person is the Executive Chairman and a Class III director of the Issuer. He acquired all of his securities for investment purposes only and are being held as a long-term investment. The Reporting Person does not have any current plans or proposals which relate to or would result in any matters set forth in Items 4(a) through 4(j) of Schedule 13D.</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60"/>
        <w:spacing w:after="0" w:line="249" w:lineRule="auto"/>
        <w:rPr>
          <w:sz w:val="20"/>
          <w:szCs w:val="20"/>
          <w:color w:val="auto"/>
        </w:rPr>
      </w:pPr>
      <w:r>
        <w:rPr>
          <w:rFonts w:ascii="Times New Roman" w:cs="Times New Roman" w:eastAsia="Times New Roman" w:hAnsi="Times New Roman"/>
          <w:sz w:val="21"/>
          <w:szCs w:val="21"/>
          <w:color w:val="auto"/>
        </w:rPr>
        <w:t>The Reporting Person beneficially owns 2,942,902 shares of the Issuer's common stock. Does not include 537,705 restricted stock units and 262,295 non-qualified stock options, which vest and become exercisable, respectively, on October 2, 2025, or, if earlier, on the same date that the lock-up set forth in the contractual lock-up agreement entered</w:t>
      </w:r>
    </w:p>
    <w:p>
      <w:pPr>
        <w:spacing w:after="0" w:line="1" w:lineRule="exact"/>
        <w:rPr>
          <w:sz w:val="20"/>
          <w:szCs w:val="20"/>
          <w:color w:val="auto"/>
        </w:rPr>
      </w:pPr>
    </w:p>
    <w:p>
      <w:pPr>
        <w:ind w:left="940" w:right="36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into by the Reporting Person with the Issuer on October 24, 2023 terminates pursuant to its terms, subject to the Reporting Person's continuous service to the Issuer until the applicable vesting date. The above number of shares amounts to approximately 5.5% of the 53,487,294 outstanding shares of the Issuer's common stock as of April 25, 2025.</w:t>
      </w:r>
    </w:p>
    <w:p>
      <w:pPr>
        <w:spacing w:after="0" w:line="15" w:lineRule="exact"/>
        <w:rPr>
          <w:rFonts w:ascii="Times New Roman" w:cs="Times New Roman" w:eastAsia="Times New Roman" w:hAnsi="Times New Roman"/>
          <w:sz w:val="22"/>
          <w:szCs w:val="22"/>
          <w:color w:val="auto"/>
        </w:rPr>
      </w:pPr>
    </w:p>
    <w:p>
      <w:pPr>
        <w:ind w:left="940" w:right="98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has the sole power to vote or to direct the vote, sole power to dispose or to direct the disposition of all shares beneficially owned by the Reporting Person.</w:t>
      </w:r>
    </w:p>
    <w:p>
      <w:pPr>
        <w:spacing w:after="0" w:line="17" w:lineRule="exact"/>
        <w:rPr>
          <w:rFonts w:ascii="Times New Roman" w:cs="Times New Roman" w:eastAsia="Times New Roman" w:hAnsi="Times New Roman"/>
          <w:sz w:val="39"/>
          <w:szCs w:val="39"/>
          <w:color w:val="auto"/>
          <w:vertAlign w:val="subscript"/>
        </w:rPr>
      </w:pPr>
    </w:p>
    <w:p>
      <w:pPr>
        <w:ind w:left="940" w:right="48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described under Item 3 above, the Reporting Person did not engage in any transactions in shares of the Company's common stock during the past 60 days.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40" w:right="1660" w:hanging="931"/>
        <w:spacing w:after="0" w:line="281" w:lineRule="auto"/>
        <w:tabs>
          <w:tab w:leader="none" w:pos="92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Not applicable.</w:t>
      </w:r>
    </w:p>
    <w:p>
      <w:pPr>
        <w:spacing w:after="0" w:line="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Otworth Michael</w:t>
      </w:r>
    </w:p>
    <w:p>
      <w:pPr>
        <w:spacing w:after="0" w:line="152"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Otworth</w:t>
      </w:r>
    </w:p>
    <w:p>
      <w:pPr>
        <w:spacing w:after="0" w:line="4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08/18/2025</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6"/>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2025-08-18T10:51:00Z</dcterms:created>
  <dcterms:modified xsi:type="dcterms:W3CDTF">2025-08-18T10:51:00Z</dcterms:modified>
</cp:coreProperties>
</file>