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045784108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Gerlad Muizelaar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WE-INN LLC, 2045 W Grand Ave Ste B, PMB 82152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60612-1577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248-2523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045784108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WE-INN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8,339,985.00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8,339,985.00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8,339,985.00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14.37 %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Note to Row 13: Calculated based on 58,046,433 shares of Common Stock, par value $0.0001 per share, of</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20"/>
              <w:spacing w:after="0" w:line="229" w:lineRule="exact"/>
              <w:rPr>
                <w:sz w:val="20"/>
                <w:szCs w:val="20"/>
                <w:color w:val="auto"/>
              </w:rPr>
            </w:pPr>
            <w:r>
              <w:rPr>
                <w:rFonts w:ascii="Times New Roman" w:cs="Times New Roman" w:eastAsia="Times New Roman" w:hAnsi="Times New Roman"/>
                <w:sz w:val="22"/>
                <w:szCs w:val="22"/>
                <w:color w:val="auto"/>
                <w:w w:val="98"/>
              </w:rPr>
              <w:t>Innventure, Inc. outstanding as of October 14, 2025, as reported in the issuer's Registration Statement on Form 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1, filed with the Securities and Exchange Commission on October 23, 2025.</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(this "Amendment") amends the original Scheduled 13D filed jointly by WE-INN LLC,</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Gregory D. Wasson, and Kimberly Wasson (collectively, the "Reporting Persons")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on October 7, 2024 (the "Original Statement") and related to the Common Stock, par value $0.0001 per share (the "Common Stock"), of Innventure, Inc., a Delaware corporation (the "Issuer"). Except as set forth herein,</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Original Statement is unmodified.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subparts (a) and (b) of Item 5 of the Original Statement is hereby amended and restated</w:t>
      </w:r>
    </w:p>
    <w:p>
      <w:pPr>
        <w:sectPr>
          <w:pgSz w:w="11900" w:h="16838" w:orient="portrait"/>
          <w:cols w:equalWidth="0" w:num="1">
            <w:col w:w="11240"/>
          </w:cols>
          <w:pgMar w:left="320" w:top="126" w:right="339" w:bottom="0" w:gutter="0" w:footer="0" w:header="0"/>
        </w:sectPr>
      </w:pPr>
    </w:p>
    <w:bookmarkStart w:id="2" w:name="page3"/>
    <w:bookmarkEnd w:id="2"/>
    <w:p>
      <w:pPr>
        <w:ind w:left="912"/>
        <w:spacing w:after="0"/>
        <w:rPr>
          <w:sz w:val="20"/>
          <w:szCs w:val="20"/>
          <w:color w:val="auto"/>
        </w:rPr>
      </w:pPr>
      <w:r>
        <w:rPr>
          <w:rFonts w:ascii="Times New Roman" w:cs="Times New Roman" w:eastAsia="Times New Roman" w:hAnsi="Times New Roman"/>
          <w:sz w:val="22"/>
          <w:szCs w:val="22"/>
          <w:color w:val="auto"/>
        </w:rPr>
        <w:t>as follows: As of the date of this Amendment, the Reporting persons beneficially owned 8,339,985 shares of Common Stock. Based on 58,046,433 shares of Common Stock outstanding as of October 14, 2025, as reported in the Issuer's Registration Statement on Form S-1, filed with the Securities and Exchange Commission on October 23, 2025, the Reporting Persons beneficially owned approximately 14.37% of the Common Stock outstanding.</w:t>
      </w:r>
    </w:p>
    <w:p>
      <w:pPr>
        <w:spacing w:after="0" w:line="15" w:lineRule="exact"/>
        <w:rPr>
          <w:sz w:val="20"/>
          <w:szCs w:val="20"/>
          <w:color w:val="auto"/>
        </w:rPr>
      </w:pPr>
    </w:p>
    <w:p>
      <w:pPr>
        <w:ind w:left="912" w:right="240"/>
        <w:spacing w:after="0" w:line="253" w:lineRule="auto"/>
        <w:rPr>
          <w:sz w:val="20"/>
          <w:szCs w:val="20"/>
          <w:color w:val="auto"/>
        </w:rPr>
      </w:pPr>
      <w:r>
        <w:rPr>
          <w:rFonts w:ascii="Times New Roman" w:cs="Times New Roman" w:eastAsia="Times New Roman" w:hAnsi="Times New Roman"/>
          <w:sz w:val="21"/>
          <w:szCs w:val="21"/>
          <w:color w:val="auto"/>
        </w:rPr>
        <w:t>The Reporting Persons effected the following transactions with respect to the Common Stock during the past sixty days, all of which were open market sales: (i) Sold 2,300 shares on October 10, 2025 at a volume weighted average</w:t>
      </w:r>
    </w:p>
    <w:p>
      <w:pPr>
        <w:spacing w:after="0" w:line="1" w:lineRule="exact"/>
        <w:rPr>
          <w:sz w:val="20"/>
          <w:szCs w:val="20"/>
          <w:color w:val="auto"/>
        </w:rPr>
      </w:pPr>
    </w:p>
    <w:p>
      <w:pPr>
        <w:jc w:val="both"/>
        <w:ind w:left="912" w:right="200" w:hanging="912"/>
        <w:spacing w:after="0" w:line="235" w:lineRule="auto"/>
        <w:tabs>
          <w:tab w:leader="none" w:pos="9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of $3.92 per share; (ii) Sold 436,296 shares on October 22, 2025 at a volume weighted average price of $3.01 per share; (iii) Sold 193,587 shares on October 23, 2025 at a volume weighted average price of $3.13 per share; and (iv) Sold 263,627 shares on October 24, 2025 at a volume weighted average price of $3.03 per share.</w:t>
      </w:r>
    </w:p>
    <w:p>
      <w:pPr>
        <w:spacing w:after="0" w:line="28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32"/>
        <w:spacing w:after="0"/>
        <w:rPr>
          <w:sz w:val="20"/>
          <w:szCs w:val="20"/>
          <w:color w:val="auto"/>
        </w:rPr>
      </w:pPr>
      <w:r>
        <w:rPr>
          <w:rFonts w:ascii="Times New Roman" w:cs="Times New Roman" w:eastAsia="Times New Roman" w:hAnsi="Times New Roman"/>
          <w:sz w:val="22"/>
          <w:szCs w:val="22"/>
          <w:color w:val="auto"/>
        </w:rPr>
        <w:t>WE-INN LLC</w:t>
      </w:r>
    </w:p>
    <w:p>
      <w:pPr>
        <w:spacing w:after="0" w:line="152" w:lineRule="exact"/>
        <w:rPr>
          <w:sz w:val="20"/>
          <w:szCs w:val="20"/>
          <w:color w:val="auto"/>
        </w:rPr>
      </w:pPr>
    </w:p>
    <w:p>
      <w:pPr>
        <w:ind w:left="3892"/>
        <w:spacing w:after="0"/>
        <w:tabs>
          <w:tab w:leader="none" w:pos="49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D. Wasson</w:t>
      </w:r>
    </w:p>
    <w:p>
      <w:pPr>
        <w:spacing w:after="0" w:line="44" w:lineRule="exact"/>
        <w:rPr>
          <w:sz w:val="20"/>
          <w:szCs w:val="20"/>
          <w:color w:val="auto"/>
        </w:rPr>
      </w:pPr>
    </w:p>
    <w:p>
      <w:pPr>
        <w:ind w:left="3892"/>
        <w:spacing w:after="0"/>
        <w:rPr>
          <w:sz w:val="20"/>
          <w:szCs w:val="20"/>
          <w:color w:val="auto"/>
        </w:rPr>
      </w:pPr>
      <w:r>
        <w:rPr>
          <w:rFonts w:ascii="Times New Roman" w:cs="Times New Roman" w:eastAsia="Times New Roman" w:hAnsi="Times New Roman"/>
          <w:sz w:val="22"/>
          <w:szCs w:val="22"/>
          <w:color w:val="auto"/>
        </w:rPr>
        <w:t>Name/Title: Gregory D. Wasson, President</w:t>
      </w:r>
    </w:p>
    <w:p>
      <w:pPr>
        <w:spacing w:after="0" w:line="44" w:lineRule="exact"/>
        <w:rPr>
          <w:sz w:val="20"/>
          <w:szCs w:val="20"/>
          <w:color w:val="auto"/>
        </w:rPr>
      </w:pPr>
    </w:p>
    <w:p>
      <w:pPr>
        <w:ind w:left="3892"/>
        <w:spacing w:after="0"/>
        <w:tabs>
          <w:tab w:leader="none" w:pos="49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10/24/2025</w:t>
      </w:r>
    </w:p>
    <w:sectPr>
      <w:pgSz w:w="11900" w:h="16838" w:orient="portrait"/>
      <w:cols w:equalWidth="0" w:num="1">
        <w:col w:w="11132"/>
      </w:cols>
      <w:pgMar w:left="368"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2025-10-24T20:56:43Z</dcterms:created>
  <dcterms:modified xsi:type="dcterms:W3CDTF">2025-10-24T20:56:43Z</dcterms:modified>
</cp:coreProperties>
</file>