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Filed pursuant to Rule 424(b)(3)</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333-286558</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 No. 11</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Prospectus dated April 23, 2025)</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INNVENTURE, INC.</w:t>
      </w:r>
    </w:p>
    <w:p>
      <w:pPr>
        <w:spacing w:after="0" w:line="20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December 4, 2025 (the “Current Report”). Accordingly, we have attached the Current Report to this prospectus supplement. Capitalized terms used in this prospectus supplement and not otherwise defined herein have the meanings specified in the Prospectus.</w:t>
      </w:r>
    </w:p>
    <w:p>
      <w:pPr>
        <w:spacing w:after="0" w:line="145"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38"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5"/>
          <w:szCs w:val="15"/>
          <w:color w:val="auto"/>
        </w:rPr>
        <w:t>Shares of our common stock, par value $0.0001 per share (our “Common Stock”), are listed on The Nasdaq Stock Market, LLC under the symbol “INV.” On December 3, 2025, the closing price of our Common Stock was $4.98 per share.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Investing in our securities involves risks that are described in the “Risk Factors” section of the Prospectus.</w:t>
      </w:r>
    </w:p>
    <w:p>
      <w:pPr>
        <w:spacing w:after="0" w:line="18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December 4, 2025.</w:t>
      </w:r>
    </w:p>
    <w:p>
      <w:pPr>
        <w:sectPr>
          <w:pgSz w:w="11900" w:h="16840" w:orient="portrait"/>
          <w:cols w:equalWidth="0" w:num="1">
            <w:col w:w="10580"/>
          </w:cols>
          <w:pgMar w:left="660" w:top="1440" w:right="66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December 2, 2025</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Inc.</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ectPr>
          <w:pgSz w:w="11900" w:h="16840" w:orient="portrait"/>
          <w:cols w:equalWidth="0" w:num="1">
            <w:col w:w="10560"/>
          </w:cols>
          <w:pgMar w:left="660" w:top="1425" w:right="680" w:bottom="1440" w:gutter="0" w:footer="0" w:header="0"/>
        </w:sectPr>
      </w:pPr>
    </w:p>
    <w:p>
      <w:pPr>
        <w:spacing w:after="0" w:line="2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001-42303</w:t>
      </w:r>
    </w:p>
    <w:p>
      <w:pPr>
        <w:spacing w:after="0" w:line="3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93-4440048</w:t>
      </w:r>
    </w:p>
    <w:p>
      <w:pPr>
        <w:spacing w:after="0" w:line="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p>
      <w:pPr>
        <w:spacing w:after="0" w:line="16" w:lineRule="exact"/>
        <w:rPr>
          <w:sz w:val="20"/>
          <w:szCs w:val="20"/>
          <w:color w:val="auto"/>
        </w:rPr>
      </w:pPr>
    </w:p>
    <w:p>
      <w:pPr>
        <w:sectPr>
          <w:pgSz w:w="11900" w:h="16840" w:orient="portrait"/>
          <w:cols w:equalWidth="0" w:num="3">
            <w:col w:w="3680" w:space="720"/>
            <w:col w:w="2360" w:space="720"/>
            <w:col w:w="3080"/>
          </w:cols>
          <w:pgMar w:left="660" w:top="1425" w:right="680"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6900 Tavistock Lakes Blvd, Suite 400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Orlando, Florida 32827</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 and zip code)</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(321) 209-6787</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1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w:t>
      </w:r>
    </w:p>
    <w:p>
      <w:pPr>
        <w:sectPr>
          <w:pgSz w:w="11900" w:h="16840" w:orient="portrait"/>
          <w:cols w:equalWidth="0" w:num="1">
            <w:col w:w="10560"/>
          </w:cols>
          <w:pgMar w:left="660" w:top="1425" w:right="680" w:bottom="1440" w:gutter="0" w:footer="0" w:header="0"/>
          <w:type w:val="continuous"/>
        </w:sectPr>
      </w:pPr>
    </w:p>
    <w:p>
      <w:pPr>
        <w:spacing w:after="0" w:line="16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b w:val="1"/>
          <w:bCs w:val="1"/>
          <w:color w:val="auto"/>
        </w:rPr>
        <w:t>Check the appropriate box below if the Form 8-K filing is intended to simultaneously satisfy the filing obligation of the registrant under any of the following provisions:</w:t>
      </w:r>
    </w:p>
    <w:p>
      <w:pPr>
        <w:spacing w:after="0" w:line="211" w:lineRule="exact"/>
        <w:rPr>
          <w:sz w:val="20"/>
          <w:szCs w:val="20"/>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Written communications pursuant to Rule 425 under the Securities Act (17 CFR 230.425)</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Soliciting material pursuant to Rule 14a-12 under the Exchange Act (17 CFR 240.14a-12)</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5"/>
          <w:szCs w:val="15"/>
          <w:b w:val="1"/>
          <w:bCs w:val="1"/>
          <w:color w:val="auto"/>
        </w:rPr>
      </w:pPr>
    </w:p>
    <w:p>
      <w:pPr>
        <w:ind w:left="660" w:hanging="408"/>
        <w:spacing w:after="0"/>
        <w:tabs>
          <w:tab w:leader="none" w:pos="66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540" w:type="dxa"/>
            <w:vAlign w:val="bottom"/>
            <w:gridSpan w:val="5"/>
          </w:tcPr>
          <w:p>
            <w:pPr>
              <w:ind w:left="1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190"/>
        </w:trPr>
        <w:tc>
          <w:tcPr>
            <w:tcW w:w="8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980" w:type="dxa"/>
            <w:vAlign w:val="bottom"/>
          </w:tcPr>
          <w:p>
            <w:pPr>
              <w:spacing w:after="0"/>
              <w:rPr>
                <w:sz w:val="16"/>
                <w:szCs w:val="16"/>
                <w:color w:val="auto"/>
              </w:rPr>
            </w:pPr>
          </w:p>
        </w:tc>
        <w:tc>
          <w:tcPr>
            <w:tcW w:w="3680" w:type="dxa"/>
            <w:vAlign w:val="bottom"/>
            <w:gridSpan w:val="3"/>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Common Stock, par value $0.0001 per share</w:t>
            </w:r>
          </w:p>
        </w:tc>
        <w:tc>
          <w:tcPr>
            <w:tcW w:w="1040" w:type="dxa"/>
            <w:vAlign w:val="bottom"/>
          </w:tcPr>
          <w:p>
            <w:pPr>
              <w:spacing w:after="0"/>
              <w:rPr>
                <w:sz w:val="20"/>
                <w:szCs w:val="20"/>
                <w:color w:val="auto"/>
              </w:rPr>
            </w:pPr>
          </w:p>
        </w:tc>
        <w:tc>
          <w:tcPr>
            <w:tcW w:w="2640" w:type="dxa"/>
            <w:vAlign w:val="bottom"/>
            <w:gridSpan w:val="2"/>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INV</w:t>
            </w:r>
          </w:p>
        </w:tc>
        <w:tc>
          <w:tcPr>
            <w:tcW w:w="28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bl>
    <w:p>
      <w:pPr>
        <w:spacing w:after="0" w:line="175"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5"/>
          <w:szCs w:val="15"/>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 w:lineRule="exact"/>
        <w:rPr>
          <w:sz w:val="20"/>
          <w:szCs w:val="20"/>
          <w:color w:val="auto"/>
        </w:rPr>
      </w:pPr>
    </w:p>
    <w:p>
      <w:pPr>
        <w:spacing w:after="0" w:line="173" w:lineRule="exact"/>
        <w:tabs>
          <w:tab w:leader="none" w:pos="1920" w:val="left"/>
        </w:tabs>
        <w:rPr>
          <w:sz w:val="20"/>
          <w:szCs w:val="20"/>
          <w:color w:val="auto"/>
        </w:rPr>
      </w:pPr>
      <w:r>
        <w:rPr>
          <w:rFonts w:ascii="Times New Roman" w:cs="Times New Roman" w:eastAsia="Times New Roman" w:hAnsi="Times New Roman"/>
          <w:sz w:val="15"/>
          <w:szCs w:val="15"/>
          <w:b w:val="1"/>
          <w:bCs w:val="1"/>
          <w:color w:val="auto"/>
        </w:rPr>
        <w:t>Emerging growth company</w:t>
      </w:r>
      <w:r>
        <w:rPr>
          <w:sz w:val="20"/>
          <w:szCs w:val="20"/>
          <w:color w:val="auto"/>
        </w:rPr>
        <w:tab/>
      </w:r>
      <w:r>
        <w:rPr>
          <w:rFonts w:ascii="MS PGothic" w:cs="MS PGothic" w:eastAsia="MS PGothic" w:hAnsi="MS PGothic"/>
          <w:sz w:val="14"/>
          <w:szCs w:val="14"/>
          <w:b w:val="1"/>
          <w:bCs w:val="1"/>
          <w:color w:val="auto"/>
        </w:rPr>
        <w:t>☒</w:t>
      </w:r>
    </w:p>
    <w:p>
      <w:pPr>
        <w:spacing w:after="0" w:line="109" w:lineRule="exact"/>
        <w:rPr>
          <w:sz w:val="20"/>
          <w:szCs w:val="20"/>
          <w:color w:val="auto"/>
        </w:rPr>
      </w:pPr>
    </w:p>
    <w:p>
      <w:pPr>
        <w:spacing w:after="0" w:line="198" w:lineRule="exact"/>
        <w:rPr>
          <w:sz w:val="20"/>
          <w:szCs w:val="20"/>
          <w:color w:val="auto"/>
        </w:rPr>
      </w:pPr>
      <w:r>
        <w:rPr>
          <w:rFonts w:ascii="Times New Roman" w:cs="Times New Roman" w:eastAsia="Times New Roman" w:hAnsi="Times New Roman"/>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ectPr>
          <w:pgSz w:w="11900" w:h="16840" w:orient="portrait"/>
          <w:cols w:equalWidth="0" w:num="1">
            <w:col w:w="10560"/>
          </w:cols>
          <w:pgMar w:left="660" w:top="1425" w:right="680" w:bottom="1440" w:gutter="0" w:footer="0" w:header="0"/>
          <w:type w:val="continuous"/>
        </w:sectPr>
      </w:pPr>
    </w:p>
    <w:bookmarkStart w:id="2" w:name="page3"/>
    <w:bookmarkEnd w:id="2"/>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5.07 Submission of Matters to a Vote of Security Holders.</w:t>
      </w:r>
    </w:p>
    <w:p>
      <w:pPr>
        <w:spacing w:after="0" w:line="103" w:lineRule="exact"/>
        <w:rPr>
          <w:sz w:val="20"/>
          <w:szCs w:val="20"/>
          <w:color w:val="auto"/>
        </w:rPr>
      </w:pPr>
    </w:p>
    <w:p>
      <w:pPr>
        <w:ind w:right="160" w:firstLine="354"/>
        <w:spacing w:after="0" w:line="253" w:lineRule="auto"/>
        <w:rPr>
          <w:sz w:val="20"/>
          <w:szCs w:val="20"/>
          <w:color w:val="auto"/>
        </w:rPr>
      </w:pPr>
      <w:r>
        <w:rPr>
          <w:rFonts w:ascii="Times New Roman" w:cs="Times New Roman" w:eastAsia="Times New Roman" w:hAnsi="Times New Roman"/>
          <w:sz w:val="15"/>
          <w:szCs w:val="15"/>
          <w:color w:val="auto"/>
        </w:rPr>
        <w:t>On December 2, 2025, Innventure, Inc. (the “Company”) held a Special Meeting of Stockholders (the “Special Meeting”). At the close of business on October 14, 2025, the record date for the Special Meeting, there were (i) 58,046,433 shares of common stock, par value $ 0.0001 per share (“Common Stock”), issued and outstanding, each share entitled to one vote, (ii) 33,144 shares of Series B Preferred Stock, par value of $ 0.0001 per share (the “Series B Preferred Stock”), issued and outstanding, each share of Series B Preferred Stock entitled to 0.97 votes, and (iii) 150,000 shares of Series C Preferred Stock, par value $0.0001 per share (the “Series C Preferred Stock”), issued and outstanding, each share of Series C Preferred Stock entitled to 1.3 votes, constituting all outstanding voting securities of the Company entitled to vote at the Special Meeting.</w:t>
      </w:r>
    </w:p>
    <w:p>
      <w:pPr>
        <w:spacing w:after="0" w:line="65" w:lineRule="exact"/>
        <w:rPr>
          <w:sz w:val="20"/>
          <w:szCs w:val="20"/>
          <w:color w:val="auto"/>
        </w:rPr>
      </w:pPr>
    </w:p>
    <w:p>
      <w:pPr>
        <w:ind w:right="80" w:firstLine="354"/>
        <w:spacing w:after="0" w:line="258" w:lineRule="auto"/>
        <w:rPr>
          <w:sz w:val="20"/>
          <w:szCs w:val="20"/>
          <w:color w:val="auto"/>
        </w:rPr>
      </w:pPr>
      <w:r>
        <w:rPr>
          <w:rFonts w:ascii="Times New Roman" w:cs="Times New Roman" w:eastAsia="Times New Roman" w:hAnsi="Times New Roman"/>
          <w:sz w:val="15"/>
          <w:szCs w:val="15"/>
          <w:color w:val="auto"/>
        </w:rPr>
        <w:t>At the Special Meeting, the holders of shares of the Company’s Common Stock, Series B Preferred Stock, and Series C Preferred Stock, representing 35,268,907 votes in aggregate, were present in person or by proxy, constituting a quorum. A description of each matter voted upon at the Special Meeting is described in detail in the Company’s Definitive Proxy Statement on Schedule 14A, as filed with the U.S. Securities and Exchange Commission on October 20, 2025. The final votes on the proposals presented at the Special Meeting are set forth below.</w:t>
      </w:r>
    </w:p>
    <w:p>
      <w:pPr>
        <w:spacing w:after="0" w:line="56" w:lineRule="exact"/>
        <w:rPr>
          <w:sz w:val="20"/>
          <w:szCs w:val="20"/>
          <w:color w:val="auto"/>
        </w:rPr>
      </w:pPr>
    </w:p>
    <w:p>
      <w:pPr>
        <w:ind w:right="120" w:firstLine="354"/>
        <w:spacing w:after="0" w:line="267" w:lineRule="auto"/>
        <w:rPr>
          <w:sz w:val="20"/>
          <w:szCs w:val="20"/>
          <w:color w:val="auto"/>
        </w:rPr>
      </w:pPr>
      <w:r>
        <w:rPr>
          <w:rFonts w:ascii="Times New Roman" w:cs="Times New Roman" w:eastAsia="Times New Roman" w:hAnsi="Times New Roman"/>
          <w:sz w:val="15"/>
          <w:szCs w:val="15"/>
          <w:b w:val="1"/>
          <w:bCs w:val="1"/>
          <w:u w:val="single" w:color="auto"/>
          <w:color w:val="auto"/>
        </w:rPr>
        <w:t>Proposal 1</w:t>
      </w:r>
      <w:r>
        <w:rPr>
          <w:rFonts w:ascii="Times New Roman" w:cs="Times New Roman" w:eastAsia="Times New Roman" w:hAnsi="Times New Roman"/>
          <w:sz w:val="15"/>
          <w:szCs w:val="15"/>
          <w:color w:val="auto"/>
        </w:rPr>
        <w:t>: To approve, for purposes of complying with Nasdaq Listing Rule 5635(d), the issuance of 20% or more of the Company’s issued and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as of September 15, 2025, in connection with the conversion of the convertible debentures issued to YA II PN, Ltd. (“Yorkville”) pursuant to the Securities Purchase Agreement between the Company and Yorkville dated September 15, 2025 (“Proposal 1”). Proposal 1 was approved by vote of stockholders as follows:</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6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80" w:type="dxa"/>
            <w:vAlign w:val="bottom"/>
          </w:tcPr>
          <w:p>
            <w:pPr>
              <w:spacing w:after="0"/>
              <w:rPr>
                <w:sz w:val="17"/>
                <w:szCs w:val="17"/>
                <w:color w:val="auto"/>
              </w:rPr>
            </w:pPr>
          </w:p>
        </w:tc>
        <w:tc>
          <w:tcPr>
            <w:tcW w:w="24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Against</w:t>
            </w:r>
          </w:p>
        </w:tc>
        <w:tc>
          <w:tcPr>
            <w:tcW w:w="80" w:type="dxa"/>
            <w:vAlign w:val="bottom"/>
          </w:tcPr>
          <w:p>
            <w:pPr>
              <w:spacing w:after="0"/>
              <w:rPr>
                <w:sz w:val="17"/>
                <w:szCs w:val="17"/>
                <w:color w:val="auto"/>
              </w:rPr>
            </w:pPr>
          </w:p>
        </w:tc>
        <w:tc>
          <w:tcPr>
            <w:tcW w:w="26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Abstentions</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03"/>
        </w:trPr>
        <w:tc>
          <w:tcPr>
            <w:tcW w:w="262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rPr>
              <w:t>34,642,386</w:t>
            </w:r>
          </w:p>
        </w:tc>
        <w:tc>
          <w:tcPr>
            <w:tcW w:w="25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595,520</w:t>
            </w:r>
          </w:p>
        </w:tc>
        <w:tc>
          <w:tcPr>
            <w:tcW w:w="2760" w:type="dxa"/>
            <w:vAlign w:val="bottom"/>
            <w:gridSpan w:val="2"/>
          </w:tcPr>
          <w:p>
            <w:pPr>
              <w:jc w:val="right"/>
              <w:ind w:right="883"/>
              <w:spacing w:after="0"/>
              <w:rPr>
                <w:sz w:val="20"/>
                <w:szCs w:val="20"/>
                <w:color w:val="auto"/>
              </w:rPr>
            </w:pPr>
            <w:r>
              <w:rPr>
                <w:rFonts w:ascii="Times New Roman" w:cs="Times New Roman" w:eastAsia="Times New Roman" w:hAnsi="Times New Roman"/>
                <w:sz w:val="15"/>
                <w:szCs w:val="15"/>
                <w:color w:val="auto"/>
              </w:rPr>
              <w:t>31,001</w:t>
            </w:r>
          </w:p>
        </w:tc>
        <w:tc>
          <w:tcPr>
            <w:tcW w:w="23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0</w:t>
            </w:r>
          </w:p>
        </w:tc>
      </w:tr>
    </w:tbl>
    <w:p>
      <w:pPr>
        <w:spacing w:after="0" w:line="151" w:lineRule="exact"/>
        <w:rPr>
          <w:sz w:val="20"/>
          <w:szCs w:val="20"/>
          <w:color w:val="auto"/>
        </w:rPr>
      </w:pPr>
    </w:p>
    <w:p>
      <w:pPr>
        <w:ind w:right="280" w:firstLine="354"/>
        <w:spacing w:after="0" w:line="260" w:lineRule="auto"/>
        <w:rPr>
          <w:sz w:val="20"/>
          <w:szCs w:val="20"/>
          <w:color w:val="auto"/>
        </w:rPr>
      </w:pPr>
      <w:r>
        <w:rPr>
          <w:rFonts w:ascii="Times New Roman" w:cs="Times New Roman" w:eastAsia="Times New Roman" w:hAnsi="Times New Roman"/>
          <w:sz w:val="15"/>
          <w:szCs w:val="15"/>
          <w:b w:val="1"/>
          <w:bCs w:val="1"/>
          <w:u w:val="single" w:color="auto"/>
          <w:color w:val="auto"/>
        </w:rPr>
        <w:t>Proposal 2</w:t>
      </w:r>
      <w:r>
        <w:rPr>
          <w:rFonts w:ascii="Times New Roman" w:cs="Times New Roman" w:eastAsia="Times New Roman" w:hAnsi="Times New Roman"/>
          <w:sz w:val="15"/>
          <w:szCs w:val="15"/>
          <w:color w:val="auto"/>
        </w:rPr>
        <w:t>: To approve, for purposes of complying with Nasdaq Listing Rule 5635(d), the issuance of 20% or more of the Company’s issued and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as of March 25, 2025, in connection with the conversion of the convertible debentures issued to Yorkville pursuant to the Securities Purchase Agreement between the Company and Yorkville dated March 25, 2025 (“Proposal 2” and, together with Proposal 1, the “Yorkville Proposals”). Proposal 2 was approved by vote of stockholders as follows:</w:t>
      </w:r>
    </w:p>
    <w:p>
      <w:pPr>
        <w:spacing w:after="0" w:line="102"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26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80" w:type="dxa"/>
            <w:vAlign w:val="bottom"/>
          </w:tcPr>
          <w:p>
            <w:pPr>
              <w:spacing w:after="0"/>
              <w:rPr>
                <w:sz w:val="17"/>
                <w:szCs w:val="17"/>
                <w:color w:val="auto"/>
              </w:rPr>
            </w:pPr>
          </w:p>
        </w:tc>
        <w:tc>
          <w:tcPr>
            <w:tcW w:w="24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Votes Against</w:t>
            </w:r>
          </w:p>
        </w:tc>
        <w:tc>
          <w:tcPr>
            <w:tcW w:w="80" w:type="dxa"/>
            <w:vAlign w:val="bottom"/>
          </w:tcPr>
          <w:p>
            <w:pPr>
              <w:spacing w:after="0"/>
              <w:rPr>
                <w:sz w:val="17"/>
                <w:szCs w:val="17"/>
                <w:color w:val="auto"/>
              </w:rPr>
            </w:pPr>
          </w:p>
        </w:tc>
        <w:tc>
          <w:tcPr>
            <w:tcW w:w="268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b w:val="1"/>
                <w:bCs w:val="1"/>
                <w:color w:val="auto"/>
              </w:rPr>
              <w:t>Abstentions</w:t>
            </w:r>
          </w:p>
        </w:tc>
        <w:tc>
          <w:tcPr>
            <w:tcW w:w="80" w:type="dxa"/>
            <w:vAlign w:val="bottom"/>
          </w:tcPr>
          <w:p>
            <w:pPr>
              <w:spacing w:after="0"/>
              <w:rPr>
                <w:sz w:val="17"/>
                <w:szCs w:val="17"/>
                <w:color w:val="auto"/>
              </w:rPr>
            </w:pPr>
          </w:p>
        </w:tc>
        <w:tc>
          <w:tcPr>
            <w:tcW w:w="22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5"/>
                <w:szCs w:val="15"/>
                <w:b w:val="1"/>
                <w:bCs w:val="1"/>
                <w:color w:val="auto"/>
              </w:rPr>
              <w:t>Broker Non-Votes</w:t>
            </w:r>
          </w:p>
        </w:tc>
      </w:tr>
      <w:tr>
        <w:trPr>
          <w:trHeight w:val="203"/>
        </w:trPr>
        <w:tc>
          <w:tcPr>
            <w:tcW w:w="2620" w:type="dxa"/>
            <w:vAlign w:val="bottom"/>
          </w:tcPr>
          <w:p>
            <w:pPr>
              <w:jc w:val="right"/>
              <w:ind w:right="723"/>
              <w:spacing w:after="0"/>
              <w:rPr>
                <w:sz w:val="20"/>
                <w:szCs w:val="20"/>
                <w:color w:val="auto"/>
              </w:rPr>
            </w:pPr>
            <w:r>
              <w:rPr>
                <w:rFonts w:ascii="Times New Roman" w:cs="Times New Roman" w:eastAsia="Times New Roman" w:hAnsi="Times New Roman"/>
                <w:sz w:val="15"/>
                <w:szCs w:val="15"/>
                <w:color w:val="auto"/>
              </w:rPr>
              <w:t>34,696,064</w:t>
            </w:r>
          </w:p>
        </w:tc>
        <w:tc>
          <w:tcPr>
            <w:tcW w:w="25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541,841</w:t>
            </w:r>
          </w:p>
        </w:tc>
        <w:tc>
          <w:tcPr>
            <w:tcW w:w="2760" w:type="dxa"/>
            <w:vAlign w:val="bottom"/>
            <w:gridSpan w:val="2"/>
          </w:tcPr>
          <w:p>
            <w:pPr>
              <w:jc w:val="right"/>
              <w:ind w:right="883"/>
              <w:spacing w:after="0"/>
              <w:rPr>
                <w:sz w:val="20"/>
                <w:szCs w:val="20"/>
                <w:color w:val="auto"/>
              </w:rPr>
            </w:pPr>
            <w:r>
              <w:rPr>
                <w:rFonts w:ascii="Times New Roman" w:cs="Times New Roman" w:eastAsia="Times New Roman" w:hAnsi="Times New Roman"/>
                <w:sz w:val="15"/>
                <w:szCs w:val="15"/>
                <w:color w:val="auto"/>
              </w:rPr>
              <w:t>31,002</w:t>
            </w:r>
          </w:p>
        </w:tc>
        <w:tc>
          <w:tcPr>
            <w:tcW w:w="2360" w:type="dxa"/>
            <w:vAlign w:val="bottom"/>
            <w:gridSpan w:val="2"/>
          </w:tcPr>
          <w:p>
            <w:pPr>
              <w:jc w:val="right"/>
              <w:ind w:right="743"/>
              <w:spacing w:after="0"/>
              <w:rPr>
                <w:sz w:val="20"/>
                <w:szCs w:val="20"/>
                <w:color w:val="auto"/>
              </w:rPr>
            </w:pPr>
            <w:r>
              <w:rPr>
                <w:rFonts w:ascii="Times New Roman" w:cs="Times New Roman" w:eastAsia="Times New Roman" w:hAnsi="Times New Roman"/>
                <w:sz w:val="15"/>
                <w:szCs w:val="15"/>
                <w:color w:val="auto"/>
              </w:rPr>
              <w:t>0</w:t>
            </w:r>
          </w:p>
        </w:tc>
      </w:tr>
    </w:tbl>
    <w:p>
      <w:pPr>
        <w:spacing w:after="0" w:line="155" w:lineRule="exact"/>
        <w:rPr>
          <w:sz w:val="20"/>
          <w:szCs w:val="20"/>
          <w:color w:val="auto"/>
        </w:rPr>
      </w:pPr>
    </w:p>
    <w:p>
      <w:pPr>
        <w:jc w:val="both"/>
        <w:ind w:right="280" w:firstLine="566"/>
        <w:spacing w:after="0" w:line="264" w:lineRule="auto"/>
        <w:rPr>
          <w:sz w:val="20"/>
          <w:szCs w:val="20"/>
          <w:color w:val="auto"/>
        </w:rPr>
      </w:pPr>
      <w:r>
        <w:rPr>
          <w:rFonts w:ascii="Times New Roman" w:cs="Times New Roman" w:eastAsia="Times New Roman" w:hAnsi="Times New Roman"/>
          <w:sz w:val="15"/>
          <w:szCs w:val="15"/>
          <w:color w:val="auto"/>
        </w:rPr>
        <w:t>The Company’s stockholders did not vote on the proposal to approve the adjournment of the Special Meeting, if necessary, to solicit additional proxies if there were not sufficient votes in favor of the Yorkville Proposals because there were sufficient votes to approve the Yorkville Proposals and, therefore, such adjournment was not necessary.</w:t>
      </w:r>
    </w:p>
    <w:p>
      <w:pPr>
        <w:sectPr>
          <w:pgSz w:w="11900" w:h="16840" w:orient="portrait"/>
          <w:cols w:equalWidth="0" w:num="1">
            <w:col w:w="10660"/>
          </w:cols>
          <w:pgMar w:left="660" w:top="1440" w:right="580" w:bottom="1440" w:gutter="0" w:footer="0" w:header="0"/>
        </w:sectPr>
      </w:pPr>
    </w:p>
    <w:bookmarkStart w:id="3" w:name="page4"/>
    <w:bookmarkEnd w:id="3"/>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21" w:lineRule="exact"/>
        <w:rPr>
          <w:sz w:val="20"/>
          <w:szCs w:val="20"/>
          <w:color w:val="auto"/>
        </w:rPr>
      </w:pPr>
    </w:p>
    <w:p>
      <w:pPr>
        <w:ind w:right="660" w:firstLine="377"/>
        <w:spacing w:after="0" w:line="26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2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4, 2025</w:t>
            </w:r>
          </w:p>
        </w:tc>
        <w:tc>
          <w:tcPr>
            <w:tcW w:w="284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By:</w:t>
            </w: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Suzanne Niemeyer</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2840" w:type="dxa"/>
            <w:vAlign w:val="bottom"/>
            <w:vMerge w:val="restart"/>
          </w:tcPr>
          <w:p>
            <w:pPr>
              <w:ind w:left="1960"/>
              <w:spacing w:after="0"/>
              <w:rPr>
                <w:sz w:val="20"/>
                <w:szCs w:val="20"/>
                <w:color w:val="auto"/>
              </w:rPr>
            </w:pPr>
            <w:r>
              <w:rPr>
                <w:rFonts w:ascii="Times New Roman" w:cs="Times New Roman" w:eastAsia="Times New Roman" w:hAnsi="Times New Roman"/>
                <w:sz w:val="15"/>
                <w:szCs w:val="15"/>
                <w:color w:val="auto"/>
              </w:rPr>
              <w:t>Name:</w:t>
            </w: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Suzanne Niemeyer</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284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Title:</w:t>
            </w: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Counsel</w:t>
            </w:r>
          </w:p>
        </w:tc>
        <w:tc>
          <w:tcPr>
            <w:tcW w:w="0" w:type="dxa"/>
            <w:vAlign w:val="bottom"/>
          </w:tcPr>
          <w:p>
            <w:pPr>
              <w:spacing w:after="0"/>
              <w:rPr>
                <w:sz w:val="1"/>
                <w:szCs w:val="1"/>
                <w:color w:val="auto"/>
              </w:rPr>
            </w:pPr>
          </w:p>
        </w:tc>
      </w:tr>
    </w:tbl>
    <w:p>
      <w:pPr>
        <w:sectPr>
          <w:pgSz w:w="11900" w:h="16840" w:orient="portrait"/>
          <w:cols w:equalWidth="0" w:num="1">
            <w:col w:w="10580"/>
          </w:cols>
          <w:pgMar w:left="660" w:top="1440" w:right="660" w:bottom="1440" w:gutter="0" w:footer="0" w:header="0"/>
        </w:sectPr>
      </w:pPr>
    </w:p>
    <w:bookmarkStart w:id="4" w:name="page5"/>
    <w:bookmarkEnd w:id="4"/>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2025-12-05T06:28:17Z</dcterms:created>
  <dcterms:modified xsi:type="dcterms:W3CDTF">2025-12-05T06:28:17Z</dcterms:modified>
</cp:coreProperties>
</file>