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4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October 6,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October 6, 2025, the closing price of our Common Stock was $4.95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79375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201930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0"/>
          <w:szCs w:val="20"/>
          <w:color w:val="auto"/>
        </w:rPr>
      </w:pPr>
    </w:p>
    <w:p>
      <w:pPr>
        <w:sectPr>
          <w:pgSz w:w="11900" w:h="16838" w:orient="portrait"/>
          <w:cols w:equalWidth="0" w:num="3">
            <w:col w:w="3900" w:space="720"/>
            <w:col w:w="2680" w:space="720"/>
            <w:col w:w="3220"/>
          </w:cols>
          <w:pgMar w:left="320" w:top="489" w:right="339" w:bottom="1440" w:gutter="0" w:footer="0" w:header="0"/>
          <w:type w:val="continuous"/>
        </w:sectPr>
      </w:pPr>
    </w:p>
    <w:p>
      <w:pPr>
        <w:spacing w:after="0" w:line="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0"/>
          <w:szCs w:val="20"/>
          <w:color w:val="auto"/>
        </w:rPr>
      </w:pPr>
    </w:p>
    <w:p>
      <w:pPr>
        <w:sectPr>
          <w:pgSz w:w="11900" w:h="16838" w:orient="portrait"/>
          <w:cols w:equalWidth="0" w:num="2">
            <w:col w:w="7360" w:space="720"/>
            <w:col w:w="3160"/>
          </w:cols>
          <w:pgMar w:left="320" w:top="489" w:right="339" w:bottom="1440"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5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Innventure Private Placement</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3, 2025,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the Company agreed to sell to the Investors, in a private placement, an aggregate of 1,625,235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Series A warrants to purchase an aggregate of 1,625,235 shares of Common Stock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the shares of Common Stock issuable upon exercise of the Series A Warrants,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 price of $6.00 per share of Common Stock and one Series A Warrant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The Series A Warrants have an exercise price of $8.00 per share, will be exercisable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Offering are approximately $9.75 million before deducting fees and other estimated offering expenses.</w:t>
      </w:r>
    </w:p>
    <w:p>
      <w:pPr>
        <w:spacing w:after="0" w:line="18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As part of the Subscription Agreements, the Company is required to prepare and file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covering the resale of the Shares and the Warrant Shares. The Company is required to have such Registration Statement declared effective by the Commission within 120 calendar days (or 150 calendar days in the event of a “full review” by the Commission) following the closing of the Offering.</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Subscription Agreements and the Series A Warrants and the transactions contemplated thereby are only a summary and do not purport to be complete and are qualified in their entirety by reference to the full text of the form of Series A Warrant and the form of Subscription Agreement, copies of which are attached to this Current Report on Form 8-K as Exhibit 4.1 and Exhibit 10.1,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JCI Investment in Accelsius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On October 2, 2025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the Company, issued and sold to Johnson Controls, Inc., a Wisconsin corporation (“</w:t>
      </w:r>
      <w:r>
        <w:rPr>
          <w:rFonts w:ascii="Times New Roman" w:cs="Times New Roman" w:eastAsia="Times New Roman" w:hAnsi="Times New Roman"/>
          <w:sz w:val="14"/>
          <w:szCs w:val="14"/>
          <w:b w:val="1"/>
          <w:bCs w:val="1"/>
          <w:i w:val="1"/>
          <w:iCs w:val="1"/>
          <w:color w:val="auto"/>
        </w:rPr>
        <w:t>JCI</w:t>
      </w:r>
      <w:r>
        <w:rPr>
          <w:rFonts w:ascii="Times New Roman" w:cs="Times New Roman" w:eastAsia="Times New Roman" w:hAnsi="Times New Roman"/>
          <w:sz w:val="18"/>
          <w:szCs w:val="18"/>
          <w:color w:val="auto"/>
        </w:rPr>
        <w:t>”), 685,163 units of Accelsius’s Series B-1 Units (the “</w:t>
      </w:r>
      <w:r>
        <w:rPr>
          <w:rFonts w:ascii="Times New Roman" w:cs="Times New Roman" w:eastAsia="Times New Roman" w:hAnsi="Times New Roman"/>
          <w:sz w:val="18"/>
          <w:szCs w:val="18"/>
          <w:b w:val="1"/>
          <w:bCs w:val="1"/>
          <w:i w:val="1"/>
          <w:iCs w:val="1"/>
          <w:color w:val="auto"/>
        </w:rPr>
        <w:t>Series B-1 Units</w:t>
      </w:r>
      <w:r>
        <w:rPr>
          <w:rFonts w:ascii="Times New Roman" w:cs="Times New Roman" w:eastAsia="Times New Roman" w:hAnsi="Times New Roman"/>
          <w:sz w:val="18"/>
          <w:szCs w:val="18"/>
          <w:color w:val="auto"/>
        </w:rPr>
        <w:t>”). The gross proceeds to the Company from the Closing were approximately $25,000,000 before deducting financial advisor fees and other estimated offering expenses.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Accelsius will use the proceeds from the sale of the Series B-1 Units for general company purposes. Upon consummation of the Closing, certain outstanding convertible notes and other indebtedness of Accelsius that is automatically convertible into equity securities of Accelsius will automatically convert into equity securities of Accelsius in accordance with their terms. The Series B-1 Units are convertible at any time and from time to time into Accelsius’s Class A Common Units by dividing the Series B-1 Unit’s Issue Price (as defined below) by the Conversion Price (as defined below) in effect at the time of conversion. The “Issue Price” means $36.4877 per unit, subject to appropriate adjustment in the event of any unit dividend, unit split, combination or other similar recapitalization with respect to the applicable Series B-1 Units. The “Conversion Price” shall initially equal $36.4877 and will be subject to certain adjustments.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The securities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may not be offered or sold absent registration or an applicable exemption from registration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Provided to JCI</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In connection with the Closing, Accelsius amended its limited liability company agreement (“</w:t>
      </w:r>
      <w:r>
        <w:rPr>
          <w:rFonts w:ascii="Times New Roman" w:cs="Times New Roman" w:eastAsia="Times New Roman" w:hAnsi="Times New Roman"/>
          <w:sz w:val="18"/>
          <w:szCs w:val="18"/>
          <w:b w:val="1"/>
          <w:bCs w:val="1"/>
          <w:i w:val="1"/>
          <w:iCs w:val="1"/>
          <w:color w:val="auto"/>
        </w:rPr>
        <w:t>Operating Agreement</w:t>
      </w:r>
      <w:r>
        <w:rPr>
          <w:rFonts w:ascii="Times New Roman" w:cs="Times New Roman" w:eastAsia="Times New Roman" w:hAnsi="Times New Roman"/>
          <w:sz w:val="18"/>
          <w:szCs w:val="18"/>
          <w:color w:val="auto"/>
        </w:rPr>
        <w:t>”) to provide for certain rights to JCI with respect to the Series B-1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Rights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so long as JCI and its affiliates continue to beneficially own an aggregate of at least 50% of the Series B-1 Units purchased by JCI (subject to appropriate adjustment for any unit splits, unit dividends, combinations, recapitalizations and the like or any conversion), JCI will be entitled to designate and remove one director (the “</w:t>
      </w:r>
      <w:r>
        <w:rPr>
          <w:rFonts w:ascii="Times New Roman" w:cs="Times New Roman" w:eastAsia="Times New Roman" w:hAnsi="Times New Roman"/>
          <w:sz w:val="18"/>
          <w:szCs w:val="18"/>
          <w:b w:val="1"/>
          <w:bCs w:val="1"/>
          <w:i w:val="1"/>
          <w:iCs w:val="1"/>
          <w:color w:val="auto"/>
        </w:rPr>
        <w:t>Preferred Director</w:t>
      </w:r>
      <w:r>
        <w:rPr>
          <w:rFonts w:ascii="Times New Roman" w:cs="Times New Roman" w:eastAsia="Times New Roman" w:hAnsi="Times New Roman"/>
          <w:sz w:val="18"/>
          <w:szCs w:val="18"/>
          <w:color w:val="auto"/>
        </w:rPr>
        <w:t>”). Each director will be entitled to one vote on all matters that come before the board of directors of Accelsius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Preferred Director will be entitled in such person’s discretion to be a member of any committee of the Board or of the board of directors or managers of any subsidiary of Accelsius.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No action shall be taken by the Board or any officer on behalf of Accelsius with respect to any Preferred Decision (as defined in the Operating Agreement) without the approval of the Preferred Director.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Series B-1 Units, and (iv) an increase in the authorized number of Accelsius’s Class A Common Units, Class C Units, or any series of preferred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 Right of First Refusal; Right of Co-Sale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exceptions and conditions, (i) JCI has preemptive rights to purchase its proportional share of new equity issuances by Accelsius, with oversubscription rights for unsubscribed amounts; (ii) holders of Accelsius units seeking to transfer their units in response to an offer (the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must first offer such units in writing to Accelsius and then to JCI on the same terms as the Transfer Notice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such units are not purchased under the Right of First Refusal and are to be sold to a transferee named in such Transfer Notice, JCI may exercise a pro rata right of co-sale pursuant to the Operating Agreement on the same terms and conditions specified in the Transfer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 and Inspection</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JCI has the right, at JCI’s expense, to examine Accelsius’s books of account and records and discuss Accelsius’s affairs with its officers, subject to confidentiality or trade secret and privilege protection and competitive sensitivity limitations. Additionally, JCI has the right to receive annual audited financials, quarterly unaudited financials and quarterly capitalization information within specified periods of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Accelsius’s preferred units, including its Series B-1 Units, and certain of Accelsius’s Class A Common Units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may not be sold, pledged, or otherwise transferred, and Accelsius may issue stop-transfer instructions, subject to certain conditions to ensure compliance with U.S. securities laws and regulations, and any proposed transferee of the Registrable Securities must agree to hold such securities subject to the provisions and conditions in the Operating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Holders of a majority of Registrable Securities have received certain customary registration rights, subject to customary deferrals and frequency limits, as set forth in the Operating Agreement. Additionally, JCI has the right to participate in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registrations, subject to underwriter cutbacks.</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00" w:type="dxa"/>
            <w:vAlign w:val="bottom"/>
          </w:tcPr>
          <w:p>
            <w:pPr>
              <w:spacing w:after="0"/>
              <w:rPr>
                <w:sz w:val="18"/>
                <w:szCs w:val="18"/>
                <w:color w:val="auto"/>
              </w:rPr>
            </w:pPr>
          </w:p>
        </w:tc>
      </w:tr>
      <w:tr>
        <w:trPr>
          <w:trHeight w:val="245"/>
        </w:trPr>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660" w:type="dxa"/>
            <w:vAlign w:val="bottom"/>
            <w:gridSpan w:val="4"/>
            <w:shd w:val="clear" w:color="auto" w:fill="CCEEFF"/>
          </w:tcPr>
          <w:p>
            <w:pPr>
              <w:jc w:val="center"/>
              <w:ind w:left="170"/>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80" w:type="dxa"/>
            <w:vAlign w:val="bottom"/>
            <w:shd w:val="clear" w:color="auto" w:fill="CCEEFF"/>
          </w:tcPr>
          <w:p>
            <w:pPr>
              <w:spacing w:after="0"/>
              <w:rPr>
                <w:sz w:val="17"/>
                <w:szCs w:val="17"/>
                <w:color w:val="auto"/>
              </w:rPr>
            </w:pPr>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Series A Warrant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5"/>
            <w:shd w:val="clear" w:color="auto" w:fill="CCEEFF"/>
          </w:tcPr>
          <w:p>
            <w:pPr>
              <w:jc w:val="cente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Subscription Agreement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216"/>
        </w:trPr>
        <w:tc>
          <w:tcPr>
            <w:tcW w:w="660" w:type="dxa"/>
            <w:vAlign w:val="bottom"/>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(in Inline XBRL format)</w:t>
            </w:r>
          </w:p>
        </w:tc>
      </w:tr>
    </w:tbl>
    <w:p>
      <w:pPr>
        <w:sectPr>
          <w:pgSz w:w="11900" w:h="16838" w:orient="portrait"/>
          <w:cols w:equalWidth="0" w:num="1">
            <w:col w:w="11240"/>
          </w:cols>
          <w:pgMar w:left="320" w:top="117"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1" Type="http://schemas.openxmlformats.org/officeDocument/2006/relationships/hyperlink" Target="https://www.sec.gov/Archives/edgar/data/2001557/000114036125037342/ef20056646_ex4-1.htm" TargetMode="External"/><Relationship Id="rId22" Type="http://schemas.openxmlformats.org/officeDocument/2006/relationships/hyperlink" Target="https://www.sec.gov/Archives/edgar/data/2001557/000114036125037342/ef2005664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2025-10-07T05:11:33Z</dcterms:created>
  <dcterms:modified xsi:type="dcterms:W3CDTF">2025-10-07T05:11:33Z</dcterms:modified>
</cp:coreProperties>
</file>