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8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ectPr>
          <w:pgSz w:w="11900" w:h="16989" w:orient="portrait"/>
          <w:cols w:equalWidth="0" w:num="1">
            <w:col w:w="9019"/>
          </w:cols>
          <w:pgMar w:left="1440" w:top="1440" w:right="1440" w:bottom="0" w:gutter="0" w:footer="0" w:header="0"/>
        </w:sectPr>
      </w:pPr>
    </w:p>
    <w:p>
      <w:pPr>
        <w:spacing w:after="0" w:line="177" w:lineRule="exact"/>
        <w:rPr>
          <w:sz w:val="24"/>
          <w:szCs w:val="24"/>
          <w:color w:val="auto"/>
        </w:rPr>
      </w:pPr>
    </w:p>
    <w:p>
      <w:pPr>
        <w:ind w:left="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0" w:lineRule="exact"/>
        <w:rPr>
          <w:sz w:val="24"/>
          <w:szCs w:val="24"/>
          <w:color w:val="auto"/>
        </w:rPr>
      </w:pPr>
    </w:p>
    <w:p>
      <w:pPr>
        <w:sectPr>
          <w:pgSz w:w="11900" w:h="16989" w:orient="portrait"/>
          <w:cols w:equalWidth="0" w:num="4">
            <w:col w:w="260" w:space="140"/>
            <w:col w:w="2680" w:space="720"/>
            <w:col w:w="180" w:space="140"/>
            <w:col w:w="4899"/>
          </w:cols>
          <w:pgMar w:left="1440" w:top="1440" w:right="1440" w:bottom="0" w:gutter="0" w:footer="0" w:header="0"/>
          <w:type w:val="continuous"/>
        </w:sectPr>
      </w:pPr>
    </w:p>
    <w:p>
      <w:pPr>
        <w:spacing w:after="0" w:line="5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500" w:hanging="40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00" w:hanging="40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00" w:hanging="404"/>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500" w:hanging="404"/>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INNVENTURE,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______________________________</w:t>
      </w:r>
    </w:p>
    <w:p>
      <w:pPr>
        <w:spacing w:after="0" w:line="1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500" w:hanging="404"/>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00" w:hanging="404"/>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500" w:hanging="404"/>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1918335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right="2279" w:firstLine="2214"/>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MESSAGE FROM THE CHIEF EXECUTIVE OFFICER </w:t>
      </w:r>
      <w:r>
        <w:rPr>
          <w:rFonts w:ascii="Times New Roman" w:cs="Times New Roman" w:eastAsia="Times New Roman" w:hAnsi="Times New Roman"/>
          <w:sz w:val="18"/>
          <w:szCs w:val="18"/>
          <w:color w:val="auto"/>
        </w:rPr>
        <w:t>Dear Fellow Innventure Stockholders,</w:t>
      </w:r>
    </w:p>
    <w:p>
      <w:pPr>
        <w:ind w:left="40" w:right="259" w:firstLine="648"/>
        <w:spacing w:after="0" w:line="312" w:lineRule="auto"/>
        <w:rPr>
          <w:sz w:val="20"/>
          <w:szCs w:val="20"/>
          <w:color w:val="auto"/>
        </w:rPr>
      </w:pPr>
      <w:r>
        <w:rPr>
          <w:rFonts w:ascii="Times New Roman" w:cs="Times New Roman" w:eastAsia="Times New Roman" w:hAnsi="Times New Roman"/>
          <w:sz w:val="17"/>
          <w:szCs w:val="17"/>
          <w:color w:val="auto"/>
        </w:rPr>
        <w:t>We are pleased to invite you to join us at the 2025 Annual Meeting of stockholders (the “Annual Meeting”) of Innventure, Inc. (the “Company”, “we”, “our”, or “Innventure”) to be held on Wednesday, June 25th at 9:00 a.m. Eastern</w:t>
      </w:r>
    </w:p>
    <w:p>
      <w:pPr>
        <w:sectPr>
          <w:pgSz w:w="11900" w:h="16989" w:orient="portrait"/>
          <w:cols w:equalWidth="0" w:num="1">
            <w:col w:w="9019"/>
          </w:cols>
          <w:pgMar w:left="1440" w:top="1440" w:right="1440" w:bottom="0" w:gutter="0" w:footer="0" w:header="0"/>
          <w:type w:val="continuous"/>
        </w:sectPr>
      </w:pPr>
    </w:p>
    <w:bookmarkStart w:id="1" w:name="page2"/>
    <w:bookmarkEnd w:id="1"/>
    <w:p>
      <w:pPr>
        <w:ind w:left="40" w:right="159"/>
        <w:spacing w:after="0" w:line="282" w:lineRule="auto"/>
        <w:rPr>
          <w:sz w:val="20"/>
          <w:szCs w:val="20"/>
          <w:color w:val="auto"/>
        </w:rPr>
      </w:pPr>
      <w:r>
        <w:rPr>
          <w:rFonts w:ascii="Times New Roman" w:cs="Times New Roman" w:eastAsia="Times New Roman" w:hAnsi="Times New Roman"/>
          <w:sz w:val="18"/>
          <w:szCs w:val="18"/>
          <w:color w:val="auto"/>
        </w:rPr>
        <w:t>Time by means of a virtual conference. We value your voice and believe it is important that your shares are represented at our Annual Meeting. We urge you to cast your vote as soon as possible by telephone, via the Internet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-305435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101"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The following notice of the Annual Meeting (the “Notice of Availability” or “Notice”) and proxy statement (the “Proxy Statement” or “Proxy”) describe the various matters that will be voted on. During the meeting, we will also provide a corporate update and open the floor for you to ask questions.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board of directors (the “Board of Directors” or “Board”) recommend that you vote:</w:t>
      </w:r>
    </w:p>
    <w:p>
      <w:pPr>
        <w:spacing w:after="0" w:line="194" w:lineRule="exact"/>
        <w:rPr>
          <w:sz w:val="20"/>
          <w:szCs w:val="20"/>
          <w:color w:val="auto"/>
        </w:rPr>
      </w:pPr>
    </w:p>
    <w:p>
      <w:pPr>
        <w:ind w:left="1020" w:right="419" w:hanging="32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nominees to serve as Class I directors on our Board of Directors, each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year term expiring at the 2028 annual meeting of stockholders;</w:t>
      </w:r>
    </w:p>
    <w:p>
      <w:pPr>
        <w:spacing w:after="0" w:line="114" w:lineRule="exact"/>
        <w:rPr>
          <w:rFonts w:ascii="Times New Roman" w:cs="Times New Roman" w:eastAsia="Times New Roman" w:hAnsi="Times New Roman"/>
          <w:sz w:val="18"/>
          <w:szCs w:val="18"/>
          <w:color w:val="auto"/>
        </w:rPr>
      </w:pPr>
    </w:p>
    <w:p>
      <w:pPr>
        <w:ind w:left="1020" w:right="219" w:hanging="32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BDO USA, P.C.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2025;</w:t>
      </w:r>
    </w:p>
    <w:p>
      <w:pPr>
        <w:spacing w:after="0" w:line="114" w:lineRule="exact"/>
        <w:rPr>
          <w:rFonts w:ascii="Times New Roman" w:cs="Times New Roman" w:eastAsia="Times New Roman" w:hAnsi="Times New Roman"/>
          <w:sz w:val="18"/>
          <w:szCs w:val="18"/>
          <w:color w:val="auto"/>
        </w:rPr>
      </w:pPr>
    </w:p>
    <w:p>
      <w:pPr>
        <w:ind w:left="1020" w:right="159" w:hanging="32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issuance of 20% or more of the Company’s issued and outstanding Common Stock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as of October 2, 2024, pursuant to the Standby Equity Purchase Agreement (“SEPA”) with YA II PN, LTD. (“Yorkville”); and</w:t>
      </w:r>
    </w:p>
    <w:p>
      <w:pPr>
        <w:spacing w:after="0" w:line="143" w:lineRule="exact"/>
        <w:rPr>
          <w:rFonts w:ascii="Times New Roman" w:cs="Times New Roman" w:eastAsia="Times New Roman" w:hAnsi="Times New Roman"/>
          <w:sz w:val="18"/>
          <w:szCs w:val="18"/>
          <w:color w:val="auto"/>
        </w:rPr>
      </w:pPr>
    </w:p>
    <w:p>
      <w:pPr>
        <w:ind w:left="1020" w:right="159" w:hanging="32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issuance of 20% or more of the Company’s issued and outstanding Common Stock as of March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pursuant to the Convertible Debentures (as defined in the Proxy Statement) with Yorkville.</w:t>
      </w:r>
    </w:p>
    <w:p>
      <w:pPr>
        <w:spacing w:after="0" w:line="118"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accompanying Proxy Statement for detailed information on each of the proposals and the Annual Meeting. On behalf of the Board of Directors, executives and all Innventure team members, we appreciate your continued support of Innventure.</w:t>
      </w:r>
    </w:p>
    <w:p>
      <w:pPr>
        <w:spacing w:after="0" w:line="2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3587115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2479" w:firstLine="2419"/>
        <w:spacing w:after="0" w:line="485" w:lineRule="auto"/>
        <w:rPr>
          <w:sz w:val="20"/>
          <w:szCs w:val="20"/>
          <w:color w:val="auto"/>
        </w:rPr>
      </w:pPr>
      <w:r>
        <w:rPr>
          <w:rFonts w:ascii="Times New Roman" w:cs="Times New Roman" w:eastAsia="Times New Roman" w:hAnsi="Times New Roman"/>
          <w:sz w:val="18"/>
          <w:szCs w:val="18"/>
          <w:b w:val="1"/>
          <w:bCs w:val="1"/>
          <w:color w:val="auto"/>
        </w:rPr>
        <w:t xml:space="preserve">NOTICE OF 2025 ANNUAL GENERAL MEETING </w:t>
      </w:r>
      <w:r>
        <w:rPr>
          <w:rFonts w:ascii="Times New Roman" w:cs="Times New Roman" w:eastAsia="Times New Roman" w:hAnsi="Times New Roman"/>
          <w:sz w:val="18"/>
          <w:szCs w:val="18"/>
          <w:color w:val="auto"/>
        </w:rPr>
        <w:t>2025 Annual General Meeting of Stockholders Details</w:t>
      </w:r>
    </w:p>
    <w:p>
      <w:pPr>
        <w:sectPr>
          <w:pgSz w:w="11900" w:h="16838" w:orient="portrait"/>
          <w:cols w:equalWidth="0" w:num="1">
            <w:col w:w="9019"/>
          </w:cols>
          <w:pgMar w:left="1440" w:top="135" w:right="1440" w:bottom="0" w:gutter="0" w:footer="0" w:header="0"/>
        </w:sectPr>
      </w:pPr>
    </w:p>
    <w:p>
      <w:pPr>
        <w:ind w:left="18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a.m. Eastern Time</w:t>
      </w:r>
    </w:p>
    <w:p>
      <w:pPr>
        <w:spacing w:after="0" w:line="200" w:lineRule="exact"/>
        <w:rPr>
          <w:sz w:val="20"/>
          <w:szCs w:val="20"/>
          <w:color w:val="auto"/>
        </w:rPr>
      </w:pPr>
    </w:p>
    <w:p>
      <w:pPr>
        <w:sectPr>
          <w:pgSz w:w="11900" w:h="16838" w:orient="portrait"/>
          <w:cols w:equalWidth="0" w:num="2">
            <w:col w:w="1380" w:space="340"/>
            <w:col w:w="7299"/>
          </w:cols>
          <w:pgMar w:left="1440" w:top="135" w:right="1440" w:bottom="0" w:gutter="0" w:footer="0" w:header="0"/>
          <w:type w:val="continuous"/>
        </w:sectPr>
      </w:pP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39"/>
        <w:spacing w:after="0" w:line="273" w:lineRule="auto"/>
        <w:rPr>
          <w:sz w:val="20"/>
          <w:szCs w:val="20"/>
          <w:color w:val="auto"/>
        </w:rPr>
      </w:pPr>
      <w:r>
        <w:rPr>
          <w:rFonts w:ascii="Times New Roman" w:cs="Times New Roman" w:eastAsia="Times New Roman" w:hAnsi="Times New Roman"/>
          <w:sz w:val="17"/>
          <w:szCs w:val="17"/>
          <w:i w:val="1"/>
          <w:iCs w:val="1"/>
          <w:color w:val="auto"/>
        </w:rPr>
        <w:t>You may vote if you were a stockholder at the close of business on April 28, 2025. A list of stockholders as of the close of business on the Record Date will be</w:t>
      </w:r>
    </w:p>
    <w:p>
      <w:pPr>
        <w:spacing w:after="0" w:line="1" w:lineRule="exact"/>
        <w:rPr>
          <w:sz w:val="20"/>
          <w:szCs w:val="20"/>
          <w:color w:val="auto"/>
        </w:rPr>
      </w:pPr>
    </w:p>
    <w:p>
      <w:pPr>
        <w:sectPr>
          <w:pgSz w:w="11900" w:h="16838" w:orient="portrait"/>
          <w:cols w:equalWidth="0" w:num="3">
            <w:col w:w="1200" w:space="520"/>
            <w:col w:w="2620" w:space="720"/>
            <w:col w:w="3959"/>
          </w:cols>
          <w:pgMar w:left="1440" w:top="135" w:right="1440" w:bottom="0" w:gutter="0" w:footer="0" w:header="0"/>
          <w:type w:val="continuous"/>
        </w:sectPr>
      </w:pPr>
    </w:p>
    <w:p>
      <w:pPr>
        <w:ind w:left="5060"/>
        <w:spacing w:after="0"/>
        <w:rPr>
          <w:sz w:val="20"/>
          <w:szCs w:val="20"/>
          <w:color w:val="auto"/>
        </w:rPr>
      </w:pPr>
      <w:r>
        <w:rPr>
          <w:rFonts w:ascii="Times New Roman" w:cs="Times New Roman" w:eastAsia="Times New Roman" w:hAnsi="Times New Roman"/>
          <w:sz w:val="17"/>
          <w:szCs w:val="17"/>
          <w:i w:val="1"/>
          <w:iCs w:val="1"/>
          <w:color w:val="auto"/>
        </w:rPr>
        <w:t>available for examination by stockholders during the</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Annual Meeting and for a period of 10 days prior to</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the Annual Meeting. If you would like to view the</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stockholder list in advance of the Annual Meeting,</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please contact us at</w:t>
      </w:r>
    </w:p>
    <w:p>
      <w:pPr>
        <w:sectPr>
          <w:pgSz w:w="11900" w:h="16838" w:orient="portrait"/>
          <w:cols w:equalWidth="0" w:num="1">
            <w:col w:w="9019"/>
          </w:cols>
          <w:pgMar w:left="1440" w:top="135" w:right="1440" w:bottom="0" w:gutter="0" w:footer="0" w:header="0"/>
          <w:type w:val="continuous"/>
        </w:sectPr>
      </w:pPr>
    </w:p>
    <w:bookmarkStart w:id="2" w:name="page3"/>
    <w:bookmarkEnd w:id="2"/>
    <w:p>
      <w:pPr>
        <w:ind w:left="5060"/>
        <w:spacing w:after="0"/>
        <w:rPr>
          <w:sz w:val="20"/>
          <w:szCs w:val="20"/>
          <w:color w:val="auto"/>
        </w:rPr>
      </w:pPr>
      <w:r>
        <w:rPr>
          <w:rFonts w:ascii="Times New Roman" w:cs="Times New Roman" w:eastAsia="Times New Roman" w:hAnsi="Times New Roman"/>
          <w:sz w:val="18"/>
          <w:szCs w:val="18"/>
          <w:i w:val="1"/>
          <w:iCs w:val="1"/>
          <w:color w:val="auto"/>
        </w:rPr>
        <w:t>investorrelations@innventure.com to schedule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-86360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8"/>
          <w:szCs w:val="18"/>
          <w:i w:val="1"/>
          <w:iCs w:val="1"/>
          <w:color w:val="auto"/>
        </w:rPr>
        <w:t>appointment and make arrangements.</w:t>
      </w:r>
    </w:p>
    <w:p>
      <w:pPr>
        <w:spacing w:after="0" w:line="134"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www.virtualshareholdermeeting.com/</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INV2025</w:t>
      </w:r>
    </w:p>
    <w:p>
      <w:pPr>
        <w:spacing w:after="0" w:line="284"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Proxy Mail Date:</w:t>
      </w:r>
      <w:r>
        <w:rPr>
          <w:sz w:val="20"/>
          <w:szCs w:val="20"/>
          <w:color w:val="auto"/>
        </w:rPr>
        <w:tab/>
      </w: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5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For additional Annual Meeting details, please see “General Information About the Annual Meeting and Voting” in this Proxy Statement.</w:t>
      </w:r>
    </w:p>
    <w:p>
      <w:pPr>
        <w:spacing w:after="0" w:line="117" w:lineRule="exact"/>
        <w:rPr>
          <w:sz w:val="20"/>
          <w:szCs w:val="20"/>
          <w:color w:val="auto"/>
        </w:rPr>
      </w:pPr>
    </w:p>
    <w:p>
      <w:pPr>
        <w:ind w:left="40" w:right="1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Stockholders are invited to attend the live virtual meeting. Even if you plan to attend, we encourage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in advance of the meeting. You may cast your vote via:</w:t>
      </w:r>
    </w:p>
    <w:p>
      <w:pPr>
        <w:sectPr>
          <w:pgSz w:w="11900" w:h="16838" w:orient="portrait"/>
          <w:cols w:equalWidth="0" w:num="1">
            <w:col w:w="9019"/>
          </w:cols>
          <w:pgMar w:left="1440" w:top="69" w:right="1440" w:bottom="1050" w:gutter="0" w:footer="0" w:header="0"/>
        </w:sectPr>
      </w:pP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Internet</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www.proxyvote.com</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sign, date &amp; return your proxy card</w:t>
      </w:r>
    </w:p>
    <w:p>
      <w:pPr>
        <w:spacing w:after="0" w:line="160" w:lineRule="exact"/>
        <w:rPr>
          <w:sz w:val="20"/>
          <w:szCs w:val="20"/>
          <w:color w:val="auto"/>
        </w:rPr>
      </w:pPr>
    </w:p>
    <w:p>
      <w:pPr>
        <w:sectPr>
          <w:pgSz w:w="11900" w:h="16838" w:orient="portrait"/>
          <w:cols w:equalWidth="0" w:num="2">
            <w:col w:w="3340" w:space="720"/>
            <w:col w:w="4959"/>
          </w:cols>
          <w:pgMar w:left="1440" w:top="69" w:right="1440" w:bottom="105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1-800-690-6903</w:t>
      </w:r>
    </w:p>
    <w:p>
      <w:pPr>
        <w:spacing w:after="0" w:line="20" w:lineRule="exact"/>
        <w:rPr>
          <w:sz w:val="20"/>
          <w:szCs w:val="20"/>
          <w:color w:val="auto"/>
        </w:rPr>
      </w:pPr>
      <w:r>
        <w:rPr>
          <w:sz w:val="20"/>
          <w:szCs w:val="20"/>
          <w:color w:val="auto"/>
        </w:rPr>
        <w:br w:type="column"/>
      </w:r>
    </w:p>
    <w:p>
      <w:pPr>
        <w:ind w:right="1379"/>
        <w:spacing w:after="0" w:line="317" w:lineRule="auto"/>
        <w:rPr>
          <w:sz w:val="20"/>
          <w:szCs w:val="20"/>
          <w:color w:val="auto"/>
        </w:rPr>
      </w:pPr>
      <w:r>
        <w:rPr>
          <w:rFonts w:ascii="Times New Roman" w:cs="Times New Roman" w:eastAsia="Times New Roman" w:hAnsi="Times New Roman"/>
          <w:sz w:val="17"/>
          <w:szCs w:val="17"/>
          <w:b w:val="1"/>
          <w:bCs w:val="1"/>
          <w:color w:val="auto"/>
        </w:rPr>
        <w:t>Live at the virtual Annual Meeting www.virtualshareholdermeeting.com/INV2025</w:t>
      </w:r>
    </w:p>
    <w:p>
      <w:pPr>
        <w:spacing w:after="0" w:line="200" w:lineRule="exact"/>
        <w:rPr>
          <w:sz w:val="20"/>
          <w:szCs w:val="20"/>
          <w:color w:val="auto"/>
        </w:rPr>
      </w:pPr>
    </w:p>
    <w:p>
      <w:pPr>
        <w:sectPr>
          <w:pgSz w:w="11900" w:h="16838" w:orient="portrait"/>
          <w:cols w:equalWidth="0" w:num="2">
            <w:col w:w="3340" w:space="720"/>
            <w:col w:w="4959"/>
          </w:cols>
          <w:pgMar w:left="1440" w:top="69" w:right="1440" w:bottom="105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see “How to Vote” below for specific instructions on how to vote through each of these channels.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At our Annual Meeting, our stockholders will be asked to:</w:t>
      </w:r>
    </w:p>
    <w:p>
      <w:pPr>
        <w:spacing w:after="0" w:line="185" w:lineRule="exact"/>
        <w:rPr>
          <w:sz w:val="20"/>
          <w:szCs w:val="20"/>
          <w:color w:val="auto"/>
        </w:rPr>
      </w:pPr>
    </w:p>
    <w:p>
      <w:pPr>
        <w:ind w:left="40" w:right="179" w:firstLine="657"/>
        <w:spacing w:after="0" w:line="268"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 </w:t>
      </w:r>
      <w:r>
        <w:rPr>
          <w:rFonts w:ascii="Times New Roman" w:cs="Times New Roman" w:eastAsia="Times New Roman" w:hAnsi="Times New Roman"/>
          <w:sz w:val="18"/>
          <w:szCs w:val="18"/>
          <w:color w:val="auto"/>
        </w:rPr>
        <w:t>three Class I directors, Gregory W. Haskell, Daniel J. Hennessy and Michael Amalfitano,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recommended by the Nominating and Corporate Governance Committee (“N&amp;CG Committee”), each being nominated to serve for a three-year term expiring at the 2028 annual meeting of stockholders;</w:t>
      </w:r>
    </w:p>
    <w:p>
      <w:pPr>
        <w:spacing w:after="0" w:line="130" w:lineRule="exact"/>
        <w:rPr>
          <w:rFonts w:ascii="Times New Roman" w:cs="Times New Roman" w:eastAsia="Times New Roman" w:hAnsi="Times New Roman"/>
          <w:sz w:val="18"/>
          <w:szCs w:val="18"/>
          <w:color w:val="auto"/>
        </w:rPr>
      </w:pPr>
    </w:p>
    <w:p>
      <w:pPr>
        <w:ind w:left="40" w:right="21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Ratify </w:t>
      </w:r>
      <w:r>
        <w:rPr>
          <w:rFonts w:ascii="Times New Roman" w:cs="Times New Roman" w:eastAsia="Times New Roman" w:hAnsi="Times New Roman"/>
          <w:sz w:val="18"/>
          <w:szCs w:val="18"/>
          <w:color w:val="auto"/>
        </w:rPr>
        <w:t>the appointment of BDO USA, P.C.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2025;</w:t>
      </w:r>
    </w:p>
    <w:p>
      <w:pPr>
        <w:spacing w:after="0" w:line="127" w:lineRule="exact"/>
        <w:rPr>
          <w:rFonts w:ascii="Times New Roman" w:cs="Times New Roman" w:eastAsia="Times New Roman" w:hAnsi="Times New Roman"/>
          <w:sz w:val="18"/>
          <w:szCs w:val="18"/>
          <w:color w:val="auto"/>
        </w:rPr>
      </w:pPr>
    </w:p>
    <w:p>
      <w:pPr>
        <w:ind w:left="40" w:right="39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the issuance of 20% or more of the Company’s issued and outstanding common stock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 2024, pursuant to the SEPA with Yorkville;</w:t>
      </w:r>
    </w:p>
    <w:p>
      <w:pPr>
        <w:spacing w:after="0" w:line="114" w:lineRule="exact"/>
        <w:rPr>
          <w:rFonts w:ascii="Times New Roman" w:cs="Times New Roman" w:eastAsia="Times New Roman" w:hAnsi="Times New Roman"/>
          <w:sz w:val="18"/>
          <w:szCs w:val="18"/>
          <w:color w:val="auto"/>
        </w:rPr>
      </w:pPr>
    </w:p>
    <w:p>
      <w:pPr>
        <w:ind w:left="40" w:right="15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issuance of 20% or more of the Company’s issued and outstanding common stock as of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2025, pursuant to the Convertible Debentures with Yorkville; and</w:t>
      </w:r>
    </w:p>
    <w:p>
      <w:pPr>
        <w:spacing w:after="0" w:line="114" w:lineRule="exact"/>
        <w:rPr>
          <w:rFonts w:ascii="Times New Roman" w:cs="Times New Roman" w:eastAsia="Times New Roman" w:hAnsi="Times New Roman"/>
          <w:sz w:val="18"/>
          <w:szCs w:val="18"/>
          <w:color w:val="auto"/>
        </w:rPr>
      </w:pPr>
    </w:p>
    <w:p>
      <w:pPr>
        <w:ind w:left="40" w:right="199" w:firstLine="657"/>
        <w:spacing w:after="0" w:line="286" w:lineRule="auto"/>
        <w:tabs>
          <w:tab w:leader="none" w:pos="1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 any adjournment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1078865</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on June 25, 2025: </w:t>
      </w:r>
      <w:r>
        <w:rPr>
          <w:rFonts w:ascii="Times New Roman" w:cs="Times New Roman" w:eastAsia="Times New Roman" w:hAnsi="Times New Roman"/>
          <w:sz w:val="18"/>
          <w:szCs w:val="18"/>
          <w:color w:val="auto"/>
        </w:rPr>
        <w:t>Our Annual Report on Form 10-K for the year ended December 31, 2024 (the “2024 Annual Report”),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Proxy Statement are available free of charge at www.proxyvote.com.</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investorrelations@innventure.com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9019"/>
          </w:cols>
          <w:pgMar w:left="1440" w:top="69" w:right="1440" w:bottom="105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37"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GENERAL INFORMATION ABOUT THE ANNUAL MEETING AND VOTING</w:t>
      </w:r>
      <w:r>
        <w:rPr>
          <w:sz w:val="20"/>
          <w:szCs w:val="20"/>
          <w:color w:val="auto"/>
        </w:rPr>
        <w:tab/>
      </w:r>
      <w:r>
        <w:rPr>
          <w:rFonts w:ascii="Times New Roman" w:cs="Times New Roman" w:eastAsia="Times New Roman" w:hAnsi="Times New Roman"/>
          <w:sz w:val="18"/>
          <w:szCs w:val="18"/>
          <w:color w:val="auto"/>
        </w:rPr>
        <w:t>1</w:t>
      </w:r>
    </w:p>
    <w:p>
      <w:pPr>
        <w:spacing w:after="0" w:line="158"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PROPOSAL ONE—ELECTION OF DIRECTORS</w:t>
      </w:r>
      <w:r>
        <w:rPr>
          <w:sz w:val="20"/>
          <w:szCs w:val="20"/>
          <w:color w:val="auto"/>
        </w:rPr>
        <w:tab/>
      </w:r>
      <w:r>
        <w:rPr>
          <w:rFonts w:ascii="Times New Roman" w:cs="Times New Roman" w:eastAsia="Times New Roman" w:hAnsi="Times New Roman"/>
          <w:sz w:val="18"/>
          <w:szCs w:val="18"/>
          <w:color w:val="auto"/>
        </w:rPr>
        <w:t>7</w:t>
      </w:r>
    </w:p>
    <w:p>
      <w:pPr>
        <w:spacing w:after="0" w:line="158" w:lineRule="exact"/>
        <w:rPr>
          <w:sz w:val="20"/>
          <w:szCs w:val="20"/>
          <w:color w:val="auto"/>
        </w:rPr>
      </w:pPr>
    </w:p>
    <w:p>
      <w:pPr>
        <w:ind w:left="420"/>
        <w:spacing w:after="0"/>
        <w:tabs>
          <w:tab w:leader="dot" w:pos="880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7</w:t>
      </w:r>
    </w:p>
    <w:p>
      <w:pPr>
        <w:spacing w:after="0" w:line="158" w:lineRule="exact"/>
        <w:rPr>
          <w:sz w:val="20"/>
          <w:szCs w:val="20"/>
          <w:color w:val="auto"/>
        </w:rPr>
      </w:pPr>
    </w:p>
    <w:p>
      <w:pPr>
        <w:ind w:left="100"/>
        <w:spacing w:after="0"/>
        <w:tabs>
          <w:tab w:leader="dot" w:pos="8800" w:val="left"/>
        </w:tabs>
        <w:rPr>
          <w:sz w:val="20"/>
          <w:szCs w:val="20"/>
          <w:color w:val="auto"/>
        </w:rPr>
      </w:pPr>
      <w:r>
        <w:rPr>
          <w:rFonts w:ascii="Times New Roman" w:cs="Times New Roman" w:eastAsia="Times New Roman" w:hAnsi="Times New Roman"/>
          <w:sz w:val="18"/>
          <w:szCs w:val="18"/>
          <w:color w:val="auto"/>
        </w:rPr>
        <w:t>CORPORATE GOVERNANCE</w:t>
      </w:r>
      <w:r>
        <w:rPr>
          <w:sz w:val="20"/>
          <w:szCs w:val="20"/>
          <w:color w:val="auto"/>
        </w:rPr>
        <w:tab/>
      </w:r>
      <w:r>
        <w:rPr>
          <w:rFonts w:ascii="Times New Roman" w:cs="Times New Roman" w:eastAsia="Times New Roman" w:hAnsi="Times New Roman"/>
          <w:sz w:val="18"/>
          <w:szCs w:val="18"/>
          <w:color w:val="auto"/>
        </w:rPr>
        <w:t>8</w:t>
      </w:r>
    </w:p>
    <w:p>
      <w:pPr>
        <w:spacing w:after="0" w:line="158" w:lineRule="exact"/>
        <w:rPr>
          <w:sz w:val="20"/>
          <w:szCs w:val="20"/>
          <w:color w:val="auto"/>
        </w:rPr>
      </w:pPr>
    </w:p>
    <w:p>
      <w:pPr>
        <w:ind w:left="420"/>
        <w:spacing w:after="0"/>
        <w:tabs>
          <w:tab w:leader="dot" w:pos="8800" w:val="left"/>
        </w:tabs>
        <w:rPr>
          <w:sz w:val="20"/>
          <w:szCs w:val="20"/>
          <w:color w:val="auto"/>
        </w:rPr>
      </w:pPr>
      <w:r>
        <w:rPr>
          <w:rFonts w:ascii="Times New Roman" w:cs="Times New Roman" w:eastAsia="Times New Roman" w:hAnsi="Times New Roman"/>
          <w:sz w:val="18"/>
          <w:szCs w:val="18"/>
          <w:color w:val="auto"/>
        </w:rPr>
        <w:t>Our Board of Directors</w:t>
      </w:r>
      <w:r>
        <w:rPr>
          <w:sz w:val="20"/>
          <w:szCs w:val="20"/>
          <w:color w:val="auto"/>
        </w:rPr>
        <w:tab/>
      </w:r>
      <w:r>
        <w:rPr>
          <w:rFonts w:ascii="Times New Roman" w:cs="Times New Roman" w:eastAsia="Times New Roman" w:hAnsi="Times New Roman"/>
          <w:sz w:val="18"/>
          <w:szCs w:val="18"/>
          <w:color w:val="auto"/>
        </w:rPr>
        <w:t>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Our Executive Officers</w:t>
      </w:r>
      <w:r>
        <w:rPr>
          <w:sz w:val="20"/>
          <w:szCs w:val="20"/>
          <w:color w:val="auto"/>
        </w:rPr>
        <w:tab/>
      </w:r>
      <w:r>
        <w:rPr>
          <w:rFonts w:ascii="Times New Roman" w:cs="Times New Roman" w:eastAsia="Times New Roman" w:hAnsi="Times New Roman"/>
          <w:sz w:val="18"/>
          <w:szCs w:val="18"/>
          <w:color w:val="auto"/>
        </w:rPr>
        <w:t>10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Governance Overview</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Composition</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Independence</w:t>
      </w:r>
      <w:r>
        <w:rPr>
          <w:sz w:val="20"/>
          <w:szCs w:val="20"/>
          <w:color w:val="auto"/>
        </w:rPr>
        <w:tab/>
      </w:r>
      <w:r>
        <w:rPr>
          <w:rFonts w:ascii="Times New Roman" w:cs="Times New Roman" w:eastAsia="Times New Roman" w:hAnsi="Times New Roman"/>
          <w:sz w:val="16"/>
          <w:szCs w:val="16"/>
          <w:color w:val="auto"/>
        </w:rPr>
        <w:t>11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Nominations</w:t>
      </w:r>
      <w:r>
        <w:rPr>
          <w:sz w:val="20"/>
          <w:szCs w:val="20"/>
          <w:color w:val="auto"/>
        </w:rPr>
        <w:tab/>
      </w:r>
      <w:r>
        <w:rPr>
          <w:rFonts w:ascii="Times New Roman" w:cs="Times New Roman" w:eastAsia="Times New Roman" w:hAnsi="Times New Roman"/>
          <w:sz w:val="18"/>
          <w:szCs w:val="18"/>
          <w:color w:val="auto"/>
        </w:rPr>
        <w:t>12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Leadership Structure</w:t>
      </w:r>
      <w:r>
        <w:rPr>
          <w:sz w:val="20"/>
          <w:szCs w:val="20"/>
          <w:color w:val="auto"/>
        </w:rPr>
        <w:tab/>
      </w:r>
      <w:r>
        <w:rPr>
          <w:rFonts w:ascii="Times New Roman" w:cs="Times New Roman" w:eastAsia="Times New Roman" w:hAnsi="Times New Roman"/>
          <w:sz w:val="18"/>
          <w:szCs w:val="18"/>
          <w:color w:val="auto"/>
        </w:rPr>
        <w:t>13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Board’s Role in Risk Oversight</w:t>
      </w:r>
      <w:r>
        <w:rPr>
          <w:sz w:val="20"/>
          <w:szCs w:val="20"/>
          <w:color w:val="auto"/>
        </w:rPr>
        <w:tab/>
      </w:r>
      <w:r>
        <w:rPr>
          <w:rFonts w:ascii="Times New Roman" w:cs="Times New Roman" w:eastAsia="Times New Roman" w:hAnsi="Times New Roman"/>
          <w:sz w:val="18"/>
          <w:szCs w:val="18"/>
          <w:color w:val="auto"/>
        </w:rPr>
        <w:t>13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Committees</w:t>
      </w:r>
      <w:r>
        <w:rPr>
          <w:sz w:val="20"/>
          <w:szCs w:val="20"/>
          <w:color w:val="auto"/>
        </w:rPr>
        <w:tab/>
      </w:r>
      <w:r>
        <w:rPr>
          <w:rFonts w:ascii="Times New Roman" w:cs="Times New Roman" w:eastAsia="Times New Roman" w:hAnsi="Times New Roman"/>
          <w:sz w:val="18"/>
          <w:szCs w:val="18"/>
          <w:color w:val="auto"/>
        </w:rPr>
        <w:t>14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Executive Sessions</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Meeting Attendance</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Stockholder Communications with the Board</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Code of Business Conduct and Ethics</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Corporate Governance Guidelines</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Compensation Clawback Policy</w:t>
      </w:r>
      <w:r>
        <w:rPr>
          <w:sz w:val="20"/>
          <w:szCs w:val="20"/>
          <w:color w:val="auto"/>
        </w:rPr>
        <w:tab/>
      </w:r>
      <w:r>
        <w:rPr>
          <w:rFonts w:ascii="Times New Roman" w:cs="Times New Roman" w:eastAsia="Times New Roman" w:hAnsi="Times New Roman"/>
          <w:sz w:val="18"/>
          <w:szCs w:val="18"/>
          <w:color w:val="auto"/>
        </w:rPr>
        <w:t>16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Insider Trading and Anti-Hedging Policies and Procedures</w:t>
      </w:r>
      <w:r>
        <w:rPr>
          <w:sz w:val="20"/>
          <w:szCs w:val="20"/>
          <w:color w:val="auto"/>
        </w:rPr>
        <w:tab/>
      </w:r>
      <w:r>
        <w:rPr>
          <w:rFonts w:ascii="Times New Roman" w:cs="Times New Roman" w:eastAsia="Times New Roman" w:hAnsi="Times New Roman"/>
          <w:sz w:val="18"/>
          <w:szCs w:val="18"/>
          <w:color w:val="auto"/>
        </w:rPr>
        <w:t>16</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CERTAIN RELATIONSHIPS AND RELATED PARTY TRANSACTIONS</w:t>
      </w:r>
      <w:r>
        <w:rPr>
          <w:sz w:val="20"/>
          <w:szCs w:val="20"/>
          <w:color w:val="auto"/>
        </w:rPr>
        <w:tab/>
      </w: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440" w:right="1440" w:bottom="0" w:gutter="0" w:footer="0" w:header="0"/>
        </w:sectPr>
      </w:pPr>
    </w:p>
    <w:bookmarkStart w:id="4" w:name="page5"/>
    <w:bookmarkEnd w:id="4"/>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Transactions with AeroFlexx, Accelsius, Innventus ESG Fund I, L.P., and Innventure1, LLC</w:t>
      </w:r>
      <w:r>
        <w:rPr>
          <w:sz w:val="20"/>
          <w:szCs w:val="20"/>
          <w:color w:val="auto"/>
        </w:rPr>
        <w:tab/>
      </w: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3670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AeroFlexx</w:t>
      </w:r>
      <w:r>
        <w:rPr>
          <w:sz w:val="20"/>
          <w:szCs w:val="20"/>
          <w:color w:val="auto"/>
        </w:rPr>
        <w:tab/>
      </w:r>
      <w:r>
        <w:rPr>
          <w:rFonts w:ascii="Times New Roman" w:cs="Times New Roman" w:eastAsia="Times New Roman" w:hAnsi="Times New Roman"/>
          <w:sz w:val="18"/>
          <w:szCs w:val="18"/>
          <w:color w:val="auto"/>
        </w:rPr>
        <w:t>19</w:t>
      </w:r>
    </w:p>
    <w:p>
      <w:pPr>
        <w:spacing w:after="0" w:line="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Accelsius</w:t>
      </w:r>
      <w:r>
        <w:rPr>
          <w:sz w:val="20"/>
          <w:szCs w:val="20"/>
          <w:color w:val="auto"/>
        </w:rPr>
        <w:tab/>
      </w:r>
      <w:r>
        <w:rPr>
          <w:rFonts w:ascii="Times New Roman" w:cs="Times New Roman" w:eastAsia="Times New Roman" w:hAnsi="Times New Roman"/>
          <w:sz w:val="18"/>
          <w:szCs w:val="18"/>
          <w:color w:val="auto"/>
        </w:rPr>
        <w:t>20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Other Related Party Transactions</w:t>
      </w:r>
      <w:r>
        <w:rPr>
          <w:sz w:val="20"/>
          <w:szCs w:val="20"/>
          <w:color w:val="auto"/>
        </w:rPr>
        <w:tab/>
      </w:r>
      <w:r>
        <w:rPr>
          <w:rFonts w:ascii="Times New Roman" w:cs="Times New Roman" w:eastAsia="Times New Roman" w:hAnsi="Times New Roman"/>
          <w:sz w:val="18"/>
          <w:szCs w:val="18"/>
          <w:color w:val="auto"/>
        </w:rPr>
        <w:t>21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Review, Approval or Ratification of Transactions with Related Parties</w:t>
      </w:r>
      <w:r>
        <w:rPr>
          <w:sz w:val="20"/>
          <w:szCs w:val="20"/>
          <w:color w:val="auto"/>
        </w:rPr>
        <w:tab/>
      </w:r>
      <w:r>
        <w:rPr>
          <w:rFonts w:ascii="Times New Roman" w:cs="Times New Roman" w:eastAsia="Times New Roman" w:hAnsi="Times New Roman"/>
          <w:sz w:val="18"/>
          <w:szCs w:val="18"/>
          <w:color w:val="auto"/>
        </w:rPr>
        <w:t>23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Limitation of Liability and Indemnification of Directors and Executive Officers</w:t>
      </w:r>
      <w:r>
        <w:rPr>
          <w:sz w:val="20"/>
          <w:szCs w:val="20"/>
          <w:color w:val="auto"/>
        </w:rPr>
        <w:tab/>
      </w:r>
      <w:r>
        <w:rPr>
          <w:rFonts w:ascii="Times New Roman" w:cs="Times New Roman" w:eastAsia="Times New Roman" w:hAnsi="Times New Roman"/>
          <w:sz w:val="18"/>
          <w:szCs w:val="18"/>
          <w:color w:val="auto"/>
        </w:rPr>
        <w:t>23</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Related Party Transaction Policy</w:t>
      </w:r>
      <w:r>
        <w:rPr>
          <w:sz w:val="20"/>
          <w:szCs w:val="20"/>
          <w:color w:val="auto"/>
        </w:rPr>
        <w:tab/>
      </w:r>
      <w:r>
        <w:rPr>
          <w:rFonts w:ascii="Times New Roman" w:cs="Times New Roman" w:eastAsia="Times New Roman" w:hAnsi="Times New Roman"/>
          <w:sz w:val="18"/>
          <w:szCs w:val="18"/>
          <w:color w:val="auto"/>
        </w:rPr>
        <w:t>23</w:t>
      </w:r>
    </w:p>
    <w:p>
      <w:pPr>
        <w:spacing w:after="0" w:line="158" w:lineRule="exact"/>
        <w:rPr>
          <w:sz w:val="20"/>
          <w:szCs w:val="20"/>
          <w:color w:val="auto"/>
        </w:rPr>
      </w:pPr>
    </w:p>
    <w:p>
      <w:pPr>
        <w:ind w:left="100"/>
        <w:spacing w:after="0"/>
        <w:tabs>
          <w:tab w:leader="none" w:pos="8720" w:val="left"/>
        </w:tabs>
        <w:rPr>
          <w:sz w:val="20"/>
          <w:szCs w:val="20"/>
          <w:color w:val="auto"/>
        </w:rPr>
      </w:pPr>
      <w:r>
        <w:rPr>
          <w:rFonts w:ascii="Times New Roman" w:cs="Times New Roman" w:eastAsia="Times New Roman" w:hAnsi="Times New Roman"/>
          <w:sz w:val="18"/>
          <w:szCs w:val="18"/>
          <w:color w:val="auto"/>
        </w:rPr>
        <w:t>PROPOSAL TWO—RATIFY BDO USA, P.C. AS OUR INDEPENDENT REGISTERED PUBLIC ACCOUNTING</w:t>
        <w:tab/>
        <w:t>24</w:t>
      </w:r>
    </w:p>
    <w:p>
      <w:pPr>
        <w:spacing w:after="0" w:line="27" w:lineRule="exact"/>
        <w:rPr>
          <w:sz w:val="20"/>
          <w:szCs w:val="20"/>
          <w:color w:val="auto"/>
        </w:rPr>
      </w:pPr>
    </w:p>
    <w:p>
      <w:pPr>
        <w:ind w:left="420"/>
        <w:spacing w:after="0"/>
        <w:tabs>
          <w:tab w:leader="none" w:pos="5280" w:val="left"/>
        </w:tabs>
        <w:rPr>
          <w:sz w:val="20"/>
          <w:szCs w:val="20"/>
          <w:color w:val="auto"/>
        </w:rPr>
      </w:pPr>
      <w:r>
        <w:rPr>
          <w:rFonts w:ascii="Times New Roman" w:cs="Times New Roman" w:eastAsia="Times New Roman" w:hAnsi="Times New Roman"/>
          <w:sz w:val="18"/>
          <w:szCs w:val="18"/>
          <w:color w:val="auto"/>
        </w:rPr>
        <w:t>FIRM FOR THE FISCAL YEAR ENDING DECEMBER 21, 2025</w:t>
      </w:r>
      <w:r>
        <w:rPr>
          <w:sz w:val="20"/>
          <w:szCs w:val="20"/>
          <w:color w:val="auto"/>
        </w:rPr>
        <w:tab/>
      </w:r>
      <w:r>
        <w:rPr>
          <w:rFonts w:ascii="Times New Roman" w:cs="Times New Roman" w:eastAsia="Times New Roman" w:hAnsi="Times New Roman"/>
          <w:sz w:val="17"/>
          <w:szCs w:val="17"/>
          <w:color w:val="B4B4B4"/>
        </w:rPr>
        <w:t>..........................................................................</w:t>
      </w:r>
    </w:p>
    <w:p>
      <w:pPr>
        <w:spacing w:after="0" w:line="19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Audit Matters</w:t>
      </w:r>
      <w:r>
        <w:rPr>
          <w:sz w:val="20"/>
          <w:szCs w:val="20"/>
          <w:color w:val="auto"/>
        </w:rPr>
        <w:tab/>
      </w:r>
      <w:r>
        <w:rPr>
          <w:rFonts w:ascii="Times New Roman" w:cs="Times New Roman" w:eastAsia="Times New Roman" w:hAnsi="Times New Roman"/>
          <w:sz w:val="18"/>
          <w:szCs w:val="18"/>
          <w:color w:val="auto"/>
        </w:rPr>
        <w:t>24</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Change in Auditor</w:t>
      </w:r>
      <w:r>
        <w:rPr>
          <w:sz w:val="20"/>
          <w:szCs w:val="20"/>
          <w:color w:val="auto"/>
        </w:rPr>
        <w:tab/>
      </w: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Report of the Audit Committee of the Board</w:t>
      </w:r>
      <w:r>
        <w:rPr>
          <w:sz w:val="20"/>
          <w:szCs w:val="20"/>
          <w:color w:val="auto"/>
        </w:rPr>
        <w:tab/>
      </w:r>
      <w:r>
        <w:rPr>
          <w:rFonts w:ascii="Times New Roman" w:cs="Times New Roman" w:eastAsia="Times New Roman" w:hAnsi="Times New Roman"/>
          <w:sz w:val="18"/>
          <w:szCs w:val="18"/>
          <w:color w:val="auto"/>
        </w:rPr>
        <w:t>25</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PROPOSAL THREE—SEPA SHARE ISSUANCE PROPOSAL</w:t>
      </w:r>
      <w:r>
        <w:rPr>
          <w:sz w:val="20"/>
          <w:szCs w:val="20"/>
          <w:color w:val="auto"/>
        </w:rPr>
        <w:tab/>
      </w:r>
      <w:r>
        <w:rPr>
          <w:rFonts w:ascii="Times New Roman" w:cs="Times New Roman" w:eastAsia="Times New Roman" w:hAnsi="Times New Roman"/>
          <w:sz w:val="18"/>
          <w:szCs w:val="18"/>
          <w:color w:val="auto"/>
        </w:rPr>
        <w:t>26</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Background</w:t>
      </w:r>
      <w:r>
        <w:rPr>
          <w:sz w:val="20"/>
          <w:szCs w:val="20"/>
          <w:color w:val="auto"/>
        </w:rPr>
        <w:tab/>
      </w:r>
      <w:r>
        <w:rPr>
          <w:rFonts w:ascii="Times New Roman" w:cs="Times New Roman" w:eastAsia="Times New Roman" w:hAnsi="Times New Roman"/>
          <w:sz w:val="18"/>
          <w:szCs w:val="18"/>
          <w:color w:val="auto"/>
        </w:rPr>
        <w:t>29</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Reasons for Seeking Stockholder Approval</w:t>
      </w:r>
      <w:r>
        <w:rPr>
          <w:sz w:val="20"/>
          <w:szCs w:val="20"/>
          <w:color w:val="auto"/>
        </w:rPr>
        <w:tab/>
      </w:r>
      <w:r>
        <w:rPr>
          <w:rFonts w:ascii="Times New Roman" w:cs="Times New Roman" w:eastAsia="Times New Roman" w:hAnsi="Times New Roman"/>
          <w:sz w:val="18"/>
          <w:szCs w:val="18"/>
          <w:color w:val="auto"/>
        </w:rPr>
        <w:t>27</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292100</wp:posOffset>
            </wp:positionV>
            <wp:extent cx="7016115" cy="6762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(continued)</w:t>
      </w:r>
    </w:p>
    <w:p>
      <w:pPr>
        <w:spacing w:after="0" w:line="147"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37"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Effect on Current Stockholders</w:t>
      </w:r>
      <w:r>
        <w:rPr>
          <w:sz w:val="20"/>
          <w:szCs w:val="20"/>
          <w:color w:val="auto"/>
        </w:rPr>
        <w:tab/>
      </w:r>
      <w:r>
        <w:rPr>
          <w:rFonts w:ascii="Times New Roman" w:cs="Times New Roman" w:eastAsia="Times New Roman" w:hAnsi="Times New Roman"/>
          <w:sz w:val="18"/>
          <w:szCs w:val="18"/>
          <w:color w:val="auto"/>
        </w:rPr>
        <w:t>27</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Consequences of Non-Approval</w:t>
      </w:r>
      <w:r>
        <w:rPr>
          <w:sz w:val="20"/>
          <w:szCs w:val="20"/>
          <w:color w:val="auto"/>
        </w:rPr>
        <w:tab/>
      </w:r>
      <w:r>
        <w:rPr>
          <w:rFonts w:ascii="Times New Roman" w:cs="Times New Roman" w:eastAsia="Times New Roman" w:hAnsi="Times New Roman"/>
          <w:sz w:val="18"/>
          <w:szCs w:val="18"/>
          <w:color w:val="auto"/>
        </w:rPr>
        <w:t>28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28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28</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PROPOSAL FOUR—CONVERTIBLE DEBENTURES SHARE ISSUANCE PROPOSAL</w:t>
      </w:r>
      <w:r>
        <w:rPr>
          <w:sz w:val="20"/>
          <w:szCs w:val="20"/>
          <w:color w:val="auto"/>
        </w:rPr>
        <w:tab/>
      </w:r>
      <w:r>
        <w:rPr>
          <w:rFonts w:ascii="Times New Roman" w:cs="Times New Roman" w:eastAsia="Times New Roman" w:hAnsi="Times New Roman"/>
          <w:sz w:val="18"/>
          <w:szCs w:val="18"/>
          <w:color w:val="auto"/>
        </w:rPr>
        <w:t>29</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Background</w:t>
      </w:r>
      <w:r>
        <w:rPr>
          <w:sz w:val="20"/>
          <w:szCs w:val="20"/>
          <w:color w:val="auto"/>
        </w:rPr>
        <w:tab/>
      </w:r>
      <w:r>
        <w:rPr>
          <w:rFonts w:ascii="Times New Roman" w:cs="Times New Roman" w:eastAsia="Times New Roman" w:hAnsi="Times New Roman"/>
          <w:sz w:val="18"/>
          <w:szCs w:val="18"/>
          <w:color w:val="auto"/>
        </w:rPr>
        <w:t>29</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Reasons for Seeking Stockholder Approval</w:t>
      </w:r>
      <w:r>
        <w:rPr>
          <w:sz w:val="20"/>
          <w:szCs w:val="20"/>
          <w:color w:val="auto"/>
        </w:rPr>
        <w:tab/>
      </w:r>
      <w:r>
        <w:rPr>
          <w:rFonts w:ascii="Times New Roman" w:cs="Times New Roman" w:eastAsia="Times New Roman" w:hAnsi="Times New Roman"/>
          <w:sz w:val="18"/>
          <w:szCs w:val="18"/>
          <w:color w:val="auto"/>
        </w:rPr>
        <w:t>30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Effect on Current Stockholders</w:t>
      </w:r>
      <w:r>
        <w:rPr>
          <w:sz w:val="20"/>
          <w:szCs w:val="20"/>
          <w:color w:val="auto"/>
        </w:rPr>
        <w:tab/>
      </w:r>
      <w:r>
        <w:rPr>
          <w:rFonts w:ascii="Times New Roman" w:cs="Times New Roman" w:eastAsia="Times New Roman" w:hAnsi="Times New Roman"/>
          <w:sz w:val="18"/>
          <w:szCs w:val="18"/>
          <w:color w:val="auto"/>
        </w:rPr>
        <w:t>30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Consequences of Non-Approval</w:t>
      </w:r>
      <w:r>
        <w:rPr>
          <w:sz w:val="20"/>
          <w:szCs w:val="20"/>
          <w:color w:val="auto"/>
        </w:rPr>
        <w:tab/>
      </w: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Board Recommendation</w:t>
      </w:r>
      <w:r>
        <w:rPr>
          <w:sz w:val="20"/>
          <w:szCs w:val="20"/>
          <w:color w:val="auto"/>
        </w:rPr>
        <w:tab/>
      </w: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Vote Required</w:t>
      </w:r>
      <w:r>
        <w:rPr>
          <w:sz w:val="20"/>
          <w:szCs w:val="20"/>
          <w:color w:val="auto"/>
        </w:rPr>
        <w:tab/>
      </w:r>
      <w:r>
        <w:rPr>
          <w:rFonts w:ascii="Times New Roman" w:cs="Times New Roman" w:eastAsia="Times New Roman" w:hAnsi="Times New Roman"/>
          <w:sz w:val="18"/>
          <w:szCs w:val="18"/>
          <w:color w:val="auto"/>
        </w:rPr>
        <w:t>31</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EXECUTIVE AND DIRECTOR COMPENSATION</w:t>
      </w:r>
      <w:r>
        <w:rPr>
          <w:sz w:val="20"/>
          <w:szCs w:val="20"/>
          <w:color w:val="auto"/>
        </w:rPr>
        <w:tab/>
      </w:r>
      <w:r>
        <w:rPr>
          <w:rFonts w:ascii="Times New Roman" w:cs="Times New Roman" w:eastAsia="Times New Roman" w:hAnsi="Times New Roman"/>
          <w:sz w:val="18"/>
          <w:szCs w:val="18"/>
          <w:color w:val="auto"/>
        </w:rPr>
        <w:t>32</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Business Combination</w:t>
      </w:r>
      <w:r>
        <w:rPr>
          <w:sz w:val="20"/>
          <w:szCs w:val="20"/>
          <w:color w:val="auto"/>
        </w:rPr>
        <w:tab/>
      </w:r>
      <w:r>
        <w:rPr>
          <w:rFonts w:ascii="Times New Roman" w:cs="Times New Roman" w:eastAsia="Times New Roman" w:hAnsi="Times New Roman"/>
          <w:sz w:val="18"/>
          <w:szCs w:val="18"/>
          <w:color w:val="auto"/>
        </w:rPr>
        <w:t>32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Summary Compensation Table</w:t>
      </w:r>
      <w:r>
        <w:rPr>
          <w:sz w:val="20"/>
          <w:szCs w:val="20"/>
          <w:color w:val="auto"/>
        </w:rPr>
        <w:tab/>
      </w:r>
      <w:r>
        <w:rPr>
          <w:rFonts w:ascii="Times New Roman" w:cs="Times New Roman" w:eastAsia="Times New Roman" w:hAnsi="Times New Roman"/>
          <w:sz w:val="18"/>
          <w:szCs w:val="18"/>
          <w:color w:val="auto"/>
        </w:rPr>
        <w:t>32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Outstanding Equity Awards at 2024 Fiscal Year-End</w:t>
      </w:r>
      <w:r>
        <w:rPr>
          <w:sz w:val="20"/>
          <w:szCs w:val="20"/>
          <w:color w:val="auto"/>
        </w:rPr>
        <w:tab/>
      </w:r>
      <w:r>
        <w:rPr>
          <w:rFonts w:ascii="Times New Roman" w:cs="Times New Roman" w:eastAsia="Times New Roman" w:hAnsi="Times New Roman"/>
          <w:sz w:val="18"/>
          <w:szCs w:val="18"/>
          <w:color w:val="auto"/>
        </w:rPr>
        <w:t>36</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Additional Narrative Disclosure</w:t>
      </w:r>
      <w:r>
        <w:rPr>
          <w:sz w:val="20"/>
          <w:szCs w:val="20"/>
          <w:color w:val="auto"/>
        </w:rPr>
        <w:tab/>
      </w:r>
      <w:r>
        <w:rPr>
          <w:rFonts w:ascii="Times New Roman" w:cs="Times New Roman" w:eastAsia="Times New Roman" w:hAnsi="Times New Roman"/>
          <w:sz w:val="18"/>
          <w:szCs w:val="18"/>
          <w:color w:val="auto"/>
        </w:rPr>
        <w:t>37</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Director Compensation</w:t>
      </w:r>
      <w:r>
        <w:rPr>
          <w:sz w:val="20"/>
          <w:szCs w:val="20"/>
          <w:color w:val="auto"/>
        </w:rPr>
        <w:tab/>
      </w:r>
      <w:r>
        <w:rPr>
          <w:rFonts w:ascii="Times New Roman" w:cs="Times New Roman" w:eastAsia="Times New Roman" w:hAnsi="Times New Roman"/>
          <w:sz w:val="18"/>
          <w:szCs w:val="18"/>
          <w:color w:val="auto"/>
        </w:rPr>
        <w:t>38</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2024 Director Compensation</w:t>
      </w:r>
      <w:r>
        <w:rPr>
          <w:sz w:val="20"/>
          <w:szCs w:val="20"/>
          <w:color w:val="auto"/>
        </w:rPr>
        <w:tab/>
      </w:r>
      <w:r>
        <w:rPr>
          <w:rFonts w:ascii="Times New Roman" w:cs="Times New Roman" w:eastAsia="Times New Roman" w:hAnsi="Times New Roman"/>
          <w:sz w:val="18"/>
          <w:szCs w:val="18"/>
          <w:color w:val="auto"/>
        </w:rPr>
        <w:t>39</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STOCK OWNERSHIP</w:t>
      </w:r>
      <w:r>
        <w:rPr>
          <w:sz w:val="20"/>
          <w:szCs w:val="20"/>
          <w:color w:val="auto"/>
        </w:rPr>
        <w:tab/>
      </w:r>
      <w:r>
        <w:rPr>
          <w:rFonts w:ascii="Times New Roman" w:cs="Times New Roman" w:eastAsia="Times New Roman" w:hAnsi="Times New Roman"/>
          <w:sz w:val="18"/>
          <w:szCs w:val="18"/>
          <w:color w:val="auto"/>
        </w:rPr>
        <w:t>40</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Stock Ownership of Major Stockholders, Executive Officers and Directors</w:t>
      </w:r>
      <w:r>
        <w:rPr>
          <w:sz w:val="20"/>
          <w:szCs w:val="20"/>
          <w:color w:val="auto"/>
        </w:rPr>
        <w:tab/>
      </w:r>
      <w:r>
        <w:rPr>
          <w:rFonts w:ascii="Times New Roman" w:cs="Times New Roman" w:eastAsia="Times New Roman" w:hAnsi="Times New Roman"/>
          <w:sz w:val="18"/>
          <w:szCs w:val="18"/>
          <w:color w:val="auto"/>
        </w:rPr>
        <w:t>40</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r>
        <w:rPr>
          <w:sz w:val="20"/>
          <w:szCs w:val="20"/>
          <w:color w:val="auto"/>
        </w:rPr>
        <w:tab/>
      </w:r>
      <w:r>
        <w:rPr>
          <w:rFonts w:ascii="Times New Roman" w:cs="Times New Roman" w:eastAsia="Times New Roman" w:hAnsi="Times New Roman"/>
          <w:sz w:val="18"/>
          <w:szCs w:val="18"/>
          <w:color w:val="auto"/>
        </w:rPr>
        <w:t>41</w:t>
      </w:r>
    </w:p>
    <w:p>
      <w:pPr>
        <w:spacing w:after="0" w:line="158" w:lineRule="exact"/>
        <w:rPr>
          <w:sz w:val="20"/>
          <w:szCs w:val="20"/>
          <w:color w:val="auto"/>
        </w:rPr>
      </w:pPr>
    </w:p>
    <w:p>
      <w:pPr>
        <w:ind w:left="100"/>
        <w:spacing w:after="0"/>
        <w:tabs>
          <w:tab w:leader="dot" w:pos="8720" w:val="left"/>
        </w:tabs>
        <w:rPr>
          <w:sz w:val="20"/>
          <w:szCs w:val="20"/>
          <w:color w:val="auto"/>
        </w:rPr>
      </w:pPr>
      <w:r>
        <w:rPr>
          <w:rFonts w:ascii="Times New Roman" w:cs="Times New Roman" w:eastAsia="Times New Roman" w:hAnsi="Times New Roman"/>
          <w:sz w:val="18"/>
          <w:szCs w:val="18"/>
          <w:color w:val="auto"/>
        </w:rPr>
        <w:t>OTHER INFORMATION</w:t>
      </w:r>
      <w:r>
        <w:rPr>
          <w:sz w:val="20"/>
          <w:szCs w:val="20"/>
          <w:color w:val="auto"/>
        </w:rPr>
        <w:tab/>
      </w:r>
      <w:r>
        <w:rPr>
          <w:rFonts w:ascii="Times New Roman" w:cs="Times New Roman" w:eastAsia="Times New Roman" w:hAnsi="Times New Roman"/>
          <w:sz w:val="18"/>
          <w:szCs w:val="18"/>
          <w:color w:val="auto"/>
        </w:rPr>
        <w:t>42</w:t>
      </w:r>
    </w:p>
    <w:p>
      <w:pPr>
        <w:spacing w:after="0" w:line="158"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Proxy Materials</w:t>
      </w:r>
      <w:r>
        <w:rPr>
          <w:sz w:val="20"/>
          <w:szCs w:val="20"/>
          <w:color w:val="auto"/>
        </w:rPr>
        <w:tab/>
      </w: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420"/>
        <w:spacing w:after="0"/>
        <w:tabs>
          <w:tab w:leader="dot" w:pos="8720" w:val="left"/>
        </w:tabs>
        <w:rPr>
          <w:sz w:val="20"/>
          <w:szCs w:val="20"/>
          <w:color w:val="auto"/>
        </w:rPr>
      </w:pPr>
      <w:r>
        <w:rPr>
          <w:rFonts w:ascii="Times New Roman" w:cs="Times New Roman" w:eastAsia="Times New Roman" w:hAnsi="Times New Roman"/>
          <w:sz w:val="18"/>
          <w:szCs w:val="18"/>
          <w:color w:val="auto"/>
        </w:rPr>
        <w:t>Delivery of Proxy Materials to Households</w:t>
      </w:r>
      <w:r>
        <w:rPr>
          <w:sz w:val="20"/>
          <w:szCs w:val="20"/>
          <w:color w:val="auto"/>
        </w:rPr>
        <w:tab/>
      </w:r>
      <w:r>
        <w:rPr>
          <w:rFonts w:ascii="Times New Roman" w:cs="Times New Roman" w:eastAsia="Times New Roman" w:hAnsi="Times New Roman"/>
          <w:sz w:val="18"/>
          <w:szCs w:val="18"/>
          <w:color w:val="auto"/>
        </w:rPr>
        <w:t>42</w:t>
      </w:r>
    </w:p>
    <w:p>
      <w:pPr>
        <w:spacing w:after="0" w:line="275" w:lineRule="exact"/>
        <w:rPr>
          <w:sz w:val="20"/>
          <w:szCs w:val="20"/>
          <w:color w:val="auto"/>
        </w:rPr>
      </w:pPr>
    </w:p>
    <w:p>
      <w:pPr>
        <w:ind w:left="40" w:right="1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Except for historical and factual information contained herein, matters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Proxy Statement identified by words such as “expects,” “believes,” “will” and similar expressions are forward-looking statements under the Securities Act of 1933, as amended (the “Securities Act”), and the Securities Exchange Act of 1934, as amended (the “Exchange Act”), and are subject to the “safe harbor” protection thereunder. These forward-looking</w:t>
      </w:r>
    </w:p>
    <w:p>
      <w:pPr>
        <w:sectPr>
          <w:pgSz w:w="11900" w:h="16838" w:orient="portrait"/>
          <w:cols w:equalWidth="0" w:num="1">
            <w:col w:w="9019"/>
          </w:cols>
          <w:pgMar w:left="1440" w:top="108" w:right="1440" w:bottom="0" w:gutter="0" w:footer="0" w:header="0"/>
        </w:sectPr>
      </w:pPr>
    </w:p>
    <w:bookmarkStart w:id="5" w:name="page6"/>
    <w:bookmarkEnd w:id="5"/>
    <w:p>
      <w:pPr>
        <w:ind w:left="40" w:right="199"/>
        <w:spacing w:after="0" w:line="201" w:lineRule="auto"/>
        <w:rPr>
          <w:sz w:val="20"/>
          <w:szCs w:val="20"/>
          <w:color w:val="auto"/>
        </w:rPr>
      </w:pPr>
      <w:r>
        <w:rPr>
          <w:rFonts w:ascii="Times New Roman" w:cs="Times New Roman" w:eastAsia="Times New Roman" w:hAnsi="Times New Roman"/>
          <w:sz w:val="17"/>
          <w:szCs w:val="17"/>
          <w:color w:val="auto"/>
        </w:rPr>
        <w:t>statements are not guarantees of future results and are based on current expectations only and are subject to uncertainties. These risks and uncertainties include, but are not limited to, the risks detailed in the Company’s filings with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2299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and Exchange Commission (the “SEC”), including the “Risk Factors” section of our Annual Report on Form 10-K for the fiscal year ended December 31, 2024. Actual events and results may differ materially from those anticipated by us in those statements due to several factors, including those disclosed in our other filings with the SEC. We may change our intentions or plans discussed in our forward-looking statements without notice at any time and for any reason and we undertake no obligation to update any forward-looking statements made in this Proxy Statement or in our Annual Report on Form 10-K for the fiscal year ended December 31, 2024, to reflect new events or circumstances,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292100</wp:posOffset>
            </wp:positionV>
            <wp:extent cx="7016115" cy="813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85" w:lineRule="exact"/>
        <w:rPr>
          <w:sz w:val="20"/>
          <w:szCs w:val="20"/>
          <w:color w:val="auto"/>
        </w:rPr>
      </w:pPr>
    </w:p>
    <w:p>
      <w:pPr>
        <w:ind w:left="40" w:right="5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of the Annual Meeting. </w:t>
      </w:r>
      <w:r>
        <w:rPr>
          <w:rFonts w:ascii="Times New Roman" w:cs="Times New Roman" w:eastAsia="Times New Roman" w:hAnsi="Times New Roman"/>
          <w:sz w:val="18"/>
          <w:szCs w:val="18"/>
          <w:color w:val="auto"/>
        </w:rPr>
        <w:t>At the Annual Meeting, our stockholders will consider and vote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matters:</w:t>
      </w:r>
    </w:p>
    <w:p>
      <w:pPr>
        <w:spacing w:after="0" w:line="168" w:lineRule="exact"/>
        <w:rPr>
          <w:sz w:val="20"/>
          <w:szCs w:val="20"/>
          <w:color w:val="auto"/>
        </w:rPr>
      </w:pPr>
    </w:p>
    <w:p>
      <w:pPr>
        <w:jc w:val="both"/>
        <w:ind w:left="2740" w:right="319" w:hanging="1349"/>
        <w:spacing w:after="0" w:line="291"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 xml:space="preserve">Elect </w:t>
      </w:r>
      <w:r>
        <w:rPr>
          <w:rFonts w:ascii="Times New Roman" w:cs="Times New Roman" w:eastAsia="Times New Roman" w:hAnsi="Times New Roman"/>
          <w:sz w:val="17"/>
          <w:szCs w:val="17"/>
          <w:color w:val="auto"/>
        </w:rPr>
        <w:t>three Class I directors, Gregory W. Haskell, Daniel J. Hennessy and Michael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Amalfitano, as recommended by the N&amp;CG Committee, each being nominated to serve for a three-year term expiring at the 2028 annual meeting of stockholders;</w:t>
      </w:r>
    </w:p>
    <w:p>
      <w:pPr>
        <w:spacing w:after="0" w:line="261" w:lineRule="exact"/>
        <w:rPr>
          <w:sz w:val="20"/>
          <w:szCs w:val="20"/>
          <w:color w:val="auto"/>
        </w:rPr>
      </w:pPr>
    </w:p>
    <w:p>
      <w:pPr>
        <w:jc w:val="center"/>
        <w:ind w:right="-860"/>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color w:val="auto"/>
        </w:rPr>
        <w:t xml:space="preserve">Ratify </w:t>
      </w:r>
      <w:r>
        <w:rPr>
          <w:rFonts w:ascii="Times New Roman" w:cs="Times New Roman" w:eastAsia="Times New Roman" w:hAnsi="Times New Roman"/>
          <w:sz w:val="17"/>
          <w:szCs w:val="17"/>
          <w:color w:val="auto"/>
        </w:rPr>
        <w:t>the appointment of BDO USA, P.C. as our independent registered public</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accounting firm for the fiscal year ending December 31, 2025;</w:t>
      </w:r>
    </w:p>
    <w:p>
      <w:pPr>
        <w:spacing w:after="0" w:line="311" w:lineRule="exact"/>
        <w:rPr>
          <w:sz w:val="20"/>
          <w:szCs w:val="20"/>
          <w:color w:val="auto"/>
        </w:rPr>
      </w:pPr>
    </w:p>
    <w:p>
      <w:pPr>
        <w:ind w:left="2740" w:right="499" w:hanging="1349"/>
        <w:spacing w:after="0" w:line="317"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b w:val="1"/>
          <w:bCs w:val="1"/>
          <w:color w:val="auto"/>
        </w:rPr>
        <w:t xml:space="preserve">Approve </w:t>
      </w:r>
      <w:r>
        <w:rPr>
          <w:rFonts w:ascii="Times New Roman" w:cs="Times New Roman" w:eastAsia="Times New Roman" w:hAnsi="Times New Roman"/>
          <w:sz w:val="17"/>
          <w:szCs w:val="17"/>
          <w:color w:val="auto"/>
        </w:rPr>
        <w:t>the issuance of 20% or more of the Company’s issued and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as of October 2, 2024, pursuant to the SEPA with Yorkville;</w:t>
      </w:r>
    </w:p>
    <w:p>
      <w:pPr>
        <w:spacing w:after="0" w:line="240" w:lineRule="exact"/>
        <w:rPr>
          <w:sz w:val="20"/>
          <w:szCs w:val="20"/>
          <w:color w:val="auto"/>
        </w:rPr>
      </w:pPr>
    </w:p>
    <w:p>
      <w:pPr>
        <w:ind w:left="2740" w:right="359" w:hanging="1349"/>
        <w:spacing w:after="0" w:line="268"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Approve </w:t>
      </w:r>
      <w:r>
        <w:rPr>
          <w:rFonts w:ascii="Times New Roman" w:cs="Times New Roman" w:eastAsia="Times New Roman" w:hAnsi="Times New Roman"/>
          <w:sz w:val="18"/>
          <w:szCs w:val="18"/>
          <w:color w:val="auto"/>
        </w:rPr>
        <w:t>issuance of 20% or more of the Company’s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of March 25, 2025, pursuant to the Convertible Debentures with Yorkville; and</w:t>
      </w:r>
    </w:p>
    <w:p>
      <w:pPr>
        <w:spacing w:after="0" w:line="279" w:lineRule="exact"/>
        <w:rPr>
          <w:sz w:val="20"/>
          <w:szCs w:val="20"/>
          <w:color w:val="auto"/>
        </w:rPr>
      </w:pPr>
    </w:p>
    <w:p>
      <w:pPr>
        <w:ind w:left="2740" w:right="279" w:hanging="1349"/>
        <w:spacing w:after="0" w:line="286" w:lineRule="auto"/>
        <w:tabs>
          <w:tab w:leader="none" w:pos="2720" w:val="left"/>
        </w:tabs>
        <w:rPr>
          <w:sz w:val="20"/>
          <w:szCs w:val="20"/>
          <w:color w:val="auto"/>
        </w:rPr>
      </w:pPr>
      <w:r>
        <w:rPr>
          <w:rFonts w:ascii="Times New Roman" w:cs="Times New Roman" w:eastAsia="Times New Roman" w:hAnsi="Times New Roman"/>
          <w:sz w:val="18"/>
          <w:szCs w:val="18"/>
          <w:b w:val="1"/>
          <w:bCs w:val="1"/>
          <w:color w:val="auto"/>
        </w:rPr>
        <w:t>Proposal 5:</w:t>
      </w:r>
      <w:r>
        <w:rPr>
          <w:sz w:val="20"/>
          <w:szCs w:val="20"/>
          <w:color w:val="auto"/>
        </w:rPr>
        <w:tab/>
      </w:r>
      <w:r>
        <w:rPr>
          <w:rFonts w:ascii="Times New Roman" w:cs="Times New Roman" w:eastAsia="Times New Roman" w:hAnsi="Times New Roman"/>
          <w:sz w:val="18"/>
          <w:szCs w:val="18"/>
          <w:b w:val="1"/>
          <w:bCs w:val="1"/>
          <w:color w:val="auto"/>
        </w:rPr>
        <w:t xml:space="preserve">Transact </w:t>
      </w:r>
      <w:r>
        <w:rPr>
          <w:rFonts w:ascii="Times New Roman" w:cs="Times New Roman" w:eastAsia="Times New Roman" w:hAnsi="Times New Roman"/>
          <w:sz w:val="18"/>
          <w:szCs w:val="18"/>
          <w:color w:val="auto"/>
        </w:rPr>
        <w:t>any other business that may properly come before the Annual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or postponement thereof.</w:t>
      </w:r>
    </w:p>
    <w:p>
      <w:pPr>
        <w:spacing w:after="0" w:line="213"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meeting other than the first four items noted above.</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Recommendation. </w:t>
      </w:r>
      <w:r>
        <w:rPr>
          <w:rFonts w:ascii="Times New Roman" w:cs="Times New Roman" w:eastAsia="Times New Roman" w:hAnsi="Times New Roman"/>
          <w:sz w:val="18"/>
          <w:szCs w:val="18"/>
          <w:color w:val="auto"/>
        </w:rPr>
        <w:t>Our Board of Directors unanimously recommends that you vote:</w:t>
      </w:r>
    </w:p>
    <w:p>
      <w:pPr>
        <w:sectPr>
          <w:pgSz w:w="11900" w:h="16838" w:orient="portrait"/>
          <w:cols w:equalWidth="0" w:num="1">
            <w:col w:w="9019"/>
          </w:cols>
          <w:pgMar w:left="1440" w:top="108" w:right="1440" w:bottom="0" w:gutter="0" w:footer="0" w:header="0"/>
        </w:sectPr>
      </w:pP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election of the three nominees to serve as Class I directors on our Board of Directors, each for a three-year term expiring at the 2028 annual meeting of stockholders;</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BDO USA, P.C. as our independent registered public accounting firm for the fiscal year ending December 31, 2025;</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6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49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October 2, 2024, pursuant to the SEPA with Yorkville; and</w:t>
      </w:r>
    </w:p>
    <w:p>
      <w:pPr>
        <w:spacing w:after="0" w:line="200"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39"/>
        <w:spacing w:after="0" w:line="312" w:lineRule="auto"/>
        <w:rPr>
          <w:sz w:val="20"/>
          <w:szCs w:val="20"/>
          <w:color w:val="auto"/>
        </w:rPr>
      </w:pPr>
      <w:r>
        <w:rPr>
          <w:rFonts w:ascii="Times New Roman" w:cs="Times New Roman" w:eastAsia="Times New Roman" w:hAnsi="Times New Roman"/>
          <w:sz w:val="17"/>
          <w:szCs w:val="17"/>
          <w:color w:val="auto"/>
        </w:rPr>
        <w:t>the issuance of 20% or more of the Company’s issued and outstanding Common Stock as of March 25, 2025, pursuant to the Convertible Debentures with Yorkville.</w:t>
      </w:r>
    </w:p>
    <w:p>
      <w:pPr>
        <w:spacing w:after="0" w:line="176" w:lineRule="exact"/>
        <w:rPr>
          <w:sz w:val="20"/>
          <w:szCs w:val="20"/>
          <w:color w:val="auto"/>
        </w:rPr>
      </w:pPr>
    </w:p>
    <w:p>
      <w:pPr>
        <w:sectPr>
          <w:pgSz w:w="11900" w:h="16838" w:orient="portrait"/>
          <w:cols w:equalWidth="0" w:num="2">
            <w:col w:w="2020" w:space="720"/>
            <w:col w:w="6279"/>
          </w:cols>
          <w:pgMar w:left="1440" w:top="108" w:right="1440" w:bottom="0" w:gutter="0" w:footer="0" w:header="0"/>
          <w:type w:val="continuous"/>
        </w:sectPr>
      </w:pPr>
    </w:p>
    <w:p>
      <w:pPr>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Availability of Proxy Materials. </w:t>
      </w:r>
      <w:r>
        <w:rPr>
          <w:rFonts w:ascii="Times New Roman" w:cs="Times New Roman" w:eastAsia="Times New Roman" w:hAnsi="Times New Roman"/>
          <w:sz w:val="18"/>
          <w:szCs w:val="18"/>
          <w:color w:val="auto"/>
        </w:rPr>
        <w:t>The Proxy materials, including this Proxy Statement, a proxy card and our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Report, which we filed with the SEC on April 14, 2025, are available for viewing, printing and downloading at www.proxyvote.com.</w:t>
      </w:r>
    </w:p>
    <w:p>
      <w:pPr>
        <w:spacing w:after="0" w:line="144" w:lineRule="exact"/>
        <w:rPr>
          <w:sz w:val="20"/>
          <w:szCs w:val="20"/>
          <w:color w:val="auto"/>
        </w:rPr>
      </w:pPr>
    </w:p>
    <w:p>
      <w:pPr>
        <w:ind w:left="40" w:right="13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Can Vote at the Annual Meeting? </w:t>
      </w:r>
      <w:r>
        <w:rPr>
          <w:rFonts w:ascii="Times New Roman" w:cs="Times New Roman" w:eastAsia="Times New Roman" w:hAnsi="Times New Roman"/>
          <w:sz w:val="18"/>
          <w:szCs w:val="18"/>
          <w:color w:val="auto"/>
        </w:rPr>
        <w:t>Only stockholders of record at the close of business on April 28,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“Record Date”) will be entitled to vote at the Annual Meeting. On this Record Date, there were (i) 53,487,294 shares of common stock, par value $0.0001 per share (“Common Stock”), outstanding and entitled to vote; (ii) 239,159 shares of Series B Preferred Stock, par value of $0.0001 per share (the “Series B Preferred Stock”), outstanding and entitled to vote; and (iii) 575,000 shares of Series C Preferred Stock, par value of $0.0001 per share (the “Series C Preferred Stock”), outstanding and entitled to vote.</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to be voted on at the Annual Meeting. Each</w:t>
      </w:r>
    </w:p>
    <w:p>
      <w:pPr>
        <w:sectPr>
          <w:pgSz w:w="11900" w:h="16838" w:orient="portrait"/>
          <w:cols w:equalWidth="0" w:num="1">
            <w:col w:w="9019"/>
          </w:cols>
          <w:pgMar w:left="1440" w:top="108" w:right="1440" w:bottom="0" w:gutter="0" w:footer="0" w:header="0"/>
          <w:type w:val="continuous"/>
        </w:sectPr>
      </w:pPr>
    </w:p>
    <w:bookmarkStart w:id="6" w:name="page7"/>
    <w:bookmarkEnd w:id="6"/>
    <w:p>
      <w:pPr>
        <w:ind w:left="40" w:right="59"/>
        <w:spacing w:after="0" w:line="237" w:lineRule="auto"/>
        <w:rPr>
          <w:sz w:val="20"/>
          <w:szCs w:val="20"/>
          <w:color w:val="auto"/>
        </w:rPr>
      </w:pPr>
      <w:r>
        <w:rPr>
          <w:rFonts w:ascii="Times New Roman" w:cs="Times New Roman" w:eastAsia="Times New Roman" w:hAnsi="Times New Roman"/>
          <w:sz w:val="18"/>
          <w:szCs w:val="18"/>
          <w:color w:val="auto"/>
        </w:rPr>
        <w:t>share of our Series B Preferred Stock is entitled to 0.97 votes on each matter to be voted on at the Annual Meeting and each share of our Series C Preferred Stock is entitled to 1.3 votes on each matter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-238760</wp:posOffset>
            </wp:positionV>
            <wp:extent cx="7016115" cy="927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277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Furthermore, each holder of Common Stock shall vote together with the holders of the Series B Preferred Stock and the Series C Preferred Stock as a single class.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“Shareholder of Record” and a Beneficial Owner of Shares Held in “Street Name”.</w:t>
      </w:r>
    </w:p>
    <w:p>
      <w:pPr>
        <w:spacing w:after="0" w:line="20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then you are considered the “shareholder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spacing w:after="0" w:line="139" w:lineRule="exact"/>
        <w:rPr>
          <w:sz w:val="20"/>
          <w:szCs w:val="20"/>
          <w:color w:val="auto"/>
        </w:rPr>
      </w:pPr>
    </w:p>
    <w:p>
      <w:pPr>
        <w:ind w:left="4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of Shares Held in Street Name. </w:t>
      </w:r>
      <w:r>
        <w:rPr>
          <w:rFonts w:ascii="Times New Roman" w:cs="Times New Roman" w:eastAsia="Times New Roman" w:hAnsi="Times New Roman"/>
          <w:sz w:val="18"/>
          <w:szCs w:val="18"/>
          <w:color w:val="auto"/>
        </w:rPr>
        <w:t>If your shares are held by a bank, broker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those shares, which are held in “street name.” In this case, your Notice of Availability will be sent to you by that organization. The organization holding your shares is considered the shareholder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40" w:lineRule="exact"/>
        <w:rPr>
          <w:sz w:val="20"/>
          <w:szCs w:val="20"/>
          <w:color w:val="auto"/>
        </w:rPr>
      </w:pPr>
    </w:p>
    <w:p>
      <w:pPr>
        <w:ind w:left="700"/>
        <w:spacing w:after="0"/>
        <w:tabs>
          <w:tab w:leader="none" w:pos="5860" w:val="left"/>
        </w:tabs>
        <w:rPr>
          <w:sz w:val="20"/>
          <w:szCs w:val="20"/>
          <w:color w:val="auto"/>
        </w:rPr>
      </w:pPr>
      <w:r>
        <w:rPr>
          <w:rFonts w:ascii="Times New Roman" w:cs="Times New Roman" w:eastAsia="Times New Roman" w:hAnsi="Times New Roman"/>
          <w:sz w:val="18"/>
          <w:szCs w:val="18"/>
          <w:b w:val="1"/>
          <w:bCs w:val="1"/>
          <w:i w:val="1"/>
          <w:iCs w:val="1"/>
          <w:color w:val="auto"/>
        </w:rPr>
        <w:t>Do the Series B Preferred Stock Holders Have Voting Rights?</w:t>
      </w:r>
      <w:r>
        <w:rPr>
          <w:sz w:val="20"/>
          <w:szCs w:val="20"/>
          <w:color w:val="auto"/>
        </w:rPr>
        <w:tab/>
      </w:r>
      <w:r>
        <w:rPr>
          <w:rFonts w:ascii="Times New Roman" w:cs="Times New Roman" w:eastAsia="Times New Roman" w:hAnsi="Times New Roman"/>
          <w:sz w:val="17"/>
          <w:szCs w:val="17"/>
          <w:color w:val="auto"/>
        </w:rPr>
        <w:t>Yes. As described in the certificate of</w:t>
      </w:r>
    </w:p>
    <w:p>
      <w:pPr>
        <w:spacing w:after="0" w:line="31"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8"/>
          <w:szCs w:val="18"/>
          <w:color w:val="auto"/>
        </w:rPr>
        <w:t>designation for the Series B Preferred Stock (the “Series B Certificate of Designation”), for each whole share of Series B Preferred Stock held by the holder as of the Record Date, the holders of the Series B Preferred Stock will be entitled to cast the number of votes equal to (i) the Original Issue Price, which is $10.00, divided by (ii) $10.35, which is the Minimum Price (which shall have the meaning assigned in Nasdaq Listing Rule 5635(d)) as of the initial issue date of the Series B Preferred Stock, and will vote with the holders of the Common Stock and Series C Preferred Stock as a single class and on an as-converted basis, except as provided by law or applicable “Nasdaq Listing Rules” of the Nasdaq Global Market (“Nasdaq”) and subject to certain other limitations as set forth in the Series B Certificate of Designation. Following this calculation, each share of our Series B Preferred Stock is entitled to 0.97 votes on each matter to be voted on at the Annual Meeting.</w:t>
      </w:r>
    </w:p>
    <w:p>
      <w:pPr>
        <w:spacing w:after="0" w:line="162" w:lineRule="exact"/>
        <w:rPr>
          <w:sz w:val="20"/>
          <w:szCs w:val="20"/>
          <w:color w:val="auto"/>
        </w:rPr>
      </w:pPr>
    </w:p>
    <w:p>
      <w:pPr>
        <w:ind w:left="700"/>
        <w:spacing w:after="0"/>
        <w:tabs>
          <w:tab w:leader="none" w:pos="5860" w:val="left"/>
        </w:tabs>
        <w:rPr>
          <w:sz w:val="20"/>
          <w:szCs w:val="20"/>
          <w:color w:val="auto"/>
        </w:rPr>
      </w:pPr>
      <w:r>
        <w:rPr>
          <w:rFonts w:ascii="Times New Roman" w:cs="Times New Roman" w:eastAsia="Times New Roman" w:hAnsi="Times New Roman"/>
          <w:sz w:val="18"/>
          <w:szCs w:val="18"/>
          <w:b w:val="1"/>
          <w:bCs w:val="1"/>
          <w:i w:val="1"/>
          <w:iCs w:val="1"/>
          <w:color w:val="auto"/>
        </w:rPr>
        <w:t>Do the Series C Preferred Stock Holders Have Voting Rights?</w:t>
      </w:r>
      <w:r>
        <w:rPr>
          <w:sz w:val="20"/>
          <w:szCs w:val="20"/>
          <w:color w:val="auto"/>
        </w:rPr>
        <w:tab/>
      </w:r>
      <w:r>
        <w:rPr>
          <w:rFonts w:ascii="Times New Roman" w:cs="Times New Roman" w:eastAsia="Times New Roman" w:hAnsi="Times New Roman"/>
          <w:sz w:val="17"/>
          <w:szCs w:val="17"/>
          <w:color w:val="auto"/>
        </w:rPr>
        <w:t>Yes. As described in the certificate of</w:t>
      </w:r>
    </w:p>
    <w:p>
      <w:pPr>
        <w:spacing w:after="0" w:line="31"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designation for the Series C Preferred Stock (the “Series C Certificate of Designation”), for each whole share of Series C Preferred Stock held by the holder as of the Record Date, the holders of the Series C Preferred Stock will be entitled to cast the number of votes equal to (i) the Original Issue Price, which is $10.00, divided by (ii) $7.72, which is the Minimum Price (which shall have the meaning assigned in Nasdaq Listing Rule 5635(d)) as of the initial issue date of the Series C Preferred Stock, and will vote with the holders of the Common Stock and Series B Preferred Stock as a single class and on an as-converted basis, except as provided by law or applicable Nasdaq Listing Rules and subject to certain other limitations as set forth in the Series C Certificate of Designation. Following this calculation, each share of our Series C Preferred Stock is entitled to 1.3 votes on each matter to be voted on at the Annual Meeting.</w:t>
      </w:r>
    </w:p>
    <w:p>
      <w:pPr>
        <w:spacing w:after="0" w:line="14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Why Did I Receive a Notice in the Mail Regarding the Internet Availability of Proxy Materials instead of a Full Set of Proxy Materials? </w:t>
      </w:r>
      <w:r>
        <w:rPr>
          <w:rFonts w:ascii="Times New Roman" w:cs="Times New Roman" w:eastAsia="Times New Roman" w:hAnsi="Times New Roman"/>
          <w:sz w:val="18"/>
          <w:szCs w:val="18"/>
          <w:color w:val="auto"/>
        </w:rPr>
        <w:t>We are pleased to comply with the rules of the SEC that allow companies to distribute their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over the Internet under the “notice and access” approach. As a result, we are sending our stockholders of record and beneficial owners of our Common Stock a copy of the Notice of Availability instead of paper copies of this Proxy Statement, our proxy card, and our 2024 Annual Report. We will send the Notice of Availability on or about May 9, 2025. Detailed instructions on how to access these materials via the Internet may be found in the Notice of Availability. This Proxy Statement and our 2024 Annual Report are available for viewing, printing and downloading on the Internet at www.proxyvote.com.</w:t>
      </w:r>
    </w:p>
    <w:p>
      <w:pPr>
        <w:spacing w:after="0" w:line="144" w:lineRule="exact"/>
        <w:rPr>
          <w:sz w:val="20"/>
          <w:szCs w:val="20"/>
          <w:color w:val="auto"/>
        </w:rPr>
      </w:pPr>
    </w:p>
    <w:p>
      <w:pPr>
        <w:ind w:left="40" w:right="2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Virtually Attend the Annual Meeting. </w:t>
      </w:r>
      <w:r>
        <w:rPr>
          <w:rFonts w:ascii="Times New Roman" w:cs="Times New Roman" w:eastAsia="Times New Roman" w:hAnsi="Times New Roman"/>
          <w:sz w:val="18"/>
          <w:szCs w:val="18"/>
          <w:color w:val="auto"/>
        </w:rPr>
        <w:t>The Annual Meeting will be a virtual meeting and you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attend in person. In order to attend the meeting online, you must visit www.virtualshareholdermeeting.com/INV2025 starting at 8:45 a.m., Eastern Time, on June 25, 2025. You may attend the Annual Meeting online by following the instructions that you will receive once you log on.</w:t>
      </w:r>
    </w:p>
    <w:p>
      <w:pPr>
        <w:spacing w:after="0" w:line="153" w:lineRule="exact"/>
        <w:rPr>
          <w:sz w:val="20"/>
          <w:szCs w:val="20"/>
          <w:color w:val="auto"/>
        </w:rPr>
      </w:pPr>
    </w:p>
    <w:p>
      <w:pPr>
        <w:ind w:left="40" w:right="119" w:firstLine="648"/>
        <w:spacing w:after="0" w:line="277" w:lineRule="auto"/>
        <w:rPr>
          <w:sz w:val="20"/>
          <w:szCs w:val="20"/>
          <w:color w:val="auto"/>
        </w:rPr>
      </w:pPr>
      <w:r>
        <w:rPr>
          <w:rFonts w:ascii="Times New Roman" w:cs="Times New Roman" w:eastAsia="Times New Roman" w:hAnsi="Times New Roman"/>
          <w:sz w:val="17"/>
          <w:szCs w:val="17"/>
          <w:color w:val="auto"/>
        </w:rPr>
        <w:t>Online registration for the Annual Meeting will begin on May 9, 2025 and you should allow ample time for the online registration. Upon completing your registration, you will receive a verification email confirming your registration into the Annual Meeting. The Annual Meeting will start at 9:00 a.m., Eastern Time, on June 25, 2025. You may log on to the virtual meeting starting one hour before it begins. We will have technicians standing by and ready to assist you with any technical difficulties you may have accessing the virtual meeting starting at 8:45 a.m., Eastern Time, on June 25, 2025.</w:t>
      </w:r>
    </w:p>
    <w:p>
      <w:pPr>
        <w:sectPr>
          <w:pgSz w:w="11900" w:h="16838" w:orient="portrait"/>
          <w:cols w:equalWidth="0" w:num="1">
            <w:col w:w="9019"/>
          </w:cols>
          <w:pgMar w:left="1440" w:top="108" w:right="144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350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08" w:right="1440" w:bottom="605" w:gutter="0" w:footer="0" w:header="0"/>
          <w:type w:val="continuous"/>
        </w:sectPr>
      </w:pPr>
    </w:p>
    <w:bookmarkStart w:id="7" w:name="page8"/>
    <w:bookmarkEnd w:id="7"/>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r>
    </w:p>
    <w:p>
      <w:pPr>
        <w:ind w:left="40" w:right="1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Vote. </w:t>
      </w:r>
      <w:r>
        <w:rPr>
          <w:rFonts w:ascii="Times New Roman" w:cs="Times New Roman" w:eastAsia="Times New Roman" w:hAnsi="Times New Roman"/>
          <w:sz w:val="18"/>
          <w:szCs w:val="18"/>
          <w:color w:val="auto"/>
        </w:rPr>
        <w:t>If you are the shareholder of record of your shares as of the Record Date, you can vote your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proxy prior to the Annual Meeting or online during the Annual Meeting. If you choose to vote by proxy prior to the Annual Meeting, you may do so by telephone, via the Internet or by mail as follows:</w:t>
      </w:r>
    </w:p>
    <w:p>
      <w:pPr>
        <w:spacing w:after="0" w:line="134" w:lineRule="exact"/>
        <w:rPr>
          <w:sz w:val="20"/>
          <w:szCs w:val="20"/>
          <w:color w:val="auto"/>
        </w:rPr>
      </w:pPr>
    </w:p>
    <w:p>
      <w:pPr>
        <w:ind w:left="1020" w:hanging="32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Prior to the Annual Meeting. You may transmit your proxy over the phone by calling</w:t>
      </w:r>
    </w:p>
    <w:p>
      <w:pPr>
        <w:spacing w:after="0" w:line="27" w:lineRule="exact"/>
        <w:rPr>
          <w:rFonts w:ascii="Times New Roman" w:cs="Times New Roman" w:eastAsia="Times New Roman" w:hAnsi="Times New Roman"/>
          <w:sz w:val="18"/>
          <w:szCs w:val="18"/>
          <w:color w:val="auto"/>
        </w:rPr>
      </w:pPr>
    </w:p>
    <w:p>
      <w:pPr>
        <w:ind w:left="1020" w:right="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1-800-690-6903 and following the instructions provided in the Notice of Availability and on the proxy card. You will need to have your Notice of Availability or proxy card in hand when you call.</w:t>
      </w:r>
    </w:p>
    <w:p>
      <w:pPr>
        <w:spacing w:after="0" w:line="154" w:lineRule="exact"/>
        <w:rPr>
          <w:rFonts w:ascii="Times New Roman" w:cs="Times New Roman" w:eastAsia="Times New Roman" w:hAnsi="Times New Roman"/>
          <w:sz w:val="18"/>
          <w:szCs w:val="18"/>
          <w:color w:val="auto"/>
        </w:rPr>
      </w:pPr>
    </w:p>
    <w:p>
      <w:pPr>
        <w:ind w:left="1020" w:right="179" w:hanging="32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Prior to the Annual Meeting. You may transmit your proxy via the Internet by following the instructions provided in the Notice of Availability and on the proxy card. You will need to have your Notice of Availability or proxy card in hand when you access the website. The website for voting is available at www.proxyvote.com.</w:t>
      </w:r>
    </w:p>
    <w:p>
      <w:pPr>
        <w:spacing w:after="0" w:line="139" w:lineRule="exact"/>
        <w:rPr>
          <w:rFonts w:ascii="Times New Roman" w:cs="Times New Roman" w:eastAsia="Times New Roman" w:hAnsi="Times New Roman"/>
          <w:sz w:val="18"/>
          <w:szCs w:val="18"/>
          <w:color w:val="auto"/>
        </w:rPr>
      </w:pPr>
    </w:p>
    <w:p>
      <w:pPr>
        <w:ind w:left="1020" w:right="299" w:hanging="32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Prior to the Annual Meeting. If you requested printed copies of proxy materials, you may vote by mailing your proxy card as described in the proxy materials.</w:t>
      </w:r>
    </w:p>
    <w:p>
      <w:pPr>
        <w:spacing w:after="0" w:line="121" w:lineRule="exact"/>
        <w:rPr>
          <w:rFonts w:ascii="Times New Roman" w:cs="Times New Roman" w:eastAsia="Times New Roman" w:hAnsi="Times New Roman"/>
          <w:sz w:val="18"/>
          <w:szCs w:val="18"/>
          <w:color w:val="auto"/>
        </w:rPr>
      </w:pPr>
    </w:p>
    <w:p>
      <w:pPr>
        <w:ind w:left="1020" w:right="79" w:hanging="323"/>
        <w:spacing w:after="0" w:line="289"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during the Annual Meeting. You may vote your shares online while virtually attending the Annual Meeting by following the instructions found on your Notice, proxy card and/or voting instruction form and by visiting www.virtualshareholdermeeting.com/INV2025 starting at 8:45 a.m., Eastern Time, on June 25, 2025.</w:t>
      </w:r>
    </w:p>
    <w:p>
      <w:pPr>
        <w:spacing w:after="0" w:line="131"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until 11:59 p.m. Eastern Time on June 24, 2025, and mailed proxy cards must be received by 11:59 p.m. Eastern Time on June 24, 2025 in order to be counted at the Annual Meeting.</w:t>
      </w:r>
    </w:p>
    <w:p>
      <w:pPr>
        <w:spacing w:after="0" w:line="135"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obtain a legal proxy from your bank, broker or other nominee to vote at the Annual Meeting. In addition, you will need your control number included on your Notice, proxy card or voting instruction form in order to be able to vote your shares online while virtually attending the Annual Meeting.</w:t>
      </w:r>
    </w:p>
    <w:p>
      <w:pPr>
        <w:spacing w:after="0" w:line="150" w:lineRule="exact"/>
        <w:rPr>
          <w:sz w:val="20"/>
          <w:szCs w:val="20"/>
          <w:color w:val="auto"/>
        </w:rPr>
      </w:pPr>
    </w:p>
    <w:p>
      <w:pPr>
        <w:jc w:val="both"/>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144" w:lineRule="exact"/>
        <w:rPr>
          <w:sz w:val="20"/>
          <w:szCs w:val="20"/>
          <w:color w:val="auto"/>
        </w:rPr>
      </w:pPr>
    </w:p>
    <w:p>
      <w:pPr>
        <w:ind w:left="40" w:right="2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Many Votes do I Have? </w:t>
      </w:r>
      <w:r>
        <w:rPr>
          <w:rFonts w:ascii="Times New Roman" w:cs="Times New Roman" w:eastAsia="Times New Roman" w:hAnsi="Times New Roman"/>
          <w:sz w:val="18"/>
          <w:szCs w:val="18"/>
          <w:color w:val="auto"/>
        </w:rPr>
        <w:t>If you own shares of our Common Stock, then on each matter to be voted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have one vote for each share of Common Stock you own as of April 28, 2025, the Record Date. If you own shares of Series B Preferred Stock, then on each matter to be voted upon, you have 0.97 votes for each share of Series B Preferred Stock you own as of the Record Date. If you own shares of Series C Preferred Stock, then on each matter to be voted upon, you have 1.3 votes for each share of Series C Preferred Stock you own as of the Record Date.</w:t>
      </w:r>
    </w:p>
    <w:p>
      <w:pPr>
        <w:spacing w:after="0" w:line="139" w:lineRule="exact"/>
        <w:rPr>
          <w:sz w:val="20"/>
          <w:szCs w:val="20"/>
          <w:color w:val="auto"/>
        </w:rPr>
      </w:pPr>
    </w:p>
    <w:p>
      <w:pPr>
        <w:ind w:left="40" w:right="17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Can I Vote My Shares by Filling Out and Returning the Notice of Internet Availability of Proxy Materials? </w:t>
      </w:r>
      <w:r>
        <w:rPr>
          <w:rFonts w:ascii="Times New Roman" w:cs="Times New Roman" w:eastAsia="Times New Roman" w:hAnsi="Times New Roman"/>
          <w:sz w:val="17"/>
          <w:szCs w:val="17"/>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112" w:lineRule="exact"/>
        <w:rPr>
          <w:sz w:val="20"/>
          <w:szCs w:val="20"/>
          <w:color w:val="auto"/>
        </w:rPr>
      </w:pPr>
    </w:p>
    <w:p>
      <w:pPr>
        <w:ind w:left="700"/>
        <w:spacing w:after="0"/>
        <w:tabs>
          <w:tab w:leader="none" w:pos="6380" w:val="left"/>
        </w:tabs>
        <w:rPr>
          <w:sz w:val="20"/>
          <w:szCs w:val="20"/>
          <w:color w:val="auto"/>
        </w:rPr>
      </w:pPr>
      <w:r>
        <w:rPr>
          <w:rFonts w:ascii="Times New Roman" w:cs="Times New Roman" w:eastAsia="Times New Roman" w:hAnsi="Times New Roman"/>
          <w:sz w:val="18"/>
          <w:szCs w:val="18"/>
          <w:b w:val="1"/>
          <w:bCs w:val="1"/>
          <w:i w:val="1"/>
          <w:iCs w:val="1"/>
          <w:color w:val="auto"/>
        </w:rPr>
        <w:t>How Do I Submit a Question at the Annual Meeting?</w:t>
      </w:r>
      <w:r>
        <w:rPr>
          <w:sz w:val="20"/>
          <w:szCs w:val="20"/>
          <w:color w:val="auto"/>
        </w:rPr>
        <w:tab/>
      </w:r>
      <w:r>
        <w:rPr>
          <w:rFonts w:ascii="Times New Roman" w:cs="Times New Roman" w:eastAsia="Times New Roman" w:hAnsi="Times New Roman"/>
          <w:sz w:val="17"/>
          <w:szCs w:val="17"/>
          <w:color w:val="auto"/>
        </w:rPr>
        <w:t>Stockholders should visit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www.virtualshareholdermeeting.com/INV2025 to virtually attend, vote and submit questions during the Annual Meeting.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Stockholders may submit questions until the Annual Meeting’s adjournment.</w:t>
      </w:r>
    </w:p>
    <w:p>
      <w:pPr>
        <w:spacing w:after="0" w:line="17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 I See a List of Stockholders Entitled to Vote as of the Record Date? </w:t>
      </w:r>
      <w:r>
        <w:rPr>
          <w:rFonts w:ascii="Times New Roman" w:cs="Times New Roman" w:eastAsia="Times New Roman" w:hAnsi="Times New Roman"/>
          <w:sz w:val="18"/>
          <w:szCs w:val="18"/>
          <w:color w:val="auto"/>
        </w:rPr>
        <w:t>A list of stockholders as of the close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Record Date will be available for examination by stockholders during the Annual Meeting and for a period of 10 days prior to the Annual Meeting. If you would like to view the stockholder list in advance of the Annual Meeting, please contact us at investorrelations@innventure.com to schedule an appointment and make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722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A quorum of stockholders is necessary to hold a valid Annual Meeting. The holders of a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voting power of the issued and outstanding shares of our capital stock entitled to vote at the meeting, present in person, or by remote communication, if applicable, or represented by proxy, shall constitute a quorum.</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On the Record Date, there were (i) 53,487,294 shares of Common Stock outstanding and entitled to vote;</w:t>
      </w:r>
    </w:p>
    <w:p>
      <w:pPr>
        <w:spacing w:after="0" w:line="27" w:lineRule="exact"/>
        <w:rPr>
          <w:sz w:val="20"/>
          <w:szCs w:val="20"/>
          <w:color w:val="auto"/>
        </w:rPr>
      </w:pPr>
    </w:p>
    <w:p>
      <w:pPr>
        <w:ind w:left="40" w:right="139" w:firstLine="9"/>
        <w:spacing w:after="0" w:line="253"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239,159 shares of Series B Preferred Stock outstanding and entitled to vote; and (iii) 575,000 shares of Series C Preferred Stock outstanding and entitled to vote, with each share of Common Stock entitled to one vote, each share of Series B Preferred Stock entitled to 0.97 votes, and each share of Series C Preferred Stock entitled to 1.3 votes. Thus, the holders of shares representing 27,233,390 votes must be present in person or represented by proxy at the meeting to have a</w:t>
      </w:r>
    </w:p>
    <w:p>
      <w:pPr>
        <w:sectPr>
          <w:pgSz w:w="11900" w:h="16913" w:orient="portrait"/>
          <w:cols w:equalWidth="0" w:num="1">
            <w:col w:w="9019"/>
          </w:cols>
          <w:pgMar w:left="1440" w:top="360" w:right="1440" w:bottom="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color w:val="auto"/>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7339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178"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Shares present virtually during the Annual Meeting will be considered shares represented in person or by means of remote communication at the meeting. If a quorum is not present, we expect to adjourn the Annual Meeting until a quorum is obtained.</w:t>
      </w:r>
    </w:p>
    <w:p>
      <w:pPr>
        <w:spacing w:after="0" w:line="135"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 broker “non-vote” occurs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(such as Proposal 2 at this Annual Meeting).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Annual Meeting. Because there is a routine proposal presented at the Annual Meeting (Proposal 2) on which brokers and other nominees have such discretionary voting power, broker non-votes will be counted for quorum purposes at the Annual Meeting.</w:t>
      </w:r>
    </w:p>
    <w:p>
      <w:pPr>
        <w:spacing w:after="0" w:line="15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Abstentions represent a shareholder’s affirmative choice to decline to vote on a proposal and occur when shares present at the meeting are marked ABSTAIN.</w:t>
      </w:r>
    </w:p>
    <w:p>
      <w:pPr>
        <w:spacing w:after="0" w:line="135"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Proposals 1, 3 and 4 are non-routine matters, so your broker or nominee may not vote your shares on Proposals 1, 3 or 4 without your instructions. Proposal 2, the ratification of BDO USA, P.C. as our independent registered public accounting firm for the fiscal year ending December 31, 2025, is a routine matter so your broker or nominee may vote your shares on Proposal 2 even in the absence of your instruction.</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instruct your bank, broker or other nominee to ensure that your vote will be counted.</w:t>
      </w:r>
    </w:p>
    <w:p>
      <w:pPr>
        <w:spacing w:after="0" w:line="181" w:lineRule="exact"/>
        <w:rPr>
          <w:sz w:val="20"/>
          <w:szCs w:val="20"/>
          <w:color w:val="auto"/>
        </w:rPr>
      </w:pPr>
    </w:p>
    <w:p>
      <w:pPr>
        <w:ind w:left="40" w:right="3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Votes Required. </w:t>
      </w:r>
      <w:r>
        <w:rPr>
          <w:rFonts w:ascii="Times New Roman" w:cs="Times New Roman" w:eastAsia="Times New Roman" w:hAnsi="Times New Roman"/>
          <w:sz w:val="18"/>
          <w:szCs w:val="18"/>
          <w:color w:val="auto"/>
        </w:rPr>
        <w:t>With respect to Proposal 1, directors shall be elected by a plurality of the votes cast (meaning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directors who receive the highest number of shares voted “for” their election are elected). “Withhold” votes and broker non-votes are not considered votes cast for the foregoing purpose, and will have no effect on the election of the nominees.</w:t>
      </w:r>
    </w:p>
    <w:p>
      <w:pPr>
        <w:spacing w:after="0" w:line="15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Adoption of each of Proposals 2, 3 and 4 requires the affirmative vote of the majority of the votes cast (meaning the number of shares voted “for” a proposal must exceed the number of shares voted “against” such proposal). Abstentions and broker non-votes, as applicable, are not considered votes cast for the foregoing purpose, and will have no effect on the vote for this proposal.</w:t>
      </w:r>
    </w:p>
    <w:p>
      <w:pPr>
        <w:spacing w:after="0" w:line="135" w:lineRule="exact"/>
        <w:rPr>
          <w:sz w:val="20"/>
          <w:szCs w:val="20"/>
          <w:color w:val="auto"/>
        </w:rPr>
      </w:pPr>
    </w:p>
    <w:p>
      <w:pPr>
        <w:jc w:val="both"/>
        <w:ind w:left="40" w:right="2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You May Vote. </w:t>
      </w:r>
      <w:r>
        <w:rPr>
          <w:rFonts w:ascii="Times New Roman" w:cs="Times New Roman" w:eastAsia="Times New Roman" w:hAnsi="Times New Roman"/>
          <w:sz w:val="18"/>
          <w:szCs w:val="18"/>
          <w:color w:val="auto"/>
        </w:rPr>
        <w:t>With respect to Proposal 1, you may vote “for” or “withhold” authority to vote for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director nominees. If you “withhold” authority to vote with respect to one or more director nominees, your vote will have no effect on the election of such nominees. Broker non-votes will have no effect on the election of the nominees.</w:t>
      </w:r>
    </w:p>
    <w:p>
      <w:pPr>
        <w:spacing w:after="0" w:line="134"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With respect to each of Proposals 2, 3 and 4, you may vote “for,” “against” or “abstain” from voting. If you “abstain” from voting with respect to any of these proposals, your vote will have no effect for that proposal. Broker non-votes, as applicable, will have no effect on the vote for any of these proposals.</w:t>
      </w:r>
    </w:p>
    <w:p>
      <w:pPr>
        <w:spacing w:after="0" w:line="149"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Proposal 2 is considered a routine matter on which the broker will have discretionary authority to vote on the proposal should a beneficial holder not provide voting instructions. For that reason, if you are a beneficial holder and you wish to vote “for,” “against” or “abstain” from Proposal 2, you will have to provide your broker with such an instruction. Otherwise, your broker will vote Proposal 2 in its discretion.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093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Counting Votes. </w:t>
      </w:r>
      <w:r>
        <w:rPr>
          <w:rFonts w:ascii="Times New Roman" w:cs="Times New Roman" w:eastAsia="Times New Roman" w:hAnsi="Times New Roman"/>
          <w:sz w:val="18"/>
          <w:szCs w:val="18"/>
          <w:color w:val="auto"/>
        </w:rPr>
        <w:t>Each share of Common Stock is entitled to one vote on each matter to be voted 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Each share of our Series B Preferred Stock is entitled to 0.97 votes on each matter to be voted on at the Annual Meeting and each share of our Series C Preferred Stock is entitled to 1.3 votes on each matter to be voted on at the Annual Meeting. Furthermore, each holder of Common Stock shall vote together with the holders of the Series B Preferred Stock and the Series C Preferred Stock as a single class.</w:t>
      </w:r>
    </w:p>
    <w:p>
      <w:pPr>
        <w:spacing w:after="0" w:line="143"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Votes cast online during the Annual Meeting or by proxy by mail, via the Internet or by telephone will be tabulated by the inspector of election appointed for the Annual Meeting, who will also determine whether a quorum is present.</w:t>
      </w:r>
    </w:p>
    <w:p>
      <w:pPr>
        <w:spacing w:after="0" w:line="149"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the SEPA, of which there were 208,993 shares, are not entitled to vote on Proposal 3 and the shares of Common Stock issued pursuant to conversion of all or any portion of the Convertible Debentures, if applicable, are not entitled to vote on Proposal 4.</w:t>
      </w:r>
    </w:p>
    <w:p>
      <w:pPr>
        <w:spacing w:after="0" w:line="131" w:lineRule="exact"/>
        <w:rPr>
          <w:sz w:val="20"/>
          <w:szCs w:val="20"/>
          <w:color w:val="auto"/>
        </w:rPr>
      </w:pPr>
    </w:p>
    <w:p>
      <w:pPr>
        <w:ind w:left="40" w:right="1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Revoking a Proxy; Changing Your Vote. </w:t>
      </w:r>
      <w:r>
        <w:rPr>
          <w:rFonts w:ascii="Times New Roman" w:cs="Times New Roman" w:eastAsia="Times New Roman" w:hAnsi="Times New Roman"/>
          <w:sz w:val="18"/>
          <w:szCs w:val="18"/>
          <w:color w:val="auto"/>
        </w:rPr>
        <w:t>If you are a shareholder of record, you may revoke your proxy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 is taken at the Annual Meeting:</w:t>
      </w:r>
    </w:p>
    <w:p>
      <w:pPr>
        <w:spacing w:after="0" w:line="118" w:lineRule="exact"/>
        <w:rPr>
          <w:sz w:val="20"/>
          <w:szCs w:val="20"/>
          <w:color w:val="auto"/>
        </w:rPr>
      </w:pPr>
    </w:p>
    <w:p>
      <w:pPr>
        <w:ind w:left="1020" w:right="159" w:hanging="32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with a later date before the applicable deadline either signed and returned by mail or transmitted using the telephone or Internet voting procedures described in the “How to Vote” section</w:t>
      </w:r>
    </w:p>
    <w:p>
      <w:pPr>
        <w:sectPr>
          <w:pgSz w:w="11900" w:h="16838" w:orient="portrait"/>
          <w:cols w:equalWidth="0" w:num="1">
            <w:col w:w="9019"/>
          </w:cols>
          <w:pgMar w:left="1440" w:top="108" w:right="1440" w:bottom="0" w:gutter="0" w:footer="0" w:header="0"/>
        </w:sectPr>
      </w:pPr>
    </w:p>
    <w:bookmarkStart w:id="9" w:name="page10"/>
    <w:bookmarkEnd w:id="9"/>
    <w:p>
      <w:pPr>
        <w:ind w:left="1020"/>
        <w:spacing w:after="0"/>
        <w:rPr>
          <w:sz w:val="20"/>
          <w:szCs w:val="20"/>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5968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70" w:lineRule="exact"/>
        <w:rPr>
          <w:sz w:val="20"/>
          <w:szCs w:val="20"/>
          <w:color w:val="auto"/>
        </w:rPr>
      </w:pPr>
    </w:p>
    <w:p>
      <w:pPr>
        <w:ind w:left="1020" w:right="259" w:hanging="32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 using the procedures described in the “How to Vote” section above; or</w:t>
      </w:r>
    </w:p>
    <w:p>
      <w:pPr>
        <w:spacing w:after="0" w:line="121"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a written revocation with our Corporate Secretary.</w:t>
      </w:r>
    </w:p>
    <w:p>
      <w:pPr>
        <w:spacing w:after="0" w:line="185"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153" w:lineRule="exact"/>
        <w:rPr>
          <w:sz w:val="20"/>
          <w:szCs w:val="20"/>
          <w:color w:val="auto"/>
        </w:rPr>
      </w:pPr>
    </w:p>
    <w:p>
      <w:pPr>
        <w:ind w:left="40" w:right="699" w:firstLine="648"/>
        <w:spacing w:after="0" w:line="282" w:lineRule="auto"/>
        <w:rPr>
          <w:sz w:val="20"/>
          <w:szCs w:val="20"/>
          <w:color w:val="auto"/>
        </w:rPr>
      </w:pPr>
      <w:r>
        <w:rPr>
          <w:rFonts w:ascii="Times New Roman" w:cs="Times New Roman" w:eastAsia="Times New Roman" w:hAnsi="Times New Roman"/>
          <w:sz w:val="18"/>
          <w:szCs w:val="18"/>
          <w:color w:val="auto"/>
        </w:rPr>
        <w:t>Your virtual attendance at the Annual Meeting, without voting online during the Annual Meeting, will not automatically revoke your proxy.</w:t>
      </w:r>
    </w:p>
    <w:p>
      <w:pPr>
        <w:spacing w:after="0" w:line="117" w:lineRule="exact"/>
        <w:rPr>
          <w:sz w:val="20"/>
          <w:szCs w:val="20"/>
          <w:color w:val="auto"/>
        </w:rPr>
      </w:pPr>
    </w:p>
    <w:p>
      <w:pPr>
        <w:ind w:left="4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Costs of Proxy Solicitation. </w:t>
      </w:r>
      <w:r>
        <w:rPr>
          <w:rFonts w:ascii="Times New Roman" w:cs="Times New Roman" w:eastAsia="Times New Roman" w:hAnsi="Times New Roman"/>
          <w:sz w:val="18"/>
          <w:szCs w:val="18"/>
          <w:color w:val="auto"/>
        </w:rPr>
        <w:t>We will pay the cost of soliciting proxies. The Company is making this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mail and may also use telephone or in person contacts, using the services of a number of regular employees of Innventure at nominal or no cost. Brokerage houses, nominees, custodians and fiduciaries will be requested to forward soliciting material to beneficial owners of Common Stock held of record by them, and we will reimburse those persons for their reasonable expenses in doing so.</w:t>
      </w:r>
    </w:p>
    <w:p>
      <w:pPr>
        <w:spacing w:after="0" w:line="139" w:lineRule="exact"/>
        <w:rPr>
          <w:sz w:val="20"/>
          <w:szCs w:val="20"/>
          <w:color w:val="auto"/>
        </w:rPr>
      </w:pPr>
    </w:p>
    <w:p>
      <w:pPr>
        <w:ind w:left="40" w:right="1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Results. </w:t>
      </w:r>
      <w:r>
        <w:rPr>
          <w:rFonts w:ascii="Times New Roman" w:cs="Times New Roman" w:eastAsia="Times New Roman" w:hAnsi="Times New Roman"/>
          <w:sz w:val="18"/>
          <w:szCs w:val="18"/>
          <w:color w:val="auto"/>
        </w:rPr>
        <w:t>We plan to announce preliminary voting results at the Annual Meeting and will publish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in a Current Report on Form 8-K to be filed with the SEC within four business days following the Annual Meeting.</w:t>
      </w:r>
    </w:p>
    <w:p>
      <w:pPr>
        <w:spacing w:after="0" w:line="128" w:lineRule="exact"/>
        <w:rPr>
          <w:sz w:val="20"/>
          <w:szCs w:val="20"/>
          <w:color w:val="auto"/>
        </w:rPr>
      </w:pPr>
    </w:p>
    <w:p>
      <w:pPr>
        <w:ind w:left="4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2026 Stockholder Proposals and Nominations. </w:t>
      </w:r>
      <w:r>
        <w:rPr>
          <w:rFonts w:ascii="Times New Roman" w:cs="Times New Roman" w:eastAsia="Times New Roman" w:hAnsi="Times New Roman"/>
          <w:sz w:val="18"/>
          <w:szCs w:val="18"/>
          <w:color w:val="auto"/>
        </w:rPr>
        <w:t>In order to submit a proposal for inclusion in our proxy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proxy card for the 2026 annual meeting of stockholders, you must follow the procedures outlined in Rule 14a-8 of the Exchange Act. To be eligible for inclusion, we must receive your shareholder proposal at our principal corporate offices in Orlando, Florida as set forth below no later than January 9, 2026.</w:t>
      </w:r>
    </w:p>
    <w:p>
      <w:pPr>
        <w:spacing w:after="0" w:line="140"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If you wish to present a proposal or nominate a director for consideration at the 2026 annual meeting of stockholders without having the proposal or nominee included in our proxy statement and proxy card per the above paragraph, you must follow the current advance notice provisions and other requirements and procedures outlined in our By-laws (as amended and restated, the “Bylaws”), which are filed with the SEC. To be properly brought, that notice must contain the information specified in our Bylaws and we must receive your notice at the address noted below no earlier than the close of business on February 25, 2026, and no later than the close of business on March 27, 2026. If your notice is not properly brought before the 2026 annual meeting of stockholders in accordance with our Bylaws, the presiding officer of the meeting may declare such proposal or nomination not properly brought before the 2026 annual meeting of stockholders, and it will not be acted upon.</w:t>
      </w:r>
    </w:p>
    <w:p>
      <w:pPr>
        <w:spacing w:after="0" w:line="144" w:lineRule="exact"/>
        <w:rPr>
          <w:sz w:val="20"/>
          <w:szCs w:val="20"/>
          <w:color w:val="auto"/>
        </w:rPr>
      </w:pPr>
    </w:p>
    <w:p>
      <w:pPr>
        <w:ind w:left="4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Universal Proxy Rules. </w:t>
      </w:r>
      <w:r>
        <w:rPr>
          <w:rFonts w:ascii="Times New Roman" w:cs="Times New Roman" w:eastAsia="Times New Roman" w:hAnsi="Times New Roman"/>
          <w:sz w:val="18"/>
          <w:szCs w:val="18"/>
          <w:color w:val="auto"/>
        </w:rPr>
        <w:t>In addition to satisfying the requirements under our Bylaws, if a shareholder intends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 SEC’s universal proxy rules and to solicit proxies in support of director nominees other than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465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Company’s nominees, the shareholder must provide notice that sets forth the information required by Rule 14a-19 under the Exchange Act, which notice—unless the information required by Rule 14a-19 has been provided in a preliminary or definitive proxy statement previously filed by such shareholder—must be postmarked or transmitted electronically to us at our principal executive offices no later than 60 calendar days prior to the one-year anniversary date of the Annual Meeting (for the 2026 annual meeting of stockholders, no later than April 27, 2026). If the date of the 2026 annual meeting is changed by more than 30 calendar days from such anniversary date, however, then the shareholder must provide notice by the later of 60 calendar days prior to the date of the 2026 annual meeting and the 10th calendar day following the date on which public announcement of the date of the 2026 annual meeting is first made.</w:t>
      </w:r>
    </w:p>
    <w:p>
      <w:pPr>
        <w:spacing w:after="0" w:line="151"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Any proposals or notices should be sent to the following mailing address: Suzanne Niemeyer, General Counsel, Innventure, Inc., 6900 Tavistock Lakes, Blvd. Suite 400, Orlando, Florida 32827.</w:t>
      </w:r>
    </w:p>
    <w:p>
      <w:pPr>
        <w:sectPr>
          <w:pgSz w:w="11900" w:h="16838" w:orient="portrait"/>
          <w:cols w:equalWidth="0" w:num="1">
            <w:col w:w="9019"/>
          </w:cols>
          <w:pgMar w:left="1440" w:top="108"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596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5836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ectPr>
          <w:pgSz w:w="11900" w:h="16838" w:orient="portrait"/>
          <w:cols w:equalWidth="0" w:num="1">
            <w:col w:w="9019"/>
          </w:cols>
          <w:pgMar w:left="1440" w:top="1440" w:right="144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ONE—ELECTION OF DIRECTORS</w:t>
      </w:r>
    </w:p>
    <w:p>
      <w:pPr>
        <w:spacing w:after="0" w:line="189" w:lineRule="exact"/>
        <w:rPr>
          <w:sz w:val="20"/>
          <w:szCs w:val="20"/>
          <w:color w:val="auto"/>
        </w:rPr>
      </w:pPr>
    </w:p>
    <w:p>
      <w:pPr>
        <w:ind w:left="40" w:right="199" w:firstLine="648"/>
        <w:spacing w:after="0" w:line="255" w:lineRule="auto"/>
        <w:rPr>
          <w:sz w:val="20"/>
          <w:szCs w:val="20"/>
          <w:color w:val="auto"/>
        </w:rPr>
      </w:pPr>
      <w:r>
        <w:rPr>
          <w:rFonts w:ascii="Times New Roman" w:cs="Times New Roman" w:eastAsia="Times New Roman" w:hAnsi="Times New Roman"/>
          <w:sz w:val="18"/>
          <w:szCs w:val="18"/>
          <w:color w:val="auto"/>
        </w:rPr>
        <w:t>Our Board has nominated Gregory W. Haskell, Daniel J. Hennessy and Michael Amalfitano as Class I director nominees for election at the Annual Meeting. The nominees will serve for a three year term until the annual meeting of stockholders in 2028 and until their successors are duly elected and qualified or until their earlier death, disability, resignation, disqualification or removal. The N&amp;CG Committee has reviewed the qualifications of each of the nominees and has recommended to our Board that each nominee be submitted to a vote of our stockholders at the Annual Meeting. The Board unanimously approved the N&amp;CG Committee’s recommendation. The Board expects each nominee to be able to serve if elected.</w:t>
      </w:r>
    </w:p>
    <w:p>
      <w:pPr>
        <w:spacing w:after="0" w:line="162"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Our Board is currently comprised of nine directors. As described in our Amended and Restated Certificate of Incorporation (“Certificate of Incorporation”) and Bylaws, our Board is currently divided into three classes (Class I, Class</w:t>
      </w:r>
    </w:p>
    <w:p>
      <w:pPr>
        <w:ind w:left="40" w:right="79" w:firstLine="9"/>
        <w:spacing w:after="0" w:line="252" w:lineRule="auto"/>
        <w:tabs>
          <w:tab w:leader="none" w:pos="2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Class III), each with a three-year term. The term of our Class I directors currently in office expires at this Annual Meeting; our Class II directors’ terms expire at the annual meeting of stockholders in 2026; and our Class III directors’ terms expire at the annual meeting of stockholders in 2027. Our Certificate of Incorporation provides that the successors to the class of directors whose term expires at each annual meeting will be elected to hold office for a term expiring at the annual meeting of stockholders held in the third year following the year of their election and until their successors are elected and qualified.</w:t>
      </w:r>
    </w:p>
    <w:p>
      <w:pPr>
        <w:spacing w:after="0" w:line="149"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To be elected, each Class I director nominee must receive a plurality vote of the votes cast. If you return a duly executed proxy card without specifying how your shares are to be voted, the persons named in the proxy card will vote to elect Gregory W. Haskell, Daniel J. Hennessy and Michael Amalfitano as Class I directors. Mr. Haskell, Mr. Hennessy and Mr. Amalfitano currently serve on our Board and have indicated their willingness to continue to serve if elected. However, if a director nominee should be unable to serve, or for good cause will not serve, proxies may be voted for a substitute nominee designated by Innventure’s Board of Directors. Our Board has no reason to believe that any of the nominees will be unable to serve if elected.</w:t>
      </w:r>
    </w:p>
    <w:p>
      <w:pPr>
        <w:spacing w:after="0" w:line="148"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You may vote “for” or “withhold” authority to vote for each of the director nominees. If you “withhold” authority to vote with respect to one or more director nominees, your vote will have no effect on the election of such nominees. Broker non-votes will have no effect on the election of the nominees.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3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51"/>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 “</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FOR</w:t>
            </w:r>
            <w:r>
              <w:rPr>
                <w:rFonts w:ascii="Times New Roman" w:cs="Times New Roman" w:eastAsia="Times New Roman" w:hAnsi="Times New Roman"/>
                <w:sz w:val="18"/>
                <w:szCs w:val="18"/>
                <w:color w:val="auto"/>
                <w:w w:val="98"/>
              </w:rPr>
              <w:t>” the election of each of Gregory W.</w:t>
            </w: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Haskell, Daniel J. Hennessy and Michael Amalfitano as Class I directors.</w:t>
            </w:r>
          </w:p>
        </w:tc>
        <w:tc>
          <w:tcPr>
            <w:tcW w:w="38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r>
    </w:tbl>
    <w:p>
      <w:pPr>
        <w:sectPr>
          <w:pgSz w:w="11900" w:h="16838" w:orient="portrait"/>
          <w:cols w:equalWidth="0" w:num="1">
            <w:col w:w="9019"/>
          </w:cols>
          <w:pgMar w:left="1440" w:top="1440" w:right="1440" w:bottom="609"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25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720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 Directors</w:t>
      </w:r>
    </w:p>
    <w:p>
      <w:pPr>
        <w:spacing w:after="0" w:line="185"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William (“Bill”) Haskell, </w:t>
      </w:r>
      <w:r>
        <w:rPr>
          <w:rFonts w:ascii="Times New Roman" w:cs="Times New Roman" w:eastAsia="Times New Roman" w:hAnsi="Times New Roman"/>
          <w:sz w:val="18"/>
          <w:szCs w:val="18"/>
          <w:color w:val="auto"/>
        </w:rPr>
        <w:t>68, is Innventure’s CEO and a Class I director. Mr. Haskell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Manager 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14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J. Hennessy, </w:t>
      </w:r>
      <w:r>
        <w:rPr>
          <w:rFonts w:ascii="Times New Roman" w:cs="Times New Roman" w:eastAsia="Times New Roman" w:hAnsi="Times New Roman"/>
          <w:sz w:val="18"/>
          <w:szCs w:val="18"/>
          <w:color w:val="auto"/>
        </w:rPr>
        <w:t>67, is a Class I director and Learn CW’s (as defined below) director designee pursuant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Business Combination Agreement (as defined below). Mr. Hennessy currently serves as Chairman and CEO of Hennessy Capital Investment Corp. VII (Nasdaq: HVII), a special purpose acquisition company,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65"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Amalfitano, </w:t>
      </w:r>
      <w:r>
        <w:rPr>
          <w:rFonts w:ascii="Times New Roman" w:cs="Times New Roman" w:eastAsia="Times New Roman" w:hAnsi="Times New Roman"/>
          <w:sz w:val="18"/>
          <w:szCs w:val="18"/>
          <w:color w:val="auto"/>
        </w:rPr>
        <w:t>64, is a Class I director of Innventure. Mr. Amalfitano has served as the President and CEO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w:t>
      </w:r>
    </w:p>
    <w:p>
      <w:pPr>
        <w:sectPr>
          <w:pgSz w:w="11900" w:h="16838" w:orient="portrait"/>
          <w:cols w:equalWidth="0" w:num="1">
            <w:col w:w="9019"/>
          </w:cols>
          <w:pgMar w:left="1440" w:top="1440" w:right="1440" w:bottom="0" w:gutter="0" w:footer="0" w:header="0"/>
          <w:type w:val="continuous"/>
        </w:sectPr>
      </w:pPr>
    </w:p>
    <w:bookmarkStart w:id="12" w:name="page13"/>
    <w:bookmarkEnd w:id="12"/>
    <w:p>
      <w:pPr>
        <w:ind w:left="40" w:right="99"/>
        <w:spacing w:after="0" w:line="193" w:lineRule="auto"/>
        <w:rPr>
          <w:sz w:val="20"/>
          <w:szCs w:val="20"/>
          <w:color w:val="auto"/>
        </w:rPr>
      </w:pPr>
      <w:r>
        <w:rPr>
          <w:rFonts w:ascii="Times New Roman" w:cs="Times New Roman" w:eastAsia="Times New Roman" w:hAnsi="Times New Roman"/>
          <w:sz w:val="17"/>
          <w:szCs w:val="17"/>
          <w:color w:val="auto"/>
        </w:rPr>
        <w:t>International Aircraft Dealers Association, Chairman of the Associate Members Advisory Council for the National Aircraft Resellers Association, and former two-term President of the National Aircraft Finance Association. Mr. Amalfitano holds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-178435</wp:posOffset>
            </wp:positionV>
            <wp:extent cx="7016115" cy="1853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ind w:left="40" w:right="339"/>
        <w:spacing w:after="0" w:line="255" w:lineRule="auto"/>
        <w:rPr>
          <w:sz w:val="20"/>
          <w:szCs w:val="20"/>
          <w:color w:val="auto"/>
        </w:rPr>
      </w:pPr>
      <w:r>
        <w:rPr>
          <w:rFonts w:ascii="Times New Roman" w:cs="Times New Roman" w:eastAsia="Times New Roman" w:hAnsi="Times New Roman"/>
          <w:sz w:val="18"/>
          <w:szCs w:val="18"/>
          <w:color w:val="auto"/>
        </w:rPr>
        <w:t>B.A. in Economics and a Master’s in Financial Management from Fairfield University in Fairfield, Connecticut. The Company believes that Mr. Amalfitano is well qualified to serve as a member of the Board due to his years of executive leadership and public company director experience.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 Directors</w:t>
      </w:r>
    </w:p>
    <w:p>
      <w:pPr>
        <w:spacing w:after="0" w:line="185" w:lineRule="exact"/>
        <w:rPr>
          <w:sz w:val="20"/>
          <w:szCs w:val="20"/>
          <w:color w:val="auto"/>
        </w:rPr>
      </w:pPr>
    </w:p>
    <w:p>
      <w:pPr>
        <w:ind w:left="40" w:right="27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Yablunosky </w:t>
      </w:r>
      <w:r>
        <w:rPr>
          <w:rFonts w:ascii="Times New Roman" w:cs="Times New Roman" w:eastAsia="Times New Roman" w:hAnsi="Times New Roman"/>
          <w:sz w:val="17"/>
          <w:szCs w:val="17"/>
          <w:color w:val="auto"/>
        </w:rPr>
        <w:t>, 63, is Innventure’s Chief Financial Officer (“CFO”) and a Class II director. Mr. Yablunosky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CFO of Innventure LLC since 2023. Previously, he was CFO of Embraer Aircraft Holding, Inc., the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58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multinational companies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47" w:lineRule="exact"/>
        <w:rPr>
          <w:sz w:val="20"/>
          <w:szCs w:val="20"/>
          <w:color w:val="auto"/>
        </w:rPr>
      </w:pPr>
    </w:p>
    <w:p>
      <w:pPr>
        <w:ind w:left="40" w:right="15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(“Jim”) O. Donnally </w:t>
      </w:r>
      <w:r>
        <w:rPr>
          <w:rFonts w:ascii="Times New Roman" w:cs="Times New Roman" w:eastAsia="Times New Roman" w:hAnsi="Times New Roman"/>
          <w:sz w:val="18"/>
          <w:szCs w:val="18"/>
          <w:color w:val="auto"/>
        </w:rPr>
        <w:t>, 60, is a Class II director of Innventure. Mr. Donnally has served as a Manager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2015 and as the Managing Member of Bellringer Consulting 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Technologies, Inc. (“PureCycle” or “PCT”) and AeroFlexx, LLC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64"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Brown </w:t>
      </w:r>
      <w:r>
        <w:rPr>
          <w:rFonts w:ascii="Times New Roman" w:cs="Times New Roman" w:eastAsia="Times New Roman" w:hAnsi="Times New Roman"/>
          <w:sz w:val="18"/>
          <w:szCs w:val="18"/>
          <w:color w:val="auto"/>
        </w:rPr>
        <w:t>, 66, is a Class II director of Innventure. Mr. Brown retired from P&amp;G in 2014 after 34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III Directors</w:t>
      </w:r>
    </w:p>
    <w:p>
      <w:pPr>
        <w:spacing w:after="0" w:line="185" w:lineRule="exact"/>
        <w:rPr>
          <w:sz w:val="20"/>
          <w:szCs w:val="20"/>
          <w:color w:val="auto"/>
        </w:rPr>
      </w:pPr>
    </w:p>
    <w:p>
      <w:pPr>
        <w:ind w:left="40" w:right="11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(“Mike”) Otworth </w:t>
      </w:r>
      <w:r>
        <w:rPr>
          <w:rFonts w:ascii="Times New Roman" w:cs="Times New Roman" w:eastAsia="Times New Roman" w:hAnsi="Times New Roman"/>
          <w:sz w:val="17"/>
          <w:szCs w:val="17"/>
          <w:color w:val="auto"/>
        </w:rPr>
        <w:t>, 63, is Innventure’s Executive Chairman and a Class III director. Mr. Otworth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Executive Chairman of Innventure 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w:t>
      </w:r>
    </w:p>
    <w:p>
      <w:pPr>
        <w:sectPr>
          <w:pgSz w:w="11900" w:h="16838" w:orient="portrait"/>
          <w:cols w:equalWidth="0" w:num="1">
            <w:col w:w="9019"/>
          </w:cols>
          <w:pgMar w:left="1440" w:top="108" w:right="1440"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304165</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3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Board due to his more than 25 years of experience leading start-ups in the technology industry, as well as his deep understanding of our business.</w:t>
      </w:r>
    </w:p>
    <w:p>
      <w:pPr>
        <w:spacing w:after="0" w:line="117"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Suzanne Niemeyer</w:t>
      </w:r>
      <w:r>
        <w:rPr>
          <w:rFonts w:ascii="Times New Roman" w:cs="Times New Roman" w:eastAsia="Times New Roman" w:hAnsi="Times New Roman"/>
          <w:sz w:val="18"/>
          <w:szCs w:val="18"/>
          <w:color w:val="auto"/>
        </w:rPr>
        <w:t>, 54, is Innventure’s General Counsel and a Class III director. She also serves as a director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Refinity Holdings, LLC (“Refinity Holdings”). Ms. Niemeyer 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(“Actua”),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w:t>
      </w:r>
    </w:p>
    <w:p>
      <w:pPr>
        <w:spacing w:after="0" w:line="160"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Williams </w:t>
      </w:r>
      <w:r>
        <w:rPr>
          <w:rFonts w:ascii="Times New Roman" w:cs="Times New Roman" w:eastAsia="Times New Roman" w:hAnsi="Times New Roman"/>
          <w:sz w:val="18"/>
          <w:szCs w:val="18"/>
          <w:color w:val="auto"/>
        </w:rPr>
        <w:t>, 56, is a Class III director of Innventure. Ms. Williams has served as Managing Partner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In addition to Mr. Haskell, our CEO, Mr. Yablunosky and our CFO, Mr. Otworth, our Executive Chairman, our executive officers are:</w:t>
      </w:r>
    </w:p>
    <w:p>
      <w:pPr>
        <w:spacing w:after="0" w:line="131"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John Scott </w:t>
      </w:r>
      <w:r>
        <w:rPr>
          <w:rFonts w:ascii="Times New Roman" w:cs="Times New Roman" w:eastAsia="Times New Roman" w:hAnsi="Times New Roman"/>
          <w:sz w:val="18"/>
          <w:szCs w:val="18"/>
          <w:color w:val="auto"/>
        </w:rPr>
        <w:t>, 74, is Innventure’s Chief Strategy Officer. Dr. Scott has served as Chief Strategy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2015. Prior to co-founding Innventure LLC, Dr. Scott served as Founder and CEO of XLTG, 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4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Roland Austrup</w:t>
      </w:r>
      <w:r>
        <w:rPr>
          <w:rFonts w:ascii="Times New Roman" w:cs="Times New Roman" w:eastAsia="Times New Roman" w:hAnsi="Times New Roman"/>
          <w:sz w:val="18"/>
          <w:szCs w:val="18"/>
          <w:color w:val="auto"/>
        </w:rPr>
        <w:t>, 61, is Innventure’s Chief Growth Officer. Roland has served as Innventure LLC’s Chief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June 2024 and as a member 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96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019"/>
          </w:cols>
          <w:pgMar w:left="1440" w:top="36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Governance Overview</w:t>
      </w:r>
    </w:p>
    <w:p>
      <w:pPr>
        <w:sectPr>
          <w:pgSz w:w="11900" w:h="16838" w:orient="portrait"/>
          <w:cols w:equalWidth="0" w:num="1">
            <w:col w:w="9019"/>
          </w:cols>
          <w:pgMar w:left="1440" w:top="364" w:right="1440" w:bottom="0" w:gutter="0" w:footer="0" w:header="0"/>
          <w:type w:val="continuous"/>
        </w:sectPr>
      </w:pPr>
    </w:p>
    <w:bookmarkStart w:id="14" w:name="page15"/>
    <w:bookmarkEnd w:id="14"/>
    <w:p>
      <w:pPr>
        <w:ind w:left="40" w:right="199" w:firstLine="648"/>
        <w:spacing w:after="0" w:line="243" w:lineRule="auto"/>
        <w:rPr>
          <w:sz w:val="20"/>
          <w:szCs w:val="20"/>
          <w:color w:val="auto"/>
        </w:rPr>
      </w:pPr>
      <w:r>
        <w:rPr>
          <w:rFonts w:ascii="Times New Roman" w:cs="Times New Roman" w:eastAsia="Times New Roman" w:hAnsi="Times New Roman"/>
          <w:sz w:val="17"/>
          <w:szCs w:val="17"/>
          <w:color w:val="auto"/>
        </w:rPr>
        <w:t>Our governance policies and practices provide a transparent framework for effective governance and compliance with SEC and Nasdaq requirements. Our Board is committed to developing and continually reviewing our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-230505</wp:posOffset>
            </wp:positionV>
            <wp:extent cx="7016115" cy="8265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framework for alignment with best practices and stakeholder interests, and acts to enhance our ability to oversee the execution of strategies that drive value for the Company, our customers, employees and stockholders. Our governance documents, including our Board committee charters, Code of Business Conduct and Ethics (“Code of Conduct”), and other governance policies are available on our website at https://ir.innventure.com/corporate-governance/documents-charters. Information contained on or accessible through our website is not a part of this Proxy Statement and included for reference only.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89" w:lineRule="exact"/>
        <w:rPr>
          <w:sz w:val="20"/>
          <w:szCs w:val="20"/>
          <w:color w:val="auto"/>
        </w:rPr>
      </w:pPr>
    </w:p>
    <w:p>
      <w:pPr>
        <w:ind w:left="40" w:right="119" w:firstLine="648"/>
        <w:spacing w:after="0" w:line="273" w:lineRule="auto"/>
        <w:rPr>
          <w:sz w:val="20"/>
          <w:szCs w:val="20"/>
          <w:color w:val="auto"/>
        </w:rPr>
      </w:pPr>
      <w:r>
        <w:rPr>
          <w:rFonts w:ascii="Times New Roman" w:cs="Times New Roman" w:eastAsia="Times New Roman" w:hAnsi="Times New Roman"/>
          <w:sz w:val="17"/>
          <w:szCs w:val="17"/>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future series of preferred stock outstanding, directors may be removed only for cause by an affirmative vote of at least two-thirds of the total voting power (which vote shall include the votes of the Series B Preferred Stock holders and Series C Preferred Stock holders voting together with the Common Stock holders as a single class), at a meeting called for that purpose. The authorized number of directors may be changed by resolution of our Board. Vacancies on our Board can be filled by resolution of our Board.</w:t>
      </w:r>
    </w:p>
    <w:p>
      <w:pPr>
        <w:spacing w:after="0" w:line="131"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49" w:lineRule="exact"/>
        <w:rPr>
          <w:sz w:val="20"/>
          <w:szCs w:val="20"/>
          <w:color w:val="auto"/>
        </w:rPr>
      </w:pPr>
    </w:p>
    <w:p>
      <w:pPr>
        <w:ind w:left="1020" w:right="35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this year’s Annual Meeting;</w:t>
      </w:r>
    </w:p>
    <w:p>
      <w:pPr>
        <w:spacing w:after="0" w:line="121" w:lineRule="exact"/>
        <w:rPr>
          <w:rFonts w:ascii="Times New Roman" w:cs="Times New Roman" w:eastAsia="Times New Roman" w:hAnsi="Times New Roman"/>
          <w:sz w:val="18"/>
          <w:szCs w:val="18"/>
          <w:color w:val="auto"/>
        </w:rPr>
      </w:pPr>
    </w:p>
    <w:p>
      <w:pPr>
        <w:ind w:left="1020" w:right="57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21" w:lineRule="exact"/>
        <w:rPr>
          <w:rFonts w:ascii="Times New Roman" w:cs="Times New Roman" w:eastAsia="Times New Roman" w:hAnsi="Times New Roman"/>
          <w:sz w:val="18"/>
          <w:szCs w:val="18"/>
          <w:color w:val="auto"/>
        </w:rPr>
      </w:pPr>
    </w:p>
    <w:p>
      <w:pPr>
        <w:ind w:left="1020" w:right="539" w:hanging="32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expire at the annual meeting of stockholders to be held in 2027.</w:t>
      </w:r>
    </w:p>
    <w:p>
      <w:pPr>
        <w:spacing w:after="0" w:line="135"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Orientation and Continuing Education</w:t>
      </w:r>
    </w:p>
    <w:p>
      <w:pPr>
        <w:spacing w:after="0" w:line="18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Board was formed in October 2024 with Innventure’s public listing. The N&amp;CG Committee will lead our development of a Board orientation and onboarding program for future new directors. Onboarding will include integrating new directors into the Board to understand the details of Innventure’s strategy, and providing such future new directors with the information needed to guide our growth and expansion – including the policies and procedures applicable to Board members. Additionally, the N&amp;CG Committee ensures the Board, including future new directors, have the opportunity to engage with our management and senior leadership team.</w:t>
      </w:r>
    </w:p>
    <w:p>
      <w:pPr>
        <w:spacing w:after="0" w:line="16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Board encourages our directors to pursue continuing education programs focused on our business and their roles and responsibilities as public company directors. We reimburse our directors for the costs of these programs.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167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8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Agreements to Nominate Certain Directors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Mr. Hennessy is a director designated by Learn CW pursuant to the Business Combination Agreement.</w:t>
      </w:r>
    </w:p>
    <w:p>
      <w:pPr>
        <w:sectPr>
          <w:pgSz w:w="11900" w:h="16838" w:orient="portrait"/>
          <w:cols w:equalWidth="0" w:num="1">
            <w:col w:w="9019"/>
          </w:cols>
          <w:pgMar w:left="1440" w:top="108" w:right="1440" w:bottom="0" w:gutter="0" w:footer="0" w:header="0"/>
        </w:sectPr>
      </w:pPr>
    </w:p>
    <w:bookmarkStart w:id="15" w:name="page16"/>
    <w:bookmarkEnd w:id="15"/>
    <w:p>
      <w:pPr>
        <w:ind w:left="40" w:right="239" w:firstLine="648"/>
        <w:spacing w:after="0" w:line="188" w:lineRule="auto"/>
        <w:rPr>
          <w:sz w:val="20"/>
          <w:szCs w:val="20"/>
          <w:color w:val="auto"/>
        </w:rPr>
      </w:pPr>
      <w:r>
        <w:rPr>
          <w:rFonts w:ascii="Times New Roman" w:cs="Times New Roman" w:eastAsia="Times New Roman" w:hAnsi="Times New Roman"/>
          <w:sz w:val="12"/>
          <w:szCs w:val="12"/>
          <w:color w:val="auto"/>
        </w:rPr>
        <w:t>Additionally, in connectio</w:t>
      </w:r>
      <w:r>
        <w:rPr>
          <w:rFonts w:ascii="Times New Roman" w:cs="Times New Roman" w:eastAsia="Times New Roman" w:hAnsi="Times New Roman"/>
          <w:sz w:val="20"/>
          <w:szCs w:val="20"/>
          <w:color w:val="auto"/>
          <w:vertAlign w:val="superscript"/>
        </w:rPr>
        <w:t>n</w:t>
      </w:r>
      <w:r>
        <w:rPr>
          <w:rFonts w:ascii="Times New Roman" w:cs="Times New Roman" w:eastAsia="Times New Roman" w:hAnsi="Times New Roman"/>
          <w:sz w:val="12"/>
          <w:szCs w:val="12"/>
          <w:color w:val="auto"/>
        </w:rPr>
        <w:t xml:space="preserve"> with the completion (the “Closing”) of the business combin</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2"/>
          <w:szCs w:val="12"/>
          <w:color w:val="auto"/>
        </w:rPr>
        <w:t>tion on October 2, 2024 (the “Business Combination”) by a d between Learn CW Investment Corporation, a Cayman Isl 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6894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40" w:right="179"/>
        <w:spacing w:after="0" w:line="251" w:lineRule="auto"/>
        <w:rPr>
          <w:sz w:val="20"/>
          <w:szCs w:val="20"/>
          <w:color w:val="auto"/>
        </w:rPr>
      </w:pPr>
      <w:r>
        <w:rPr>
          <w:rFonts w:ascii="Times New Roman" w:cs="Times New Roman" w:eastAsia="Times New Roman" w:hAnsi="Times New Roman"/>
          <w:sz w:val="18"/>
          <w:szCs w:val="18"/>
          <w:color w:val="auto"/>
        </w:rPr>
        <w:t>(“Learn CW”), Innventure LLC, a Delaware limited liability company, Learn SPAC HoldCo, Inc., a Delaware corporation (“Holdco”), LCW Merger Sub, Inc., a Delaware corporation (LCW Merger Sub”), and Innventure Merger Sub, LLC, a Delaware limited liability company (“Innventure Merger Sub”) and the other transactions contemplated (the “Transactions”) by the Business Combination Agreement (the “Business Combination Agreement”), dated October 24, 2023, by and among Learn CW, Innventure LLC, Holdco, LCW Merger Sub, and Innventure Merger Sub,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66"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39" w:lineRule="exact"/>
        <w:rPr>
          <w:sz w:val="20"/>
          <w:szCs w:val="20"/>
          <w:color w:val="auto"/>
        </w:rPr>
      </w:pPr>
    </w:p>
    <w:p>
      <w:pPr>
        <w:ind w:left="1020" w:right="75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13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34" w:lineRule="exact"/>
        <w:rPr>
          <w:rFonts w:ascii="Times New Roman" w:cs="Times New Roman" w:eastAsia="Times New Roman" w:hAnsi="Times New Roman"/>
          <w:sz w:val="18"/>
          <w:szCs w:val="18"/>
          <w:color w:val="auto"/>
        </w:rPr>
      </w:pPr>
    </w:p>
    <w:p>
      <w:pPr>
        <w:ind w:left="1020" w:right="5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21" w:lineRule="exact"/>
        <w:rPr>
          <w:rFonts w:ascii="Times New Roman" w:cs="Times New Roman" w:eastAsia="Times New Roman" w:hAnsi="Times New Roman"/>
          <w:sz w:val="18"/>
          <w:szCs w:val="18"/>
          <w:color w:val="auto"/>
        </w:rPr>
      </w:pPr>
    </w:p>
    <w:p>
      <w:pPr>
        <w:ind w:left="1020" w:right="19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21" w:lineRule="exact"/>
        <w:rPr>
          <w:rFonts w:ascii="Times New Roman" w:cs="Times New Roman" w:eastAsia="Times New Roman" w:hAnsi="Times New Roman"/>
          <w:sz w:val="18"/>
          <w:szCs w:val="18"/>
          <w:color w:val="auto"/>
        </w:rPr>
      </w:pPr>
    </w:p>
    <w:p>
      <w:pPr>
        <w:ind w:left="1020" w:right="259" w:hanging="32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135"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three (3) Founding Investor Nominees.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Stockholder Nominations &amp; Filling Vacancies</w:t>
      </w:r>
    </w:p>
    <w:p>
      <w:pPr>
        <w:spacing w:after="0" w:line="189"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156"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Pursuant to Article VI of our Certificate of Incorporation, subject to the rights, if any, of the holders of any series of preferred stock and the rights of Learn CW and the Founding Investors under the Business Combination Agreement and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539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151"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Board regularly reviews the Board’s leadership structure and the standing committees’ responsibilities and</w:t>
      </w:r>
    </w:p>
    <w:p>
      <w:pPr>
        <w:sectPr>
          <w:pgSz w:w="11900" w:h="16838" w:orient="portrait"/>
          <w:cols w:equalWidth="0" w:num="1">
            <w:col w:w="9019"/>
          </w:cols>
          <w:pgMar w:left="1440" w:top="108" w:right="1440" w:bottom="0" w:gutter="0" w:footer="0" w:header="0"/>
        </w:sectPr>
      </w:pPr>
    </w:p>
    <w:bookmarkStart w:id="16" w:name="page17"/>
    <w:bookmarkEnd w:id="16"/>
    <w:p>
      <w:pPr>
        <w:ind w:left="40" w:right="159"/>
        <w:spacing w:after="0" w:line="201" w:lineRule="auto"/>
        <w:rPr>
          <w:sz w:val="20"/>
          <w:szCs w:val="20"/>
          <w:color w:val="auto"/>
        </w:rPr>
      </w:pPr>
      <w:r>
        <w:rPr>
          <w:rFonts w:ascii="Times New Roman" w:cs="Times New Roman" w:eastAsia="Times New Roman" w:hAnsi="Times New Roman"/>
          <w:sz w:val="17"/>
          <w:szCs w:val="17"/>
          <w:color w:val="auto"/>
        </w:rPr>
        <w:t>composition. The structure and composition of our Board and its committees are intended to leverage the diverse perspectives of the Board members and promote effective oversight. Our Board leadership structure is currently composed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5522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of an Executive Chairman, an independent Chair of the Audit Committee (as defined below), Chair of the N&amp;CG Committee, Chair of the Compensation Committee (as defined below) and our CEO. Our Board may also select a Lead Independent Director (“LID”) from the independent directors if the positions of Chairman and CEO are held by the same person or if the Chairman is another non-independent director. The LID, if any, will serve for a term specified by the Board or until his or her successor is selected by the Board. We currently do not have a LID.</w:t>
      </w:r>
    </w:p>
    <w:p>
      <w:pPr>
        <w:spacing w:after="0" w:line="146" w:lineRule="exact"/>
        <w:rPr>
          <w:sz w:val="20"/>
          <w:szCs w:val="20"/>
          <w:color w:val="auto"/>
        </w:rPr>
      </w:pPr>
    </w:p>
    <w:p>
      <w:pPr>
        <w:jc w:val="both"/>
        <w:ind w:left="40" w:right="139" w:firstLine="648"/>
        <w:spacing w:after="0" w:line="257" w:lineRule="auto"/>
        <w:rPr>
          <w:sz w:val="20"/>
          <w:szCs w:val="20"/>
          <w:color w:val="auto"/>
        </w:rPr>
      </w:pPr>
      <w:r>
        <w:rPr>
          <w:rFonts w:ascii="Times New Roman" w:cs="Times New Roman" w:eastAsia="Times New Roman" w:hAnsi="Times New Roman"/>
          <w:sz w:val="18"/>
          <w:szCs w:val="18"/>
          <w:color w:val="auto"/>
        </w:rPr>
        <w:t>Our Board believes separating the roles of Executive Chairman and CEO is in Innventure’s and our stockholders’ best interests and supports the Board’s risk oversight efforts because it enables the Executive Chairman to support both the Board and the CEO with balancing long-term strategic development and operations planning and implementation.</w:t>
      </w:r>
    </w:p>
    <w:p>
      <w:pPr>
        <w:spacing w:after="0" w:line="1" w:lineRule="exact"/>
        <w:rPr>
          <w:sz w:val="20"/>
          <w:szCs w:val="20"/>
          <w:color w:val="auto"/>
        </w:rPr>
      </w:pPr>
    </w:p>
    <w:p>
      <w:pPr>
        <w:ind w:left="40" w:right="319"/>
        <w:spacing w:after="0" w:line="290" w:lineRule="auto"/>
        <w:rPr>
          <w:sz w:val="20"/>
          <w:szCs w:val="20"/>
          <w:color w:val="auto"/>
        </w:rPr>
      </w:pPr>
      <w:r>
        <w:rPr>
          <w:rFonts w:ascii="Times New Roman" w:cs="Times New Roman" w:eastAsia="Times New Roman" w:hAnsi="Times New Roman"/>
          <w:sz w:val="17"/>
          <w:szCs w:val="17"/>
          <w:color w:val="auto"/>
        </w:rPr>
        <w:t>Furthermore, our Board believes that having Mr. Otworth serve as our Executive Chairman, given his significant history with and extensive knowledge of Innventure, enables him to drive strategy and agenda-setting at the Board level.</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is the informed oversight of our risk management process. Our Board administers this oversight function directly through our Board as a whole, as well as through various standing committees that address risks inherent in their respective areas of oversight. In particular, our Board is responsible for monitoring and assessing strategic risk exposure, and our audit committee (the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N&amp;CG Committee is responsible for periodically evaluating the Company’s corporate governance policies and systems in light of the governance risks that the Company faces and the adequacy of the Company’s policies and procedures designed to address such risks. Our compensation committee (the “Compensation Committee”) assesses and monitors whether any of our compensation plans, policies and programs comply with applicable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911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During 2024, our Board had an Audit Committee, a Compensation Committee, and a N&amp;CG Committee to support the full Board with various risk management governance, and strategic responsibilities. The current members of these committees are described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 Assignments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Donnally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Brown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Williams</w:t>
            </w:r>
          </w:p>
        </w:tc>
        <w:tc>
          <w:tcPr>
            <w:tcW w:w="510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Hennessy   Amalfitano   Haskell*   Yablunosky*   Otworth*   Niemeyer*</w:t>
            </w:r>
          </w:p>
        </w:tc>
      </w:tr>
      <w:tr>
        <w:trPr>
          <w:trHeight w:val="39"/>
        </w:trPr>
        <w:tc>
          <w:tcPr>
            <w:tcW w:w="16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r>
      <w:tr>
        <w:trPr>
          <w:trHeight w:val="256"/>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Audit </w:t>
            </w:r>
            <w:r>
              <w:rPr>
                <w:rFonts w:ascii="Times New Roman" w:cs="Times New Roman" w:eastAsia="Times New Roman" w:hAnsi="Times New Roman"/>
                <w:sz w:val="18"/>
                <w:szCs w:val="18"/>
                <w:b w:val="1"/>
                <w:bCs w:val="1"/>
                <w:color w:val="B4B4B4"/>
                <w:w w:val="98"/>
              </w:rPr>
              <w:t>........................</w:t>
            </w: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X</w:t>
            </w:r>
          </w:p>
        </w:tc>
        <w:tc>
          <w:tcPr>
            <w:tcW w:w="5100" w:type="dxa"/>
            <w:vAlign w:val="bottom"/>
            <w:gridSpan w:val="11"/>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Compensation </w:t>
            </w:r>
            <w:r>
              <w:rPr>
                <w:rFonts w:ascii="Times New Roman" w:cs="Times New Roman" w:eastAsia="Times New Roman" w:hAnsi="Times New Roman"/>
                <w:sz w:val="18"/>
                <w:szCs w:val="18"/>
                <w:b w:val="1"/>
                <w:bCs w:val="1"/>
                <w:color w:val="B4B4B4"/>
                <w:w w:val="98"/>
              </w:rPr>
              <w:t>.........</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10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Nominating &amp;</w:t>
            </w: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16"/>
        </w:trPr>
        <w:tc>
          <w:tcPr>
            <w:tcW w:w="1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1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b w:val="1"/>
                <w:bCs w:val="1"/>
                <w:color w:val="B4B4B4"/>
              </w:rPr>
              <w:t>........</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360" w:type="dxa"/>
            <w:vAlign w:val="bottom"/>
            <w:gridSpan w:val="9"/>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w:t>
            </w:r>
          </w:p>
        </w:tc>
      </w:tr>
    </w:tbl>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All standing committee members are independent.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 Not independent</w:t>
      </w:r>
    </w:p>
    <w:p>
      <w:pPr>
        <w:spacing w:after="0" w:line="209"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Each member of our three standing committees is independent under applicable SEC rules and Nasdaq Listing Rules. Therefore, Mr. Haskell, Mr. Yablunosky, Mr. Otworth and Ms. Niemeyer do not serve on any of our three standing committees. 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ectPr>
          <w:pgSz w:w="11900" w:h="16838" w:orient="portrait"/>
          <w:cols w:equalWidth="0" w:num="1">
            <w:col w:w="9019"/>
          </w:cols>
          <w:pgMar w:left="1440" w:top="108" w:right="1440" w:bottom="0" w:gutter="0" w:footer="0" w:header="0"/>
        </w:sectPr>
      </w:pP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O. Donnally</w:t>
      </w:r>
    </w:p>
    <w:p>
      <w:pPr>
        <w:spacing w:after="0" w:line="117" w:lineRule="exact"/>
        <w:rPr>
          <w:sz w:val="20"/>
          <w:szCs w:val="20"/>
          <w:color w:val="auto"/>
        </w:rPr>
      </w:pPr>
    </w:p>
    <w:p>
      <w:pPr>
        <w:sectPr>
          <w:pgSz w:w="11900" w:h="16838" w:orient="portrait"/>
          <w:cols w:equalWidth="0" w:num="2">
            <w:col w:w="1620" w:space="720"/>
            <w:col w:w="6679"/>
          </w:cols>
          <w:pgMar w:left="1440" w:top="108"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Elizabeth Williams and Dan Hennessy</w:t>
      </w:r>
    </w:p>
    <w:p>
      <w:pPr>
        <w:spacing w:after="0" w:line="129" w:lineRule="exact"/>
        <w:rPr>
          <w:sz w:val="20"/>
          <w:szCs w:val="20"/>
          <w:color w:val="auto"/>
        </w:rPr>
      </w:pPr>
    </w:p>
    <w:p>
      <w:pPr>
        <w:sectPr>
          <w:pgSz w:w="11900" w:h="16838" w:orient="portrait"/>
          <w:cols w:equalWidth="0" w:num="2">
            <w:col w:w="1620" w:space="720"/>
            <w:col w:w="6679"/>
          </w:cols>
          <w:pgMar w:left="1440" w:top="108"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Meetings Held in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2">
            <w:col w:w="1880" w:space="460"/>
            <w:col w:w="6679"/>
          </w:cols>
          <w:pgMar w:left="1440" w:top="108" w:right="1440" w:bottom="0" w:gutter="0" w:footer="0" w:header="0"/>
          <w:type w:val="continuous"/>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50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t>Committee Description and Responsibilities:</w:t>
      </w:r>
    </w:p>
    <w:p>
      <w:pPr>
        <w:spacing w:after="0" w:line="121" w:lineRule="exact"/>
        <w:rPr>
          <w:sz w:val="20"/>
          <w:szCs w:val="20"/>
          <w:color w:val="auto"/>
        </w:rPr>
      </w:pPr>
    </w:p>
    <w:p>
      <w:pPr>
        <w:ind w:left="180" w:right="239"/>
        <w:spacing w:after="0" w:line="253" w:lineRule="auto"/>
        <w:rPr>
          <w:sz w:val="20"/>
          <w:szCs w:val="20"/>
          <w:color w:val="auto"/>
        </w:rPr>
      </w:pPr>
      <w:r>
        <w:rPr>
          <w:rFonts w:ascii="Times New Roman" w:cs="Times New Roman" w:eastAsia="Times New Roman" w:hAnsi="Times New Roman"/>
          <w:sz w:val="18"/>
          <w:szCs w:val="18"/>
          <w:color w:val="auto"/>
        </w:rPr>
        <w:t>The Audit Committee assists the Board in fulfilling its legal and fiduciary obligations to oversee various matters involving the Company’s accounting and financial reporting process, auditing functions, financial policies, and legal and regulatory compliance functions. The Audit Committee is responsible for approving the services performed by our independent registered public accounting firm and reviewing their reports regarding our accounting practices and systems of internal accounting controls. The Audit Committee is also responsible for overseeing the audit efforts of our independent registered public accounting firm and taking action as it deems necessary to establish that the independent registered public accounting firm is independent of management. Other responsibilities of the Audit Committee include the preparation, presentation and integrity of the Company’s financial statements, determining the appropriateness of the accounting and reporting polices used by the Company, and oversight of the Company’s guidelines and policies with respect to risk assessment and risk management.</w:t>
      </w:r>
    </w:p>
    <w:p>
      <w:pPr>
        <w:spacing w:after="0" w:line="84" w:lineRule="exact"/>
        <w:rPr>
          <w:sz w:val="20"/>
          <w:szCs w:val="20"/>
          <w:color w:val="auto"/>
        </w:rPr>
      </w:pPr>
    </w:p>
    <w:p>
      <w:pPr>
        <w:ind w:left="180" w:right="239"/>
        <w:spacing w:after="0" w:line="258" w:lineRule="auto"/>
        <w:rPr>
          <w:sz w:val="20"/>
          <w:szCs w:val="20"/>
          <w:color w:val="auto"/>
        </w:rPr>
      </w:pPr>
      <w:r>
        <w:rPr>
          <w:rFonts w:ascii="Times New Roman" w:cs="Times New Roman" w:eastAsia="Times New Roman" w:hAnsi="Times New Roman"/>
          <w:sz w:val="18"/>
          <w:szCs w:val="18"/>
          <w:i w:val="1"/>
          <w:iCs w:val="1"/>
          <w:color w:val="auto"/>
        </w:rPr>
        <w:t>The Board has determined that the members of the Audit Committee meet the requirements for independence of Audit Committee members under applicable SEC rules and Nasdaq Listing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282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ectPr>
          <w:pgSz w:w="11900" w:h="16838" w:orient="portrait"/>
          <w:cols w:equalWidth="0" w:num="1">
            <w:col w:w="9019"/>
          </w:cols>
          <w:pgMar w:left="1440" w:top="171" w:right="1440" w:bottom="0" w:gutter="0" w:footer="0" w:header="0"/>
        </w:sectPr>
      </w:pP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Bruce Brown</w:t>
      </w:r>
    </w:p>
    <w:p>
      <w:pPr>
        <w:spacing w:after="0" w:line="129" w:lineRule="exact"/>
        <w:rPr>
          <w:sz w:val="20"/>
          <w:szCs w:val="20"/>
          <w:color w:val="auto"/>
        </w:rPr>
      </w:pPr>
    </w:p>
    <w:p>
      <w:pPr>
        <w:sectPr>
          <w:pgSz w:w="11900" w:h="16838" w:orient="portrait"/>
          <w:cols w:equalWidth="0" w:num="2">
            <w:col w:w="2520" w:space="720"/>
            <w:col w:w="577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James O. Donnally and Dan Hennessy</w:t>
      </w:r>
    </w:p>
    <w:p>
      <w:pPr>
        <w:spacing w:after="0" w:line="117" w:lineRule="exact"/>
        <w:rPr>
          <w:sz w:val="20"/>
          <w:szCs w:val="20"/>
          <w:color w:val="auto"/>
        </w:rPr>
      </w:pPr>
    </w:p>
    <w:p>
      <w:pPr>
        <w:sectPr>
          <w:pgSz w:w="11900" w:h="16838" w:orient="portrait"/>
          <w:cols w:equalWidth="0" w:num="2">
            <w:col w:w="2520" w:space="720"/>
            <w:col w:w="577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Meetings Held in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w:t>
      </w:r>
    </w:p>
    <w:p>
      <w:pPr>
        <w:spacing w:after="0" w:line="113" w:lineRule="exact"/>
        <w:rPr>
          <w:sz w:val="20"/>
          <w:szCs w:val="20"/>
          <w:color w:val="auto"/>
        </w:rPr>
      </w:pPr>
    </w:p>
    <w:p>
      <w:pPr>
        <w:sectPr>
          <w:pgSz w:w="11900" w:h="16838" w:orient="portrait"/>
          <w:cols w:equalWidth="0" w:num="2">
            <w:col w:w="2520" w:space="720"/>
            <w:col w:w="577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180" w:right="259"/>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our general compensation policies and the compensation provided to our officers. The Compensation Committee’s other responsibilities include annually reviewing and making recommendations to our Board regarding director compensation, reviewing and administering equity and non-equity incentive compensation and other plans, reviewing and approving all grants, awards, and payouts under the Company’s equity and other-incentive based plans, and overseeing our corporate compensation programs.</w:t>
      </w:r>
    </w:p>
    <w:p>
      <w:pPr>
        <w:spacing w:after="0" w:line="114" w:lineRule="exact"/>
        <w:rPr>
          <w:sz w:val="20"/>
          <w:szCs w:val="20"/>
          <w:color w:val="auto"/>
        </w:rPr>
      </w:pPr>
    </w:p>
    <w:p>
      <w:pPr>
        <w:ind w:left="180" w:right="339"/>
        <w:spacing w:after="0" w:line="261"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Compensation Committee is independent, as defined under the Nasdaq Listing Rules, and also satisfies Nasdaq’s additional independence standards for compensation committee members. Other than Jim Donnally, each member of our Compensation Committee is a non-employee director (within the meaning of Rule 16b-3 under the Exchange Act).</w:t>
      </w: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N&amp;CG Committee</w:t>
      </w:r>
    </w:p>
    <w:p>
      <w:pPr>
        <w:sectPr>
          <w:pgSz w:w="11900" w:h="16838" w:orient="portrait"/>
          <w:cols w:equalWidth="0" w:num="1">
            <w:col w:w="9019"/>
          </w:cols>
          <w:pgMar w:left="1440" w:top="171" w:right="1440" w:bottom="0" w:gutter="0" w:footer="0" w:header="0"/>
          <w:type w:val="continuous"/>
        </w:sectPr>
      </w:pP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Amalfitano</w:t>
      </w:r>
    </w:p>
    <w:p>
      <w:pPr>
        <w:spacing w:after="0" w:line="129" w:lineRule="exact"/>
        <w:rPr>
          <w:sz w:val="20"/>
          <w:szCs w:val="20"/>
          <w:color w:val="auto"/>
        </w:rPr>
      </w:pPr>
    </w:p>
    <w:p>
      <w:pPr>
        <w:sectPr>
          <w:pgSz w:w="11900" w:h="16838" w:orient="portrait"/>
          <w:cols w:equalWidth="0" w:num="2">
            <w:col w:w="2460" w:space="720"/>
            <w:col w:w="583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Bruce Brown and Elizabeth Williams</w:t>
      </w:r>
    </w:p>
    <w:p>
      <w:pPr>
        <w:spacing w:after="0" w:line="129" w:lineRule="exact"/>
        <w:rPr>
          <w:sz w:val="20"/>
          <w:szCs w:val="20"/>
          <w:color w:val="auto"/>
        </w:rPr>
      </w:pPr>
    </w:p>
    <w:p>
      <w:pPr>
        <w:sectPr>
          <w:pgSz w:w="11900" w:h="16838" w:orient="portrait"/>
          <w:cols w:equalWidth="0" w:num="2">
            <w:col w:w="2460" w:space="720"/>
            <w:col w:w="583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Meetings Held in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w:t>
      </w:r>
    </w:p>
    <w:p>
      <w:pPr>
        <w:spacing w:after="0" w:line="149" w:lineRule="exact"/>
        <w:rPr>
          <w:sz w:val="20"/>
          <w:szCs w:val="20"/>
          <w:color w:val="auto"/>
        </w:rPr>
      </w:pPr>
    </w:p>
    <w:p>
      <w:pPr>
        <w:sectPr>
          <w:pgSz w:w="11900" w:h="16838" w:orient="portrait"/>
          <w:cols w:equalWidth="0" w:num="2">
            <w:col w:w="2460" w:space="720"/>
            <w:col w:w="5839"/>
          </w:cols>
          <w:pgMar w:left="1440" w:top="171" w:right="1440" w:bottom="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Committee Description and Responsibilities:</w:t>
      </w:r>
    </w:p>
    <w:p>
      <w:pPr>
        <w:spacing w:after="0" w:line="121" w:lineRule="exact"/>
        <w:rPr>
          <w:sz w:val="20"/>
          <w:szCs w:val="20"/>
          <w:color w:val="auto"/>
        </w:rPr>
      </w:pPr>
    </w:p>
    <w:p>
      <w:pPr>
        <w:ind w:left="180" w:right="219"/>
        <w:spacing w:after="0" w:line="254" w:lineRule="auto"/>
        <w:rPr>
          <w:sz w:val="20"/>
          <w:szCs w:val="20"/>
          <w:color w:val="auto"/>
        </w:rPr>
      </w:pPr>
      <w:r>
        <w:rPr>
          <w:rFonts w:ascii="Times New Roman" w:cs="Times New Roman" w:eastAsia="Times New Roman" w:hAnsi="Times New Roman"/>
          <w:sz w:val="18"/>
          <w:szCs w:val="18"/>
          <w:color w:val="auto"/>
        </w:rPr>
        <w:t>The N&amp;CG Committee assists the Board in establishing corporate governance guidelines, overseeing the Board’s operations and effectiveness, and identifying, screening, and recommending to the Board qualified candidates to serve as directors of the Company. The N&amp;CG Committee is responsible for making recommendations to our Board regarding candidates for directorships, the size and composition of the Board, and recommending an independent director to serve as a LID, if necessary. In addition, the N&amp;CG Committee is responsible for periodically evaluating our corporate governance process, reporting and making recommendations to the Board concerning corporate governance matters, adopting a performance review process for formal evaluation of the Board and Board committees, and periodically reviewing and recommending to the Board changes to the documents and policies in the Company’s corporate governance framework.</w:t>
      </w:r>
    </w:p>
    <w:p>
      <w:pPr>
        <w:spacing w:after="0" w:line="11" w:lineRule="exact"/>
        <w:rPr>
          <w:sz w:val="20"/>
          <w:szCs w:val="20"/>
          <w:color w:val="auto"/>
        </w:rPr>
      </w:pPr>
    </w:p>
    <w:p>
      <w:pPr>
        <w:ind w:left="180" w:right="539"/>
        <w:spacing w:after="0" w:line="284" w:lineRule="auto"/>
        <w:rPr>
          <w:sz w:val="20"/>
          <w:szCs w:val="20"/>
          <w:color w:val="auto"/>
        </w:rPr>
      </w:pPr>
      <w:r>
        <w:rPr>
          <w:rFonts w:ascii="Times New Roman" w:cs="Times New Roman" w:eastAsia="Times New Roman" w:hAnsi="Times New Roman"/>
          <w:sz w:val="18"/>
          <w:szCs w:val="18"/>
          <w:i w:val="1"/>
          <w:iCs w:val="1"/>
          <w:color w:val="auto"/>
        </w:rPr>
        <w:t>The Board has determined that each member of our N&amp;CG Committee is independent as defined under the Nasdaq Listing Rules.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the completion of the Business Combination, the independent members of the Board have met in two</w:t>
      </w:r>
    </w:p>
    <w:p>
      <w:pPr>
        <w:sectPr>
          <w:pgSz w:w="11900" w:h="16838" w:orient="portrait"/>
          <w:cols w:equalWidth="0" w:num="1">
            <w:col w:w="9019"/>
          </w:cols>
          <w:pgMar w:left="1440" w:top="171" w:right="1440" w:bottom="0" w:gutter="0" w:footer="0" w:header="0"/>
          <w:type w:val="continuous"/>
        </w:sectPr>
      </w:pPr>
    </w:p>
    <w:bookmarkStart w:id="18" w:name="page19"/>
    <w:bookmarkEnd w:id="18"/>
    <w:p>
      <w:pPr>
        <w:ind w:left="40" w:right="399"/>
        <w:spacing w:after="0" w:line="237" w:lineRule="auto"/>
        <w:rPr>
          <w:sz w:val="20"/>
          <w:szCs w:val="20"/>
          <w:color w:val="auto"/>
        </w:rPr>
      </w:pPr>
      <w:r>
        <w:rPr>
          <w:rFonts w:ascii="Times New Roman" w:cs="Times New Roman" w:eastAsia="Times New Roman" w:hAnsi="Times New Roman"/>
          <w:sz w:val="18"/>
          <w:szCs w:val="18"/>
          <w:color w:val="auto"/>
        </w:rPr>
        <w:t>scheduled executive sessions. The independent members of the Board expect to have at least four, but no less than two, regularly scheduled meetings at which only independent directors are present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-238760</wp:posOffset>
            </wp:positionV>
            <wp:extent cx="7016115" cy="2779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Meeting Attendance</w:t>
      </w:r>
    </w:p>
    <w:p>
      <w:pPr>
        <w:spacing w:after="0" w:line="189" w:lineRule="exact"/>
        <w:rPr>
          <w:sz w:val="20"/>
          <w:szCs w:val="20"/>
          <w:color w:val="auto"/>
        </w:rPr>
      </w:pPr>
    </w:p>
    <w:p>
      <w:pPr>
        <w:jc w:val="both"/>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Board encourages all directors to attend each meeting of the Board and each annual meeting of stockholders, but has not implemented any policies or procedures to mandate attendance. In 2024, the Board met three times, and all of our directors attended all of the Board meetings. All committee members met at all two meetings of the Audit Committee, the meeting of the Compensation Committee, and the meeting of the N&amp;CG Committee in 2024.</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0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Interested parties may communicate with the Company by letter addressed to Investor Relations, Innventure, Inc., 6900 Tavistock Lakes Blvd, Suite 400, Orlando, Florida 32827, or by e-mail to Investor Relations at investtorrelations@innventure.com.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5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Innventure stockholders should send any communications to the Board, any committee chairperson or the non-management directors of Innventure by writing to Attn: Corporate Secretary, legal@innventure.com. Any such communication will be reviewed and, to the extent such communication falls within the scope of matters generally considered by the Board, forwarded to the Board, the appropriate committee chairperson or the non-management directors, as appropriate, based on the subject matter of the communication. The acceptance and forwarding of communications to the members of the Board or to an executive officer does not imply or create any fiduciary duty of such director or executive officer to the person submitting the communications.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our directors, officers and employees, including our CEO, CFO and other executive and senior financial officers. The Code of Conduct is available on our website at https:// ir.innventure.com/corporate-governance/documents-charters. Our Board is responsible for overseeing the Code of Conduct and must approve any amendments, waivers and exceptions to the Code of Conduct for executive officers and directors. Our CFO and General Counsel must approve any amendments, waivers and exceptions to the Code of Conduct for our employees. We intend to disclose future amendments to the Code of Conduct, or waivers of certain provisions as they relate to our directors and executive officers at the same information on our website is not intended to form a part of or be incorporated by reference into this Proxy Statement.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conducting business with integrity and pursuing governance best practices. In October 2024, the Board adopted Corporate Governance Guidelines which, along with our Certificate of Incorporation, Bylaws, and respective charters of the Board committees, serve as governance framework to assist the Board and its committees with effectively exercising their responsibilities to the Company and our shareholders and provide a framework for the corporate governance of the Company within which the Board may conduct is business. The N&amp;CG Committee will periodically review and assess the Corporate Governance Guidelines and recommend updates to the Board as needed.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October 2024, the Board adopted a Compensation Clawback Policy (“Section 16 Clawback Policy”) to comply with the mandatory compensation “clawback” requirements under Nasdaq Listing Rule 5608. Under the Section 16 Clawback Policy, in the event of certain accounting restatements, we will be generally required to recover from certain current or former executive officers of the Company (“Section 16 officers”) incentive-based compensation representing the excess of the amount actually received over the amount that would have been received had the financial statements been correct in the first instance (without regard to any taxes paid). Incentive-based compensation includes any compensation granted, earned or vested based wholly, or in part, upon the Company attaining a financial reporting measure. The Section 16 Clawback Policy is a “no fault” policy and does not require any misconduct on the part of a Section 16 officer or any of his or her subordinates in the case of a restatement. If there is a restatement and the Section 16 officer would have received less incentive-based compensation under the relevant restated amounts than they actually received, we must recover reasonably promptly the excess compensation received, and within the applicable recovery period (which is generally the last three fiscal years), unless one of the limited exceptions set forth in the Section 16 Clawback Policy applies.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and Anti-Hedging Policies and Procedures</w:t>
      </w:r>
    </w:p>
    <w:p>
      <w:pPr>
        <w:spacing w:after="0" w:line="202"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and procedures applicable to directors, officers, employees, and other covered persons (including family members), and have implemented processes applicable to us, that we believe are reasonably designed to promote compliance with insider trading laws, rules, and regulations, and Nasdaq’s listing standards.</w:t>
      </w:r>
    </w:p>
    <w:p>
      <w:pPr>
        <w:spacing w:after="0" w:line="139" w:lineRule="exact"/>
        <w:rPr>
          <w:sz w:val="20"/>
          <w:szCs w:val="20"/>
          <w:color w:val="auto"/>
        </w:rPr>
      </w:pPr>
    </w:p>
    <w:p>
      <w:pPr>
        <w:ind w:left="40" w:right="79" w:firstLine="648"/>
        <w:spacing w:after="0" w:line="289" w:lineRule="auto"/>
        <w:rPr>
          <w:sz w:val="20"/>
          <w:szCs w:val="20"/>
          <w:color w:val="auto"/>
        </w:rPr>
      </w:pPr>
      <w:r>
        <w:rPr>
          <w:rFonts w:ascii="Times New Roman" w:cs="Times New Roman" w:eastAsia="Times New Roman" w:hAnsi="Times New Roman"/>
          <w:sz w:val="17"/>
          <w:szCs w:val="17"/>
          <w:color w:val="auto"/>
        </w:rPr>
        <w:t>The Insider Trading Policy also (i) imposes prohibitions on hedging or monetization transactions, including financial instruments such as prepaid variable forwards, equity swaps, short sale instruments, puts, collars and exchange funds or through other transactions that hedge or offset, or are designed to hedge or offset, any decrease in the market value</w:t>
      </w:r>
    </w:p>
    <w:p>
      <w:pPr>
        <w:sectPr>
          <w:pgSz w:w="11900" w:h="16838" w:orient="portrait"/>
          <w:cols w:equalWidth="0" w:num="1">
            <w:col w:w="9019"/>
          </w:cols>
          <w:pgMar w:left="1440" w:top="108" w:right="1440" w:bottom="0" w:gutter="0" w:footer="0" w:header="0"/>
        </w:sectPr>
      </w:pPr>
    </w:p>
    <w:bookmarkStart w:id="19" w:name="page20"/>
    <w:bookmarkEnd w:id="19"/>
    <w:p>
      <w:pPr>
        <w:ind w:left="40" w:right="439"/>
        <w:spacing w:after="0" w:line="201" w:lineRule="auto"/>
        <w:rPr>
          <w:sz w:val="20"/>
          <w:szCs w:val="20"/>
          <w:color w:val="auto"/>
        </w:rPr>
      </w:pPr>
      <w:r>
        <w:rPr>
          <w:rFonts w:ascii="Times New Roman" w:cs="Times New Roman" w:eastAsia="Times New Roman" w:hAnsi="Times New Roman"/>
          <w:sz w:val="17"/>
          <w:szCs w:val="17"/>
          <w:color w:val="auto"/>
        </w:rPr>
        <w:t>of the Company’s securities, (ii) discourages pledging, hypothecating or otherwise using the Company’s securities as collateral for a loan or other form of indebtedness, including, without limitation, holding the Company’s securities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-186690</wp:posOffset>
            </wp:positionV>
            <wp:extent cx="7016115" cy="1407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ind w:left="40" w:right="499"/>
        <w:spacing w:after="0" w:line="260" w:lineRule="auto"/>
        <w:rPr>
          <w:sz w:val="20"/>
          <w:szCs w:val="20"/>
          <w:color w:val="auto"/>
        </w:rPr>
      </w:pPr>
      <w:r>
        <w:rPr>
          <w:rFonts w:ascii="Times New Roman" w:cs="Times New Roman" w:eastAsia="Times New Roman" w:hAnsi="Times New Roman"/>
          <w:sz w:val="18"/>
          <w:szCs w:val="18"/>
          <w:color w:val="auto"/>
        </w:rPr>
        <w:t>margin account as collateral for a margin loan and (iii) discourages placing standing or limit orders on the Company’s securities.</w:t>
      </w:r>
    </w:p>
    <w:p>
      <w:pPr>
        <w:spacing w:after="0" w:line="141"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is filed as Exhibit 19.1 to our 2024 Annual Report, filed with the SEC on April 14, 2025.</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2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7" w:lineRule="exact"/>
        <w:rPr>
          <w:sz w:val="20"/>
          <w:szCs w:val="20"/>
          <w:color w:val="auto"/>
        </w:rPr>
      </w:pPr>
    </w:p>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dollar amounts (“$”) in this section are expressed in thousands, except share and per share amounts.</w:t>
      </w:r>
    </w:p>
    <w:p>
      <w:pPr>
        <w:spacing w:after="0" w:line="133"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 Innventure LLC, Innventure or AeroFlexx, Accelsius Holdings LLC (“Accelsius”) and Refinity Olefins, LLC (“Refinity,” together with AeroFlexx and Accelsius, the “Innventure Companies”) has been or is to be a participant and:</w:t>
      </w:r>
    </w:p>
    <w:p>
      <w:pPr>
        <w:spacing w:after="0" w:line="135" w:lineRule="exact"/>
        <w:rPr>
          <w:sz w:val="20"/>
          <w:szCs w:val="20"/>
          <w:color w:val="auto"/>
        </w:rPr>
      </w:pPr>
    </w:p>
    <w:p>
      <w:pPr>
        <w:ind w:left="1020" w:hanging="32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 and</w:t>
      </w:r>
    </w:p>
    <w:p>
      <w:pPr>
        <w:spacing w:after="0" w:line="184" w:lineRule="exact"/>
        <w:rPr>
          <w:rFonts w:ascii="Times New Roman" w:cs="Times New Roman" w:eastAsia="Times New Roman" w:hAnsi="Times New Roman"/>
          <w:sz w:val="18"/>
          <w:szCs w:val="18"/>
          <w:color w:val="auto"/>
        </w:rPr>
      </w:pPr>
    </w:p>
    <w:p>
      <w:pPr>
        <w:ind w:left="1020" w:right="79" w:hanging="32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45" w:lineRule="exact"/>
        <w:rPr>
          <w:sz w:val="20"/>
          <w:szCs w:val="20"/>
          <w:color w:val="auto"/>
        </w:rPr>
      </w:pPr>
    </w:p>
    <w:p>
      <w:pPr>
        <w:ind w:left="40" w:right="189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Innventus ESG Fund I, L.P., and Innventure1, LLC </w:t>
      </w:r>
      <w:r>
        <w:rPr>
          <w:rFonts w:ascii="Times New Roman" w:cs="Times New Roman" w:eastAsia="Times New Roman" w:hAnsi="Times New Roman"/>
          <w:sz w:val="18"/>
          <w:szCs w:val="18"/>
          <w:b w:val="1"/>
          <w:bCs w:val="1"/>
          <w:i w:val="1"/>
          <w:iCs w:val="1"/>
          <w:u w:val="single" w:color="auto"/>
          <w:color w:val="auto"/>
        </w:rPr>
        <w:t>Management Services</w:t>
      </w: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Innventure Management Services, LLC (“Management Services”), a wholly owned subsidiary of Innventure LLC, Innventure GP LLC (“Innventure GP”) and Innventus ESG Fund I, L.P.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60"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Option Agreement</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Indebtedness</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13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On July 1, 2024, AeroFlexx, as Borrower (as defined in the AeroFlexx Loan Agreement), AeroFlexx Packaging Company LLC, (“AeroFlexx Packaging”) as Guarantor (as defined in the AeroFlexx Loan Agreement), and Innventure LLC, as Lender (as defined in the AeroFlexx Loan Agreement), entered into a Loan Agreement (the “AeroFlexx Loan Agreement”). Under the terms of the AeroFlexx Loan Agreement, Innventure LLC agreed to lend to AeroFlexx up to $2,400 from time to time until the Maturity Date (as defined in the AeroFlexx Loan Agreement). Additionally, the aggregate principal amount of $7,600 that Innventure LLC previously loaned to AeroFlexx for working capital pursuant to interest-free loans that had not previously been formally documented is included as an amount outstanding under the</w:t>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08" w:right="1440" w:bottom="0" w:gutter="0" w:footer="0" w:header="0"/>
          <w:type w:val="continuous"/>
        </w:sectPr>
      </w:pPr>
    </w:p>
    <w:bookmarkStart w:id="20" w:name="page21"/>
    <w:bookmarkEnd w:id="20"/>
    <w:p>
      <w:pPr>
        <w:ind w:left="40" w:right="7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$10,000 and no interest or principal has been paid on the Term Loans, and as of March 31, 2025 the current amount outstanding is $10,307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163"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report, all intercompany transactions and balances have been eliminated in consolidation, including those related to this loan and security agreement with Accelsius.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fiscal year ended December 31, 2024, Innventure LLC informally loaned Refinity Holdings $530.</w:t>
      </w:r>
    </w:p>
    <w:p>
      <w:pPr>
        <w:spacing w:after="0" w:line="185"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 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154"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24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Involving Innventure1</w:t>
      </w:r>
    </w:p>
    <w:p>
      <w:pPr>
        <w:spacing w:after="0" w:line="189"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w:t>
      </w:r>
    </w:p>
    <w:p>
      <w:pPr>
        <w:sectPr>
          <w:pgSz w:w="11900" w:h="16838" w:orient="portrait"/>
          <w:cols w:equalWidth="0" w:num="1">
            <w:col w:w="9019"/>
          </w:cols>
          <w:pgMar w:left="1440" w:top="1120" w:right="1440" w:bottom="0" w:gutter="0" w:footer="0" w:header="0"/>
        </w:sectPr>
      </w:pPr>
    </w:p>
    <w:bookmarkStart w:id="21" w:name="page22"/>
    <w:bookmarkEnd w:id="21"/>
    <w:p>
      <w:pPr>
        <w:ind w:left="40" w:right="379"/>
        <w:spacing w:after="0" w:line="198" w:lineRule="auto"/>
        <w:rPr>
          <w:sz w:val="20"/>
          <w:szCs w:val="20"/>
          <w:color w:val="auto"/>
        </w:rPr>
      </w:pPr>
      <w:r>
        <w:rPr>
          <w:rFonts w:ascii="Times New Roman" w:cs="Times New Roman" w:eastAsia="Times New Roman" w:hAnsi="Times New Roman"/>
          <w:sz w:val="18"/>
          <w:szCs w:val="18"/>
          <w:color w:val="auto"/>
        </w:rPr>
        <w:t>During the year ended December 31, 2023, and pursuant to the terms of the debt conversion agreement, the Company extinguished the related party note with Innventure1 and converted this note in the amount of $500 into 52,010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782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jc w:val="both"/>
        <w:ind w:left="40" w:right="259"/>
        <w:spacing w:after="0" w:line="255" w:lineRule="auto"/>
        <w:rPr>
          <w:sz w:val="20"/>
          <w:szCs w:val="20"/>
          <w:color w:val="auto"/>
        </w:rPr>
      </w:pPr>
      <w:r>
        <w:rPr>
          <w:rFonts w:ascii="Times New Roman" w:cs="Times New Roman" w:eastAsia="Times New Roman" w:hAnsi="Times New Roman"/>
          <w:sz w:val="18"/>
          <w:szCs w:val="18"/>
          <w:color w:val="auto"/>
        </w:rPr>
        <w:t>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ESG Fund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24, 2023, Innventure LLC and WE-INN paid to the ESG Fund its capital call obligation of approximately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B-1 Unit Purchase Agreement</w:t>
      </w:r>
    </w:p>
    <w:p>
      <w:pPr>
        <w:spacing w:after="0" w:line="20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Capital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Intercompany Advancement of Expenses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 outstanding balance or otherwise remains outstanding. The following table details the aggregate amount advanced to each company (in excess of $120) per year since 2023:</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5"/>
        </w:trPr>
        <w:tc>
          <w:tcPr>
            <w:tcW w:w="6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Accelsius </w:t>
            </w:r>
            <w:r>
              <w:rPr>
                <w:rFonts w:ascii="Times New Roman" w:cs="Times New Roman" w:eastAsia="Times New Roman" w:hAnsi="Times New Roman"/>
                <w:sz w:val="18"/>
                <w:szCs w:val="18"/>
                <w:b w:val="1"/>
                <w:bCs w:val="1"/>
                <w:color w:val="B4B4B4"/>
              </w:rPr>
              <w:t>.....................................................................................................................</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AeroFlexx </w:t>
            </w:r>
            <w:r>
              <w:rPr>
                <w:rFonts w:ascii="Times New Roman" w:cs="Times New Roman" w:eastAsia="Times New Roman" w:hAnsi="Times New Roman"/>
                <w:sz w:val="18"/>
                <w:szCs w:val="18"/>
                <w:b w:val="1"/>
                <w:bCs w:val="1"/>
                <w:color w:val="B4B4B4"/>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ESG Fund </w:t>
            </w:r>
            <w:r>
              <w:rPr>
                <w:rFonts w:ascii="Times New Roman" w:cs="Times New Roman" w:eastAsia="Times New Roman" w:hAnsi="Times New Roman"/>
                <w:sz w:val="18"/>
                <w:szCs w:val="18"/>
                <w:b w:val="1"/>
                <w:bCs w:val="1"/>
                <w:color w:val="B4B4B4"/>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Refinity </w:t>
            </w:r>
            <w:r>
              <w:rPr>
                <w:rFonts w:ascii="Times New Roman" w:cs="Times New Roman" w:eastAsia="Times New Roman" w:hAnsi="Times New Roman"/>
                <w:sz w:val="18"/>
                <w:szCs w:val="18"/>
                <w:b w:val="1"/>
                <w:bCs w:val="1"/>
                <w:color w:val="B4B4B4"/>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40" w:lineRule="exact"/>
        <w:rPr>
          <w:sz w:val="20"/>
          <w:szCs w:val="20"/>
          <w:color w:val="auto"/>
        </w:rPr>
      </w:pPr>
    </w:p>
    <w:p>
      <w:pPr>
        <w:ind w:left="380" w:hanging="331"/>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$120</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 and Security Agreements</w:t>
      </w:r>
    </w:p>
    <w:p>
      <w:pPr>
        <w:spacing w:after="0" w:line="20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54"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w:t>
      </w:r>
    </w:p>
    <w:p>
      <w:pPr>
        <w:sectPr>
          <w:pgSz w:w="11900" w:h="16838" w:orient="portrait"/>
          <w:cols w:equalWidth="0" w:num="1">
            <w:col w:w="9019"/>
          </w:cols>
          <w:pgMar w:left="1440" w:top="108" w:right="1440" w:bottom="0" w:gutter="0" w:footer="0" w:header="0"/>
        </w:sectPr>
      </w:pPr>
    </w:p>
    <w:bookmarkStart w:id="22" w:name="page23"/>
    <w:bookmarkEnd w:id="22"/>
    <w:p>
      <w:pPr>
        <w:ind w:left="40" w:right="319"/>
        <w:spacing w:after="0" w:line="210" w:lineRule="auto"/>
        <w:rPr>
          <w:sz w:val="20"/>
          <w:szCs w:val="20"/>
          <w:color w:val="auto"/>
        </w:rPr>
      </w:pPr>
      <w:r>
        <w:rPr>
          <w:rFonts w:ascii="Times New Roman" w:cs="Times New Roman" w:eastAsia="Times New Roman" w:hAnsi="Times New Roman"/>
          <w:sz w:val="17"/>
          <w:szCs w:val="17"/>
          <w:color w:val="auto"/>
        </w:rPr>
        <w:t>by AeroFlexx Packaging incurred for taxes, insurance and repairs to and maintenance for the Collateral and (iii) all liabilities of AeroFlexx Packaging to Auto Now presently existing or incurred in the future, whether they are matured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unmatured, direct or contingent, and any renewals, extensions and substitutions of those liabilities.</w:t>
      </w:r>
    </w:p>
    <w:p>
      <w:pPr>
        <w:spacing w:after="0" w:line="18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13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James Donnally, a member of the Board, also serves as a director of Auto Now Acceptance Company, the parent company of Auto Now.</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Convertible Notes</w:t>
      </w:r>
    </w:p>
    <w:p>
      <w:pPr>
        <w:spacing w:after="0" w:line="18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defined below)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151"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Series 2 Units</w:t>
      </w:r>
    </w:p>
    <w:p>
      <w:pPr>
        <w:spacing w:after="0" w:line="189" w:lineRule="exact"/>
        <w:rPr>
          <w:sz w:val="20"/>
          <w:szCs w:val="20"/>
          <w:color w:val="auto"/>
        </w:rPr>
      </w:pPr>
    </w:p>
    <w:p>
      <w:pPr>
        <w:jc w:val="both"/>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Investor Rights Agreement</w:t>
      </w:r>
    </w:p>
    <w:p>
      <w:pPr>
        <w:spacing w:after="0" w:line="202"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terms of the Business Combination Agreement, at the Closing, Innventure and Founding Investors entered into the Investor Rights Agreement. See the section entitled “ </w:t>
      </w:r>
      <w:r>
        <w:rPr>
          <w:rFonts w:ascii="Times New Roman" w:cs="Times New Roman" w:eastAsia="Times New Roman" w:hAnsi="Times New Roman"/>
          <w:sz w:val="18"/>
          <w:szCs w:val="18"/>
          <w:i w:val="1"/>
          <w:iCs w:val="1"/>
          <w:color w:val="auto"/>
        </w:rPr>
        <w:t>Director Nominations—Agreements to Nominate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Directors</w:t>
      </w:r>
      <w:r>
        <w:rPr>
          <w:rFonts w:ascii="Times New Roman" w:cs="Times New Roman" w:eastAsia="Times New Roman" w:hAnsi="Times New Roman"/>
          <w:sz w:val="18"/>
          <w:szCs w:val="18"/>
          <w:color w:val="auto"/>
        </w:rPr>
        <w:t>” in Item 10 for more information.</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Lock-Up Agreements</w:t>
      </w:r>
    </w:p>
    <w:p>
      <w:pPr>
        <w:spacing w:after="0" w:line="189"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members of Innventure LLC (the “MSA Lock-Up Parties”) entered into a Member Support Agreement (the “Member Support Agreement”) with Learn CW, Innventure, and Holdco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60" w:lineRule="exact"/>
        <w:rPr>
          <w:sz w:val="20"/>
          <w:szCs w:val="20"/>
          <w:color w:val="auto"/>
        </w:rPr>
      </w:pPr>
    </w:p>
    <w:p>
      <w:pPr>
        <w:ind w:left="40" w:right="299" w:firstLine="648"/>
        <w:spacing w:after="0" w:line="255" w:lineRule="auto"/>
        <w:rPr>
          <w:sz w:val="20"/>
          <w:szCs w:val="20"/>
          <w:color w:val="auto"/>
        </w:rPr>
      </w:pPr>
      <w:r>
        <w:rPr>
          <w:rFonts w:ascii="Times New Roman" w:cs="Times New Roman" w:eastAsia="Times New Roman" w:hAnsi="Times New Roman"/>
          <w:sz w:val="18"/>
          <w:szCs w:val="18"/>
          <w:color w:val="auto"/>
        </w:rPr>
        <w:t>Pursuant to Innventure’s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Certificate of Incorporation lapsed with respect to the shares of Common Stock held by the former holders of membership interests, warrants, or other equity interests of Innventure LLC.</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insiders of Innventure entered into</w:t>
      </w:r>
    </w:p>
    <w:p>
      <w:pPr>
        <w:sectPr>
          <w:pgSz w:w="11900" w:h="16838" w:orient="portrait"/>
          <w:cols w:equalWidth="0" w:num="1">
            <w:col w:w="9019"/>
          </w:cols>
          <w:pgMar w:left="1440" w:top="108" w:right="1440" w:bottom="0" w:gutter="0" w:footer="0" w:header="0"/>
        </w:sectPr>
      </w:pPr>
    </w:p>
    <w:bookmarkStart w:id="23" w:name="page24"/>
    <w:bookmarkEnd w:id="23"/>
    <w:p>
      <w:pPr>
        <w:spacing w:after="0" w:line="57" w:lineRule="exact"/>
        <w:rPr>
          <w:sz w:val="20"/>
          <w:szCs w:val="20"/>
          <w:color w:val="auto"/>
        </w:rPr>
      </w:pPr>
    </w:p>
    <w:p>
      <w:pPr>
        <w:ind w:left="40" w:right="159"/>
        <w:spacing w:after="0" w:line="222" w:lineRule="auto"/>
        <w:rPr>
          <w:sz w:val="20"/>
          <w:szCs w:val="20"/>
          <w:color w:val="auto"/>
        </w:rPr>
      </w:pPr>
      <w:r>
        <w:rPr>
          <w:rFonts w:ascii="Times New Roman" w:cs="Times New Roman" w:eastAsia="Times New Roman" w:hAnsi="Times New Roman"/>
          <w:sz w:val="18"/>
          <w:szCs w:val="18"/>
          <w:color w:val="auto"/>
        </w:rPr>
        <w:t>lock-up agreements, pursuant to which such persons have agreed to restrictions on the transfer of their shares of Common Stock, subject to certain exceptions, for a period ending upon the earlier of (A) the expiration of one year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shares of Common Stock for cash securities or other property.</w:t>
      </w:r>
    </w:p>
    <w:p>
      <w:pPr>
        <w:spacing w:after="0" w:line="14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Learn CW’s initial public offering, Learn CW entered into a Letter Agreement (the “2021 Letter Agreement”), dated October 7, 2021, among Learn CW and its officers, directors, director nominees and the CWAM Sponsor LLC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Family Relationship</w:t>
      </w:r>
    </w:p>
    <w:p>
      <w:pPr>
        <w:spacing w:after="0" w:line="189"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 Colin Scott earned $325 and $216 for the years ended December 31, 2024 and 2023, respectively.</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Aircraft Time Sharing Agreements</w:t>
      </w:r>
    </w:p>
    <w:p>
      <w:pPr>
        <w:spacing w:after="0" w:line="202" w:lineRule="exact"/>
        <w:rPr>
          <w:sz w:val="20"/>
          <w:szCs w:val="20"/>
          <w:color w:val="auto"/>
        </w:rPr>
      </w:pPr>
    </w:p>
    <w:p>
      <w:pPr>
        <w:ind w:left="40" w:right="619" w:firstLine="648"/>
        <w:spacing w:after="0" w:line="312" w:lineRule="auto"/>
        <w:rPr>
          <w:sz w:val="20"/>
          <w:szCs w:val="20"/>
          <w:color w:val="auto"/>
        </w:rPr>
      </w:pPr>
      <w:r>
        <w:rPr>
          <w:rFonts w:ascii="Times New Roman" w:cs="Times New Roman" w:eastAsia="Times New Roman" w:hAnsi="Times New Roman"/>
          <w:sz w:val="17"/>
          <w:szCs w:val="17"/>
          <w:color w:val="auto"/>
        </w:rPr>
        <w:t>On May 6, 2024, Innventure LLC entered into aircraft time sharing agreements with entities affiliated with Michael Otworth and John Scott, each of whom owns a partial interest in a private airplane, whereby they, as partial</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Bridge Financing</w:t>
      </w:r>
    </w:p>
    <w:p>
      <w:pPr>
        <w:spacing w:after="0" w:line="202"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7"/>
          <w:szCs w:val="17"/>
          <w:color w:val="auto"/>
        </w:rPr>
        <w:t>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w:t>
      </w:r>
    </w:p>
    <w:p>
      <w:pPr>
        <w:spacing w:after="0" w:line="2" w:lineRule="exact"/>
        <w:rPr>
          <w:sz w:val="20"/>
          <w:szCs w:val="20"/>
          <w:color w:val="auto"/>
        </w:rPr>
      </w:pPr>
    </w:p>
    <w:p>
      <w:pPr>
        <w:ind w:left="40" w:right="119" w:firstLine="9"/>
        <w:spacing w:after="0" w:line="252" w:lineRule="auto"/>
        <w:tabs>
          <w:tab w:leader="none" w:pos="3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4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1, 2024, the Company and the Glockner Lender amended and restated the Glockner Bridge Note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amended, the “A&amp;R Glockner Bridge Note”). The A&amp;R Glockner Bridge Note was issued in the principal amount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 and such borrowings are due upon the earlier of January 31, 2025 and the first business day following the date 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which the Company has sufficient capital to be able to repay all amounts outstanding under such note and otherwise meet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expected working capital needs, as determined by the Company in its reasonable discretion. From and after the issuance</w:t>
      </w:r>
    </w:p>
    <w:p>
      <w:pPr>
        <w:sectPr>
          <w:pgSz w:w="11900" w:h="16895" w:orient="portrait"/>
          <w:cols w:equalWidth="0" w:num="1">
            <w:col w:w="9019"/>
          </w:cols>
          <w:pgMar w:left="1440" w:top="108" w:right="1440" w:bottom="0" w:gutter="0" w:footer="0" w:header="0"/>
        </w:sectPr>
      </w:pPr>
    </w:p>
    <w:bookmarkStart w:id="24" w:name="page25"/>
    <w:bookmarkEnd w:id="24"/>
    <w:p>
      <w:pPr>
        <w:ind w:left="40" w:right="139"/>
        <w:spacing w:after="0" w:line="254" w:lineRule="auto"/>
        <w:rPr>
          <w:sz w:val="20"/>
          <w:szCs w:val="20"/>
          <w:color w:val="auto"/>
        </w:rPr>
      </w:pPr>
      <w:r>
        <w:rPr>
          <w:rFonts w:ascii="Times New Roman" w:cs="Times New Roman" w:eastAsia="Times New Roman" w:hAnsi="Times New Roman"/>
          <w:sz w:val="18"/>
          <w:szCs w:val="18"/>
          <w:color w:val="auto"/>
        </w:rPr>
        <w:t>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-1231265</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142"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 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8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our 2024 Annual Report, filed with the SEC on April 14, 2025. The indemnification agreements require Innventure to indemnify its directors and executive officers to the fullest extent permitted by Delaware law.</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parties.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Such policy requires, among other things, that:</w:t>
      </w:r>
    </w:p>
    <w:p>
      <w:pPr>
        <w:spacing w:after="0" w:line="166" w:lineRule="exact"/>
        <w:rPr>
          <w:sz w:val="20"/>
          <w:szCs w:val="20"/>
          <w:color w:val="auto"/>
        </w:rPr>
      </w:pPr>
    </w:p>
    <w:p>
      <w:pPr>
        <w:ind w:left="1020" w:hanging="32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party transactions;</w:t>
      </w:r>
    </w:p>
    <w:p>
      <w:pPr>
        <w:spacing w:after="0" w:line="184" w:lineRule="exact"/>
        <w:rPr>
          <w:rFonts w:ascii="Times New Roman" w:cs="Times New Roman" w:eastAsia="Times New Roman" w:hAnsi="Times New Roman"/>
          <w:sz w:val="18"/>
          <w:szCs w:val="18"/>
          <w:color w:val="auto"/>
        </w:rPr>
      </w:pPr>
    </w:p>
    <w:p>
      <w:pPr>
        <w:ind w:left="1020" w:right="259" w:hanging="32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52" w:lineRule="exact"/>
        <w:rPr>
          <w:rFonts w:ascii="Times New Roman" w:cs="Times New Roman" w:eastAsia="Times New Roman" w:hAnsi="Times New Roman"/>
          <w:sz w:val="18"/>
          <w:szCs w:val="18"/>
          <w:color w:val="auto"/>
        </w:rPr>
      </w:pPr>
    </w:p>
    <w:p>
      <w:pPr>
        <w:ind w:left="1020" w:right="119" w:hanging="32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135" w:lineRule="exact"/>
        <w:rPr>
          <w:rFonts w:ascii="Times New Roman" w:cs="Times New Roman" w:eastAsia="Times New Roman" w:hAnsi="Times New Roman"/>
          <w:sz w:val="18"/>
          <w:szCs w:val="18"/>
          <w:color w:val="auto"/>
        </w:rPr>
      </w:pPr>
    </w:p>
    <w:p>
      <w:pPr>
        <w:ind w:left="1020" w:right="179" w:hanging="32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party transaction will be ongoing, the Audit Committee may establish guidelines for Innventure’s management to follow in its ongoing dealings with the related party.</w:t>
      </w:r>
    </w:p>
    <w:p>
      <w:pPr>
        <w:spacing w:after="0" w:line="121" w:lineRule="exact"/>
        <w:rPr>
          <w:sz w:val="20"/>
          <w:szCs w:val="20"/>
          <w:color w:val="auto"/>
        </w:rPr>
      </w:pPr>
    </w:p>
    <w:p>
      <w:pPr>
        <w:ind w:left="40" w:right="379" w:firstLine="648"/>
        <w:spacing w:after="0" w:line="261" w:lineRule="auto"/>
        <w:rPr>
          <w:sz w:val="20"/>
          <w:szCs w:val="20"/>
          <w:color w:val="auto"/>
        </w:rPr>
      </w:pPr>
      <w:r>
        <w:rPr>
          <w:rFonts w:ascii="Times New Roman" w:cs="Times New Roman" w:eastAsia="Times New Roman" w:hAnsi="Times New Roman"/>
          <w:sz w:val="18"/>
          <w:szCs w:val="18"/>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ectPr>
          <w:pgSz w:w="11900" w:h="16838" w:orient="portrait"/>
          <w:cols w:equalWidth="0" w:num="1">
            <w:col w:w="9019"/>
          </w:cols>
          <w:pgMar w:left="1440" w:top="108"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10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0" w:right="79"/>
        <w:spacing w:after="0" w:line="286" w:lineRule="auto"/>
        <w:rPr>
          <w:sz w:val="20"/>
          <w:szCs w:val="20"/>
          <w:color w:val="auto"/>
        </w:rPr>
      </w:pPr>
      <w:r>
        <w:rPr>
          <w:rFonts w:ascii="Times New Roman" w:cs="Times New Roman" w:eastAsia="Times New Roman" w:hAnsi="Times New Roman"/>
          <w:sz w:val="18"/>
          <w:szCs w:val="18"/>
          <w:b w:val="1"/>
          <w:bCs w:val="1"/>
          <w:color w:val="auto"/>
        </w:rPr>
        <w:t>PROPOSAL TWO—RATIFY BDO USA, P.C. AS OUR INDEPENDENT REGISTERED PUBLIC ACCOUNTING FIRM FOR THE FISCAL YEAR ENDING DECEMBER 21, 2025</w:t>
      </w:r>
    </w:p>
    <w:p>
      <w:pPr>
        <w:spacing w:after="0" w:line="11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registered public accounting firm for the fiscal year ending December 31, 2025, and we are submitting that appointment to our stockholders for ratification on an advisory basis at the meeting. Although shareholder ratification of BDO’s appointment is not legally required, we are submitting this matter to our stockholders, as a matter of good corporate practice. In determining whether to appoint BDO as our independent registered public accounting firm, the Audit Committee considered a number of factors, including, among others, the firm’s qualifications, industry expertise, prior performance, control procedures, proposed staffing and the reasonableness of its fees on an absolute basis and as compared with fees paid by comparable companies.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left="40" w:right="27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ratification of the appointment of BDO as our independent registered public accounting firm for the fiscal year ending December 31, 2025.</w:t>
      </w:r>
    </w:p>
    <w:p>
      <w:pPr>
        <w:spacing w:after="0" w:line="118"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If stockholders fail to vote on an advisory basis in favor of the appointment, the Audit Committee will reconsider whether to retain BDO and may appoint that firm or another without re-submitting the matter to the stockholders. Even if stockholders ratify the appointment, the Audit Committee may, in its discretion, select a different independent registered public accounting firm at any time during the year if it determines that such a change would be in the Company’s best interests.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319" w:firstLine="648"/>
        <w:spacing w:after="0" w:line="258" w:lineRule="auto"/>
        <w:rPr>
          <w:sz w:val="20"/>
          <w:szCs w:val="20"/>
          <w:color w:val="auto"/>
        </w:rPr>
      </w:pPr>
      <w:r>
        <w:rPr>
          <w:rFonts w:ascii="Times New Roman" w:cs="Times New Roman" w:eastAsia="Times New Roman" w:hAnsi="Times New Roman"/>
          <w:sz w:val="18"/>
          <w:szCs w:val="18"/>
          <w:color w:val="auto"/>
        </w:rPr>
        <w:t>The ratification of the appointment of BDO as our independent registered public accounting firm for the fiscal year ending December 31, 2025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0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tax fees, and all other fees billed for services by BDO USA, P.C. for the years ended December 31, 2024 and 2023. All audit and non-audit services provided to the Company by the independent registered public accounting firm are pre-approved by the Audit Committee, and the Audit Committee considers the provision of such non-audit services when evaluating the accounting firm’s independence. The Audit Committee pre-approved all services and fees charged by BDO USA, P.C. as the Company’s independent registered public accounting firm to the Company in 2024 after the completion of the Business Combination.</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w w:val="99"/>
              </w:rPr>
              <w:t>Audit Fees</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981,547</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400,903</w:t>
            </w: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18"/>
                <w:szCs w:val="18"/>
                <w:color w:val="B4B4B4"/>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8"/>
                <w:szCs w:val="18"/>
                <w:color w:val="B4B4B4"/>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w w:val="99"/>
              </w:rPr>
              <w:t>All Other Fees</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108,387</w:t>
            </w: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Total Fees </w:t>
            </w:r>
            <w:r>
              <w:rPr>
                <w:rFonts w:ascii="Times New Roman" w:cs="Times New Roman" w:eastAsia="Times New Roman" w:hAnsi="Times New Roman"/>
                <w:sz w:val="18"/>
                <w:szCs w:val="18"/>
                <w:color w:val="B4B4B4"/>
              </w:rPr>
              <w: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1,089,934</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119" w:hanging="331"/>
        <w:spacing w:after="0" w:line="239" w:lineRule="auto"/>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professional services rendered for the audit of the Company’s annual consolidated financial statements and review of the consolidated financial statements included in the Company’s Quarterly Report on Form 10-Q, issuances of comfort letters and consents for securities offerings and for other services that only the Company’s independent registered public accounting firm can reasonably provide.</w:t>
      </w:r>
    </w:p>
    <w:p>
      <w:pPr>
        <w:spacing w:after="0" w:line="33" w:lineRule="exact"/>
        <w:rPr>
          <w:rFonts w:ascii="Times New Roman" w:cs="Times New Roman" w:eastAsia="Times New Roman" w:hAnsi="Times New Roman"/>
          <w:sz w:val="21"/>
          <w:szCs w:val="21"/>
          <w:color w:val="auto"/>
          <w:vertAlign w:val="superscript"/>
        </w:rPr>
      </w:pPr>
    </w:p>
    <w:p>
      <w:pPr>
        <w:ind w:left="380" w:right="99" w:hanging="331"/>
        <w:spacing w:after="0" w:line="232" w:lineRule="auto"/>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fees for all services other than those covered above under “Audit Fees.” No such fees existed for the year ended December 31, 2023.</w:t>
      </w:r>
    </w:p>
    <w:p>
      <w:pPr>
        <w:sectPr>
          <w:pgSz w:w="11900" w:h="16838" w:orient="portrait"/>
          <w:cols w:equalWidth="0" w:num="1">
            <w:col w:w="9019"/>
          </w:cols>
          <w:pgMar w:left="1440" w:top="1440" w:right="1440" w:bottom="0" w:gutter="0" w:footer="0" w:header="0"/>
          <w:type w:val="continuous"/>
        </w:sectPr>
      </w:pP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BDO has advised us that one or more of its partners will be present at the meeting. We understand that these</w:t>
      </w:r>
    </w:p>
    <w:p>
      <w:pPr>
        <w:sectPr>
          <w:pgSz w:w="11900" w:h="16838" w:orient="portrait"/>
          <w:cols w:equalWidth="0" w:num="1">
            <w:col w:w="9019"/>
          </w:cols>
          <w:pgMar w:left="1440" w:top="1440" w:right="1440" w:bottom="0" w:gutter="0" w:footer="0" w:header="0"/>
          <w:type w:val="continuous"/>
        </w:sectPr>
      </w:pPr>
    </w:p>
    <w:bookmarkStart w:id="26" w:name="page27"/>
    <w:bookmarkEnd w:id="26"/>
    <w:p>
      <w:pPr>
        <w:ind w:left="40" w:right="339"/>
        <w:spacing w:after="0" w:line="215" w:lineRule="auto"/>
        <w:rPr>
          <w:sz w:val="20"/>
          <w:szCs w:val="20"/>
          <w:color w:val="auto"/>
        </w:rPr>
      </w:pPr>
      <w:r>
        <w:rPr>
          <w:rFonts w:ascii="Times New Roman" w:cs="Times New Roman" w:eastAsia="Times New Roman" w:hAnsi="Times New Roman"/>
          <w:sz w:val="15"/>
          <w:szCs w:val="15"/>
          <w:color w:val="auto"/>
        </w:rPr>
        <w:t>repres</w:t>
      </w:r>
      <w:r>
        <w:rPr>
          <w:rFonts w:ascii="Times New Roman" w:cs="Times New Roman" w:eastAsia="Times New Roman" w:hAnsi="Times New Roman"/>
          <w:sz w:val="28"/>
          <w:szCs w:val="28"/>
          <w:color w:val="auto"/>
          <w:vertAlign w:val="superscript"/>
        </w:rPr>
        <w:t>e</w:t>
      </w:r>
      <w:r>
        <w:rPr>
          <w:rFonts w:ascii="Times New Roman" w:cs="Times New Roman" w:eastAsia="Times New Roman" w:hAnsi="Times New Roman"/>
          <w:sz w:val="15"/>
          <w:szCs w:val="15"/>
          <w:color w:val="auto"/>
        </w:rPr>
        <w:t>ntatives will be available to respond to appropriate questions and will have an opportunity to make a statement if they d sire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96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6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Audit Committee approved and the Board ratified, the appointment of BDO as the Company’s independent registered public accounting firm, subject to satisfactory completion of their client acceptance procedures. BDO served as Innventure’s independent registered public accounting firm prior to the Business Combination. Accordingly, following the filing of the Company’s Quarterly Report on Form 10-Q for the quarter ended September 30, 2023, we dismissed Marcum, LLP (“Marcum”) as Learn CW’s and our independent registered public accounting firm.</w:t>
      </w:r>
    </w:p>
    <w:p>
      <w:pPr>
        <w:spacing w:after="0" w:line="16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Learn CW’s balance sheets as of December 31, 2023 and 2022 and the related statements of operations, changes in stockholders’ equity and cash flows for the years ended December 31, 2023 and 2022 and the related notes (collectively referred to as the “Learn CW financial statements”) did not contain any adverse opinion or a disclaimer of opinion, nor were they qualified or modified as to uncertainty, audit scope, or accounting principles.</w:t>
      </w:r>
    </w:p>
    <w:p>
      <w:pPr>
        <w:spacing w:after="0" w:line="13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the Learn CW financial statements contained an explanatory paragraph which noted that there was substantial doubt as to Learn CW’s ability to continue as a going concern as Learn CW had no approved plan in place to extend the business combination deadline and fund operations for any period of time after October 13, 2024, in the event that it was unable to complete a business combination by that date.</w:t>
      </w:r>
    </w:p>
    <w:p>
      <w:pPr>
        <w:spacing w:after="0" w:line="13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there were no (i) disagreements with Marcum on any matter of accounting principles or practices, financial statement disclosure, or auditing scope or procedure, which disagreements if not resolved to their satisfaction, would have caused them to make reference to the subject matter of the disagreement in connection with their report, or (ii) reportable events (as described in Item 304(a)(1)(v) of Regulation S-K).</w:t>
      </w:r>
    </w:p>
    <w:p>
      <w:pPr>
        <w:spacing w:after="0" w:line="156"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neither Learn CW nor anyone on its behalf consulted BDO regarding either (i) the application of accounting principles to a specified transaction, either completed or proposed, or the type of audit opinion that might be rendered on Learn CW’s financial statements, and neither a written report nor oral advice was provided to Learn CW that BDO concluded was an important factor considered by Learn CW in reaching a decision as to any accounting, auditing or financial reporting issue, or (ii) any matter that was either the subject of a “disagreement” or a “reportable event,” each as defined in Regulation S-K Item 304(a)(1)(iv) and 304(a)(1)(v), respectively.</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year ended December 31, 2024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Innventure’s 2024 Annual Report.</w:t>
      </w:r>
    </w:p>
    <w:p>
      <w:pPr>
        <w:spacing w:after="0" w:line="1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James O. Donnally (Chair)</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Daniel J. Hennessy</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164"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Innventure under the Securities Act of 1933, as amended, or the Exchange Act, whether made before or after the date hereof and irrespective of any general incorporation language in any such filing.</w:t>
      </w:r>
    </w:p>
    <w:p>
      <w:pPr>
        <w:sectPr>
          <w:pgSz w:w="11900" w:h="16838" w:orient="portrait"/>
          <w:cols w:equalWidth="0" w:num="1">
            <w:col w:w="9019"/>
          </w:cols>
          <w:pgMar w:left="1440" w:top="108" w:right="1440" w:bottom="5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16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108" w:right="1440" w:bottom="528"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PROPOSAL THREE—SEPA SHARE ISSUANCE PROPOSAL</w:t>
      </w:r>
    </w:p>
    <w:p>
      <w:pPr>
        <w:spacing w:after="0" w:line="189"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SEPA Exchange Cap (as defined below). As of the Record Date, we had issued 208,993 shares of Common Stock to Yorkville pursuant to the SEPA at prices ranging from $11.93 to $12.86 per share.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7"/>
          <w:szCs w:val="17"/>
          <w:color w:val="auto"/>
        </w:rPr>
        <w:t>On October 24, 2023, we entered into the SEPA with Yorkville. Pursuant to the SEPA, we have the right, but not the obligation, to sell to Yorkville up to $75.0 million (the “Commitment Amount”) of shares of Common Stock at our request any time during the 36 months following the Closing of the Business Combination. At our option, the shares would be purchased at a purchase price determined by multiplying the market price of the shares of Common Stock by either (i) 95% of the daily VWAP (as defined below) during the applicable one-day pricing period (the “Option 1 Pricing Period”) or</w:t>
      </w:r>
    </w:p>
    <w:p>
      <w:pPr>
        <w:spacing w:after="0" w:line="3" w:lineRule="exact"/>
        <w:rPr>
          <w:sz w:val="20"/>
          <w:szCs w:val="20"/>
          <w:color w:val="auto"/>
        </w:rPr>
      </w:pPr>
    </w:p>
    <w:p>
      <w:pPr>
        <w:ind w:left="40" w:right="159" w:firstLine="9"/>
        <w:spacing w:after="0" w:line="252"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of the lowest daily VWAP during the applicable three consecutive trading day pricing period (the “Option 2 Pricing Period”). We may also specify a certain minimum acceptable price per share in each sale that we request under the SEPA (an “Advance”) below which we will not be obligated to make any sales to Yorkville. “VWAP” means, for any trading day, the daily volume weighted average price of the Common Stock for such date on Nasdaq as reported by Bloomberg L.P. during regular trading hours or, for a specified period, the volume weighted average price of the Common Stock on Nasdaq, for such period as reported by Bloomberg L.P. through its “AQR” function.</w:t>
      </w:r>
    </w:p>
    <w:p>
      <w:pPr>
        <w:spacing w:after="0" w:line="149"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Each Advance may be for the greater of (i) 100% of the aggregate daily trading volume of the Common Stock during the five trading days preceding the Advance notice or (ii) $10.0 million.</w:t>
      </w:r>
    </w:p>
    <w:p>
      <w:pPr>
        <w:spacing w:after="0" w:line="135"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We may not issue shares of Common Stock to Yorkville pursuant to the SEPA to the extent that, as a result of previous issuances and sales of shares of Common Stock to Yorkville under the SEPA, it would result in Yorkville and its affiliates having beneficial ownership of more than 9.99% of the then outstanding shares of Common Stock. Moreover, under the applicable Nasdaq Listing Rules and pursuant to the SEPA, Yorkville may not purchase more than 9,899,582 shares of Common Stock under the SEPA without obtaining stockholder approval, or 19.99% of the shares of Common Stock outstanding as of the date of the Closing of the Business Combination (the “SEPA Exchange Cap”). The SEPA Exchange Cap will not apply under certain circumstances, including if our stockholders have approved issuances in excess of the SEPA Exchange Cap in accordance with the rules of Nasdaq or the average price of all applicable sales of Common Stock under the SEPA equals or exceeds certain minimum prices.</w:t>
      </w:r>
    </w:p>
    <w:p>
      <w:pPr>
        <w:spacing w:after="0" w:line="148"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As consideration for Yorkville’s commitment to purchase shares of Common Stock at our direction upon the terms and subject to the conditions set forth in the SEPA, we paid Yorkville certain fees, including a commitment fee in an amount equal to $375,000.</w:t>
      </w:r>
    </w:p>
    <w:p>
      <w:pPr>
        <w:spacing w:after="0" w:line="135"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Yorkville’s obligation to purchase shares of Common Stock pursuant to the SEPA is subject to a number of conditions, including that a registration statement be filed with the SEC, registering the shares to be issued pursuant to an Advance under the Securities Act, and that the Registration Statement is declared effective by the SEC. We filed the registration statement on November 4, 2024, and received notice of effectiveness on November 12, 2024. Furthermore, we filed a post-effective amendment to the registration statement on April 15, 2025, which was declared effective on April 23, 2025.</w:t>
      </w:r>
    </w:p>
    <w:p>
      <w:pPr>
        <w:spacing w:after="0" w:line="16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Securities Purchase Agreement (as defined below), we agreed that for so long as any amounts remain outstanding under the Convertible Debentures, if we request an Advance then, unless otherwise agreed by Yorkville, (1) we may only request an Option 2 Pricing Period in such Advance, and, (2) all of the proceeds from such Advance shall be used as an Advance Payment (as defined in the Convertible Debentures), provided that, if all the following conditions have been satisfied with respect to any Advance, then then the proceeds of such Advance shall be paid to us: (A) the Commitment Amount remaining available (after taking into account the subject Advance) exceeds 110% of the aggregate principal amount outstanding under the Convertible Debentures, (B) all monthly payments under the Convertible Debentures that have come due and that are coming due within 31 calendar days following the closing of the subject Advance shall have been repaid, (C) the market value of the number of shares of Common Stock that remain available for issuance under the Convertible Debenture Exchange Cap (as defined below) is at least 200% of the aggregate principal amount outstanding under the Convertible Debentures, and (D) the market value of the number of shares of Common Stock issuable under the SEPA that remain registered for resale by Yorkville pursuant to an effective registration statement is at least 200% of the aggregate principal amount outstanding under the Convertible Debentures.</w:t>
      </w:r>
    </w:p>
    <w:p>
      <w:pPr>
        <w:spacing w:after="0" w:line="147" w:lineRule="exact"/>
        <w:rPr>
          <w:sz w:val="20"/>
          <w:szCs w:val="20"/>
          <w:color w:val="auto"/>
        </w:rPr>
      </w:pPr>
    </w:p>
    <w:p>
      <w:pPr>
        <w:ind w:left="40" w:right="539"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the SEPA is contained in our 2024 Annual Report and is incorporated by reference herein.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1687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w:t>
      </w:r>
    </w:p>
    <w:p>
      <w:pPr>
        <w:sectPr>
          <w:pgSz w:w="11900" w:h="16838" w:orient="portrait"/>
          <w:cols w:equalWidth="0" w:num="1">
            <w:col w:w="9019"/>
          </w:cols>
          <w:pgMar w:left="1440" w:top="414" w:right="1440" w:bottom="0" w:gutter="0" w:footer="0" w:header="0"/>
        </w:sectPr>
      </w:pPr>
    </w:p>
    <w:bookmarkStart w:id="28" w:name="page29"/>
    <w:bookmarkEnd w:id="28"/>
    <w:p>
      <w:pPr>
        <w:ind w:left="40" w:right="79"/>
        <w:spacing w:after="0" w:line="188" w:lineRule="auto"/>
        <w:rPr>
          <w:sz w:val="20"/>
          <w:szCs w:val="20"/>
          <w:color w:val="auto"/>
        </w:rPr>
      </w:pPr>
      <w:r>
        <w:rPr>
          <w:rFonts w:ascii="Times New Roman" w:cs="Times New Roman" w:eastAsia="Times New Roman" w:hAnsi="Times New Roman"/>
          <w:sz w:val="16"/>
          <w:szCs w:val="16"/>
          <w:color w:val="auto"/>
        </w:rPr>
        <w:t>Nasdaq.com) for the five trading days immediately preceding the signing of the binding agreement (the “Minimum Price”). On October 23, 2023, the date immediately preceding the date of the execution of the SEPA, our Common Stock was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-161925</wp:posOffset>
            </wp:positionV>
            <wp:extent cx="7016115" cy="737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yet trading on Nasdaq.</w:t>
      </w:r>
    </w:p>
    <w:p>
      <w:pPr>
        <w:spacing w:after="0" w:line="180"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143"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Until this Proposal 3 is approved by our stockholders, Yorkville may not purchase more than 9,899,582 shares of Common Stock pursuant to the SEPA, representing 19.99% of the shares of Common Stock outstanding as of the date of the Closing of the Business Combination. Stockholder approval of this Proposal 3 will constitute stockholder approval for purposes of Nasdaq Listing Rules 5635(d) and 5635(b).</w:t>
      </w:r>
    </w:p>
    <w:p>
      <w:pPr>
        <w:spacing w:after="0" w:line="139"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Our Board has determined that the SEPA and our ability to issue the shares of Common Stock thereunder in excess of the SEPA Exchange Cap are in the best interests of the Company and its stockholders because the ability to sell shares of Common Stock to Yorkville provides us with a reliable source of capital for general corporate purposes, which may include, but are not limited to, funding working capital, capital expenditures and operating expenses, including the expenses for the Innventure Companies and, together with the subsidiary companies that we may found, fund, and operate going forward, the “Operating Companies”.</w:t>
      </w:r>
    </w:p>
    <w:p>
      <w:pPr>
        <w:spacing w:after="0" w:line="160" w:lineRule="exact"/>
        <w:rPr>
          <w:sz w:val="20"/>
          <w:szCs w:val="20"/>
          <w:color w:val="auto"/>
        </w:rPr>
      </w:pPr>
    </w:p>
    <w:p>
      <w:pPr>
        <w:jc w:val="both"/>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number of shares of Common Stock to be issued under the SEPA or whether the applicable price for any such shares will be greater than the Minimum Price under the applicable Nasdaq Listing Rules.</w:t>
      </w:r>
    </w:p>
    <w:p>
      <w:pPr>
        <w:spacing w:after="0" w:line="135"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3 to issue shares of Common Stock in excess of the SEPA Exchange Cap, if necessary, to Yorkville under the terms of the SEPA. The failure of our stockholders to approve this Proposal 3 will prevent us from selling, at less than the Minimum Price, shares of Common Stock to Yorkville in excess of the SEPA Exchange Cap. However, it would be possible to sell shares to Yorkville in excess of the SEPA Exchange Cap if the sale of shares covered by any Advance is equal to or greater than the Minimum Price for such Advance. As of the close of business on the Record Date, the price of the Common Stock was $4.42 per share.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20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Upon stockholder approval of this Proposal 3, the issuance of shares of Common Stock under the SEPA will not be subject to the SEPA Exchange Cap and such issuance of shares would dilute, and thereby reduce, each existing stockholder’s proportionate ownership in the Common Stock. Because the number of shares of Common Stock that may be issued to Yorkville pursuant to the SEPA is determined based on the price of our Common Stock at the time of issuance, the exact magnitude of the dilutive effect cannot be conclusively determined. However, the dilutive effect may be material to our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05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For illustrative purposes only, the table below shows the maximum number of shares of Common Stock that would be issuable under the SEPA at various assumed effective sale prices per share. This example is based on the original SEPA Commitment Amount of $75.0 million.</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4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Assumed Sale Price per Share</w:t>
            </w: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Maximum Shares of Common Stock Issuable Under the SEPA</w:t>
            </w:r>
          </w:p>
        </w:tc>
      </w:tr>
      <w:tr>
        <w:trPr>
          <w:trHeight w:val="34"/>
        </w:trPr>
        <w:tc>
          <w:tcPr>
            <w:tcW w:w="34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60" w:type="dxa"/>
            <w:vAlign w:val="bottom"/>
            <w:tcBorders>
              <w:top w:val="single" w:sz="8" w:color="auto"/>
            </w:tcBorders>
          </w:tcPr>
          <w:p>
            <w:pPr>
              <w:spacing w:after="0"/>
              <w:rPr>
                <w:sz w:val="2"/>
                <w:szCs w:val="2"/>
                <w:color w:val="auto"/>
              </w:rPr>
            </w:pP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25,000,000</w:t>
            </w:r>
          </w:p>
        </w:tc>
      </w:tr>
      <w:tr>
        <w:trPr>
          <w:trHeight w:val="27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4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18,750,000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15,000,000</w:t>
            </w:r>
          </w:p>
        </w:tc>
      </w:tr>
      <w:tr>
        <w:trPr>
          <w:trHeight w:val="27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4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10,714,285</w:t>
            </w:r>
          </w:p>
        </w:tc>
      </w:tr>
      <w:tr>
        <w:trPr>
          <w:trHeight w:val="27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4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9,375,000</w:t>
            </w:r>
          </w:p>
        </w:tc>
      </w:tr>
      <w:tr>
        <w:trPr>
          <w:trHeight w:val="270"/>
        </w:trPr>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40" w:type="dxa"/>
            <w:vAlign w:val="bottom"/>
            <w:shd w:val="clear" w:color="auto" w:fill="CCEEFF"/>
          </w:tcPr>
          <w:p>
            <w:pPr>
              <w:spacing w:after="0"/>
              <w:rPr>
                <w:sz w:val="23"/>
                <w:szCs w:val="23"/>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8,333,333</w:t>
            </w:r>
          </w:p>
        </w:tc>
      </w:tr>
      <w:tr>
        <w:trPr>
          <w:trHeight w:val="270"/>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7,500,000</w:t>
            </w:r>
          </w:p>
        </w:tc>
      </w:tr>
    </w:tbl>
    <w:p>
      <w:pPr>
        <w:spacing w:after="0" w:line="200" w:lineRule="exact"/>
        <w:rPr>
          <w:sz w:val="20"/>
          <w:szCs w:val="20"/>
          <w:color w:val="auto"/>
        </w:rPr>
      </w:pPr>
    </w:p>
    <w:p>
      <w:pPr>
        <w:sectPr>
          <w:pgSz w:w="11900" w:h="16838" w:orient="portrait"/>
          <w:cols w:equalWidth="0" w:num="1">
            <w:col w:w="9019"/>
          </w:cols>
          <w:pgMar w:left="1440" w:top="108" w:right="1440" w:bottom="0" w:gutter="0" w:footer="0" w:header="0"/>
        </w:sectPr>
      </w:pP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ectPr>
          <w:pgSz w:w="11900" w:h="16838" w:orient="portrait"/>
          <w:cols w:equalWidth="0" w:num="1">
            <w:col w:w="9019"/>
          </w:cols>
          <w:pgMar w:left="1440" w:top="108" w:right="1440" w:bottom="0" w:gutter="0" w:footer="0" w:header="0"/>
          <w:type w:val="continuous"/>
        </w:sectPr>
      </w:pPr>
    </w:p>
    <w:bookmarkStart w:id="29" w:name="page30"/>
    <w:bookmarkEnd w:id="29"/>
    <w:p>
      <w:pPr>
        <w:spacing w:after="0" w:line="16"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If this Proposal 3 is not approved by our stockholders at the Annual Meeting, it may impair our working capital and our ability to fund capital expenditures and operating expenses, including the expenses for the Innventure Companies and the Operating Companies. Our Board has determined that the SEPA, with such modifications, amendments, or changes (consistent with the intent and purpose of this proposal) agreed upon by the parties to the SEPA, and in accordance with the stockholder approval requirements of Nasdaq Listing Rules 5635(d) and 5635(b) is in the best interests of us and our stockholders because the flexibility to issue shares of Common Stock in excess of the SEPA Exchange Cap provides us with a reliable source of capital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-956310</wp:posOffset>
            </wp:positionV>
            <wp:extent cx="7016115" cy="6002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left="40" w:right="39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SEPA Exchange Cap.</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SEPA Exchange Cap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 Subsequent to the date of this proxy statement, we intend to enter into voting agreements with holders of a majority in voting power of our Common Stock to grant us an irrevocable proxy to vote their shares of Common Stock in favor of this Proposal 3.</w:t>
      </w:r>
    </w:p>
    <w:p>
      <w:pPr>
        <w:spacing w:after="0" w:line="148" w:lineRule="exact"/>
        <w:rPr>
          <w:sz w:val="20"/>
          <w:szCs w:val="20"/>
          <w:color w:val="auto"/>
        </w:rPr>
      </w:pPr>
    </w:p>
    <w:p>
      <w:pPr>
        <w:jc w:val="both"/>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the SEPA, of which there were 208,993 shares, are not entitled to vote on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431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FOUR—CONVERTIBLE DEBENTURES SHARE ISSUANCE PROPOSAL</w:t>
      </w:r>
    </w:p>
    <w:p>
      <w:pPr>
        <w:spacing w:after="0" w:line="189" w:lineRule="exact"/>
        <w:rPr>
          <w:sz w:val="20"/>
          <w:szCs w:val="20"/>
          <w:color w:val="auto"/>
        </w:rPr>
      </w:pPr>
    </w:p>
    <w:p>
      <w:pPr>
        <w:jc w:val="both"/>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seeking approval of the potential issuance of a number of shares of Common Stock to Yorkville in excess of the Convertible Debentures Exchange Cap (as defined below). As of the Record Date, no shares of Common Stock have been issued to Yorkville upon conversion of any amounts under the Convertible Debentures and the outstanding aggregate principal amount of the Convertible Debentures was $20.0 million.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25, 2025, we entered into a securities purchase agreement (the “Securities Purchase Agreement”) with Yorkville in connection with our issuance and sale to Yorkville of convertible debentures, convertible into shares of Common Stock subject to certain conditions and limitations, in the aggregate principal amount of up to $30.0 million (the “Convertible Debentures”). On April 14, 2025, pursuant to the Securities Purchase Agreement, we sold and issued to Yorkville a Convertible Debenture in the principal amount of $20.0 million. Yorkville will purchase and we will issue an additional $10.0 million in principal amount of Convertible Debentures (the “Second Convertible Debenture”) after both (i) a registration statement is filed with the SEC registering the resale of the Conversion Shares and is declared effective by the SEC and (ii) the Company has received approval of this Proposal 4 either through affirmative votes for this Proposal 4 at the Annual Meeting or irrevocable proxies to do the same by a majority of the voting power of the Company.</w:t>
      </w:r>
    </w:p>
    <w:p>
      <w:pPr>
        <w:spacing w:after="0" w:line="148"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bear interest at an annual rate of 0.0%, and have a maturity date of July 14, 2026, which may be extended at the option of Yorkville. The interest rate will increase to an annual rate of 18.0% upon the occurrence and during the continuance of an event of default (as defined in the Convertible Debentures). The Convertible Debentures provide a conversion right, at Yorkville’s option, in which any portion of the principal amount of the debt, together with any interest or other amounts outstanding under the Convertible Debentures, may be converted at any time and from time to time into the Common Stock at a conversion price equal to $10.00 (the “Conversion Price”), provided that, on each of October 14, 2025 and January 14, 2026 (each, a “Reset Date”), the Conversion Price shall be adjusted (downwards only) to the lower of (i) the Conversion Price then in effect, or (ii) the average VWAP of the Common Stock during the ten consecutive trading days immediately preceding the applicable Reset Date. The Conversion Price is subject to appropriate adjustment in the event of any stock dividend, stock split, combination or other similar recapitalization with</w:t>
      </w:r>
    </w:p>
    <w:p>
      <w:pPr>
        <w:sectPr>
          <w:pgSz w:w="11900" w:h="16854" w:orient="portrait"/>
          <w:cols w:equalWidth="0" w:num="1">
            <w:col w:w="9019"/>
          </w:cols>
          <w:pgMar w:left="1440" w:top="108" w:right="1440" w:bottom="0" w:gutter="0" w:footer="0" w:header="0"/>
        </w:sectPr>
      </w:pPr>
    </w:p>
    <w:bookmarkStart w:id="30" w:name="page31"/>
    <w:bookmarkEnd w:id="30"/>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-110490</wp:posOffset>
            </wp:positionV>
            <wp:extent cx="7016115" cy="4631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12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Convertible Debentures may not be converted into shares of Common Stock to the extent such conversion would result in Yorkville and its affiliates having beneficial ownership of more than 4.99% of the then outstanding shares of Common Stock after giving effect to such conversion; provided that this limitation may be waived by Yorkville upon not less than 65 days’ prior notice to us. Additionally, in compliance with our obligations under the rules and regulations of Nasdaq, the aggregate number of shares of Common Stock that we may issue in a transaction is 9,415,549 shares of Common Stock, or 19.99% of the shares of Common Stock outstanding as of the date of the Securities Purchase Agreement (the “Convertible Debentures Exchange Cap”). The Convertible Debentures Exchange Cap will not apply under certain circumstances, including if our stockholders have approved issuances in excess of the Convertible Debentures Exchange Cap in accordance with the rules of Nasdaq or we obtain a written opinion from an outside law firm that such approval is not required.</w:t>
      </w:r>
    </w:p>
    <w:p>
      <w:pPr>
        <w:spacing w:after="0" w:line="154"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Convertible Debentures provide us, subject to certain conditions, with an optional redemption right pursuant to which we, upon 10 trading days’ prior written notice to Yorkville (the “Redemption Notice”), may redeem in cash, in whole or in part, so long as (i) the Redemption Notice is delivered to Yorkville after the close of trading hours on a trading day, and (ii) the VWAP of the Common Stock was less than the Conversion Price on the day the Redemption Notice was given, any of the outstanding principal and interest thereon at a redemption price equal to (a) the principal amount being redeemed, (b) all accrued and unpaid interest under the applicable Convertible Debenture as of the date of such redemption and (c) a redemption premium of 5% of the principal amount being redeemed on or before the twelve-month anniversary of the issuance date of the Convertible Debentures (the “Issuance Date”), and 10% of the principal amount being redeemed after the twelve-month anniversary of the Issuance Date.</w:t>
      </w:r>
    </w:p>
    <w:p>
      <w:pPr>
        <w:spacing w:after="0" w:line="148"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Convertible Debentures include a monthly repayment schedule of installment dates (the “Repayment Schedule”) on which the Company shall repay a portion of the outstanding balance of the Convertible Debentures equal to</w:t>
      </w:r>
    </w:p>
    <w:p>
      <w:pPr>
        <w:ind w:left="40" w:right="439" w:firstLine="9"/>
        <w:spacing w:after="0" w:line="26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installment principal amount set forth on the Repayment Schedule, (ii) a 5% payment premium (of the principal amount being paid) and (iii) any accrued and unpaid interest as of each installment date.</w:t>
      </w:r>
    </w:p>
    <w:p>
      <w:pPr>
        <w:spacing w:after="0" w:line="154" w:lineRule="exact"/>
        <w:rPr>
          <w:sz w:val="20"/>
          <w:szCs w:val="20"/>
          <w:color w:val="auto"/>
        </w:rPr>
      </w:pPr>
    </w:p>
    <w:p>
      <w:pPr>
        <w:ind w:left="40" w:right="359" w:firstLine="648"/>
        <w:spacing w:after="0" w:line="312" w:lineRule="auto"/>
        <w:rPr>
          <w:sz w:val="20"/>
          <w:szCs w:val="20"/>
          <w:color w:val="auto"/>
        </w:rPr>
      </w:pPr>
      <w:r>
        <w:rPr>
          <w:rFonts w:ascii="Times New Roman" w:cs="Times New Roman" w:eastAsia="Times New Roman" w:hAnsi="Times New Roman"/>
          <w:sz w:val="17"/>
          <w:szCs w:val="17"/>
          <w:color w:val="auto"/>
        </w:rPr>
        <w:t>On April 14, 2025, we and Yorkville entered into a registration rights agreement (the “Registration Rights Agreement”) pursuant to which we are required to file a registration statement registering the resale by Yorkville of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5802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shares of Common Stock issuable upon conversion of the Convertible Debentures. We filed the registration statement on April 15, 2025 and received notice of effectiveness on April 23, 2025.</w:t>
      </w:r>
    </w:p>
    <w:p>
      <w:pPr>
        <w:spacing w:after="0" w:line="121"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the Securities Purchase Agreement, Registration Rights Agreement and Convertible Debentures is contained in our Current Reports on Form 8-K filed with the SEC on March 26, 2025 and April 14, 2025, which are incorporated by reference herein.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18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lower of (i) the Nasdaq Official Closing Price (as reflected on Nasdaq.com) immediately preceding the signing of the binding agreement; or (ii) the Minimum Price. On March 24, 2025, the date immediately preceding the date of the execution of the Securities Purchase Agreement, the closing price of the Common Stock was $7.93 and the average closing price of the Common Stock for the five trading days immediately preceding March 25, 2025 was $7.77.</w:t>
      </w:r>
    </w:p>
    <w:p>
      <w:pPr>
        <w:spacing w:after="0" w:line="151"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w:t>
      </w:r>
    </w:p>
    <w:p>
      <w:pPr>
        <w:spacing w:after="0" w:line="156" w:lineRule="exact"/>
        <w:rPr>
          <w:sz w:val="20"/>
          <w:szCs w:val="20"/>
          <w:color w:val="auto"/>
        </w:rPr>
      </w:pPr>
    </w:p>
    <w:p>
      <w:pPr>
        <w:jc w:val="both"/>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Until this Proposal 4 is approved by our stockholders, Yorkville may not convert its Convertible Debentures into more than 9,415,549 shares of Common Stock, representing 19.99% of the outstanding shares of Common Stock as of the date of the Securities Purchase Agreement. Stockholder approval of this Proposal 4 will constitute stockholder approval for purposes of Nasdaq Listing Rules 5635(d) and 5635(b).</w:t>
      </w:r>
    </w:p>
    <w:p>
      <w:pPr>
        <w:spacing w:after="0" w:line="13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Our Board has determined that the Securities Purchase Agreement and the Convertible Debentures and our ability to issue the shares of Common Stock thereunder in excess of the Convertible Debentures Exchange Cap are in the best interests of the Company and its stockholders because it will decrease the likelihood that we will have to make monthly prepayments pursuant to the Convertible Debentures.</w:t>
      </w:r>
    </w:p>
    <w:p>
      <w:pPr>
        <w:spacing w:after="0" w:line="139"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We cannot predict the price of the Common Stock at any future date, and therefore cannot predict the number of shares of Common Stock to be issued under the Convertible Debentures.</w:t>
      </w:r>
    </w:p>
    <w:p>
      <w:pPr>
        <w:spacing w:after="0" w:line="135"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Therefore, we are seeking stockholder approval under this Proposal 4 to issue shares of Common Stock in excess of the Convertible Debentures Exchange Cap, if necessary, to Yorkville under the terms of the Convertible Debentures. The failure of our stockholders to approve this Proposal 4 will prevent us from issuing shares of Common Stock to</w:t>
      </w:r>
    </w:p>
    <w:p>
      <w:pPr>
        <w:sectPr>
          <w:pgSz w:w="11900" w:h="16953" w:orient="portrait"/>
          <w:cols w:equalWidth="0" w:num="1">
            <w:col w:w="9019"/>
          </w:cols>
          <w:pgMar w:left="1440" w:top="108" w:right="1440" w:bottom="0" w:gutter="0" w:footer="0" w:header="0"/>
        </w:sectPr>
      </w:pPr>
    </w:p>
    <w:bookmarkStart w:id="31" w:name="page32"/>
    <w:bookmarkEnd w:id="31"/>
    <w:p>
      <w:pPr>
        <w:ind w:left="40" w:right="219"/>
        <w:spacing w:after="0" w:line="282" w:lineRule="auto"/>
        <w:rPr>
          <w:sz w:val="20"/>
          <w:szCs w:val="20"/>
          <w:color w:val="auto"/>
        </w:rPr>
      </w:pPr>
      <w:r>
        <w:rPr>
          <w:rFonts w:ascii="Times New Roman" w:cs="Times New Roman" w:eastAsia="Times New Roman" w:hAnsi="Times New Roman"/>
          <w:sz w:val="18"/>
          <w:szCs w:val="18"/>
          <w:color w:val="auto"/>
        </w:rPr>
        <w:t>Yorkville in excess of the Convertible Debentures Exchange Cap, which may require us to make monthly prepayments as described above. As of the close of business on the Record Date, the price of the Common Stock was $4.42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-305435</wp:posOffset>
            </wp:positionV>
            <wp:extent cx="7016115" cy="3259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on Current Stockholders</w:t>
      </w:r>
    </w:p>
    <w:p>
      <w:pPr>
        <w:spacing w:after="0" w:line="18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Upon stockholder approval of this Proposal 4, the issuance of shares of Common Stock under the Convertible Debentures will not be subject to the Convertible Debentures Exchange Cap and such issuance of shares would dilute, and thereby reduce, each existing stockholder’s proportionate ownership in the Common Stock. Because the number of shares of Common Stock that may be issued to Yorkville pursuant to the Convertible Debentures is determined based on the price of our Common Stock at the time of issuance, the exact magnitude of the dilutive effect cannot be conclusively determined. However, the dilutive effect may be material to our current stockholders.</w:t>
      </w:r>
    </w:p>
    <w:p>
      <w:pPr>
        <w:spacing w:after="0" w:line="160"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Common Stock that would be issuable upon conversion of Convertible Debentures if we issue securities at an effective price per share that is lower than $10.00 per share, thereby resulting in the issuance of more than 9,415,549 shares of Common Stock. This example is based on the conversion of the original aggregate principal amount of $30.0 million and does not reflect the conversion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174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accrued but unpaid interest. As of the Record Date, the outstanding aggregate principal amount of the Convertible Debentures was $20.0 million.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Assumed Conversion Price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 Issuable Upon Conversion of Convertible Debentures</w:t>
            </w:r>
          </w:p>
        </w:tc>
      </w:tr>
      <w:tr>
        <w:trPr>
          <w:trHeight w:val="34"/>
        </w:trPr>
        <w:tc>
          <w:tcPr>
            <w:tcW w:w="30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40" w:type="dxa"/>
            <w:vAlign w:val="bottom"/>
            <w:tcBorders>
              <w:top w:val="single" w:sz="8" w:color="auto"/>
            </w:tcBorders>
          </w:tcPr>
          <w:p>
            <w:pPr>
              <w:spacing w:after="0"/>
              <w:rPr>
                <w:sz w:val="2"/>
                <w:szCs w:val="2"/>
                <w:color w:val="auto"/>
              </w:rPr>
            </w:pP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r>
      <w:tr>
        <w:trPr>
          <w:trHeight w:val="27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40" w:type="dxa"/>
            <w:vAlign w:val="bottom"/>
          </w:tcPr>
          <w:p>
            <w:pPr>
              <w:spacing w:after="0"/>
              <w:rPr>
                <w:sz w:val="23"/>
                <w:szCs w:val="23"/>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6,000,000</w:t>
            </w:r>
          </w:p>
        </w:tc>
      </w:tr>
      <w:tr>
        <w:trPr>
          <w:trHeight w:val="27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40" w:type="dxa"/>
            <w:vAlign w:val="bottom"/>
          </w:tcPr>
          <w:p>
            <w:pPr>
              <w:spacing w:after="0"/>
              <w:rPr>
                <w:sz w:val="23"/>
                <w:szCs w:val="23"/>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4,285,714</w:t>
            </w:r>
          </w:p>
        </w:tc>
      </w:tr>
      <w:tr>
        <w:trPr>
          <w:trHeight w:val="27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40" w:type="dxa"/>
            <w:vAlign w:val="bottom"/>
          </w:tcPr>
          <w:p>
            <w:pPr>
              <w:spacing w:after="0"/>
              <w:rPr>
                <w:sz w:val="23"/>
                <w:szCs w:val="23"/>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3,750,000</w:t>
            </w:r>
          </w:p>
        </w:tc>
      </w:tr>
      <w:tr>
        <w:trPr>
          <w:trHeight w:val="270"/>
        </w:trPr>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40" w:type="dxa"/>
            <w:vAlign w:val="bottom"/>
            <w:shd w:val="clear" w:color="auto" w:fill="CCEEFF"/>
          </w:tcPr>
          <w:p>
            <w:pPr>
              <w:spacing w:after="0"/>
              <w:rPr>
                <w:sz w:val="23"/>
                <w:szCs w:val="23"/>
                <w:color w:val="auto"/>
              </w:rPr>
            </w:pP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3,333,333</w:t>
            </w:r>
          </w:p>
        </w:tc>
      </w:tr>
      <w:tr>
        <w:trPr>
          <w:trHeight w:val="270"/>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40" w:type="dxa"/>
            <w:vAlign w:val="bottom"/>
          </w:tcPr>
          <w:p>
            <w:pPr>
              <w:spacing w:after="0"/>
              <w:rPr>
                <w:sz w:val="23"/>
                <w:szCs w:val="23"/>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w:t>
            </w:r>
          </w:p>
        </w:tc>
      </w:tr>
    </w:tbl>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Consequences of Non-Approval</w:t>
      </w:r>
    </w:p>
    <w:p>
      <w:pPr>
        <w:spacing w:after="0" w:line="202"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If this Proposal 4 is not approved by our stockholders at the Annual Meeting, we may be required to make monthly prepayments as described above, which may impair our working capital and our ability to fund capital expenditures and operating expenses, including the expenses for the Innventure Companies and the Operating Companies. Our Board has determined that the Securities Purchase Agreement and Convertible Debentures, with such modifications, amendments, or changes (consistent with the intent and purpose of this proposal) agreed upon by the parties thereto, and in accordance with the stockholder approval requirements of Nasdaq Listing Rules 5635(d) and 5635(b), is in the best interests of us and our stockholders because it will decrease the likelihood we will have to make monthly prepayments pursuant to the Convertible Debentures.</w:t>
      </w:r>
    </w:p>
    <w:p>
      <w:pPr>
        <w:spacing w:after="0" w:line="151"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Furthermore, if this Proposal 4 is not approved by our stockholders at the Annual Meeting, Yorkville will not purchase, and we will not issue, the Second Convertible Debenture. Accordingly, the additional $10.0 million of funds to be received by us upon issuance of the Second Convertible Debenture will not be made available to us.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98" w:lineRule="exact"/>
        <w:rPr>
          <w:sz w:val="20"/>
          <w:szCs w:val="20"/>
          <w:color w:val="auto"/>
        </w:rPr>
      </w:pPr>
    </w:p>
    <w:p>
      <w:pPr>
        <w:ind w:left="40" w:right="399" w:firstLine="648"/>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you vote “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potential issuance of a number of shares of Common Stock to Yorkville in excess of the Convertible Debentures Exchange Cap.</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The approval of the potential issuance of a number of shares of Common Stock to Yorkville in excess of the Convertible Debentures Exchange Cap requires the affirmative vote of the majority of the votes cast (meaning the number of shares voted “for” the proposal must exceed the number of shares voted “against” the proposal). Abstentions and broker non-votes, if any, are not considered votes cast for the foregoing purpose, and will have no effect on the vote for this proposal. Subsequent to the date of this proxy statement, we intend to enter into voting agreements with holders of a majority in voting power of our Common Stock to grant us an irrevocable proxy to vote their shares of Common Stock in favor of this Proposal 4.</w:t>
      </w:r>
    </w:p>
    <w:p>
      <w:pPr>
        <w:spacing w:after="0" w:line="162"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Under applicable Nasdaq Listing Rules, the shares of Common Stock issued pursuant to conversion of all or any portion of the Convertible Debentures, if applicable, are not entitled to vote on Proposal 4.</w:t>
      </w:r>
    </w:p>
    <w:p>
      <w:pPr>
        <w:sectPr>
          <w:pgSz w:w="11900" w:h="16838" w:orient="portrait"/>
          <w:cols w:equalWidth="0" w:num="1">
            <w:col w:w="9019"/>
          </w:cols>
          <w:pgMar w:left="1440" w:top="135" w:right="1440" w:bottom="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545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right="2499" w:firstLine="242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EXECUTIVE AND DIRECTOR COMPENSATION </w:t>
      </w:r>
      <w:r>
        <w:rPr>
          <w:rFonts w:ascii="Times New Roman" w:cs="Times New Roman" w:eastAsia="Times New Roman" w:hAnsi="Times New Roman"/>
          <w:sz w:val="18"/>
          <w:szCs w:val="18"/>
          <w:i w:val="1"/>
          <w:iCs w:val="1"/>
          <w:color w:val="auto"/>
        </w:rPr>
        <w:t>All dollar amounts (“$”) in this section reflect actual amounts.</w:t>
      </w: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w:t>
      </w:r>
    </w:p>
    <w:p>
      <w:pPr>
        <w:spacing w:after="0" w:line="147"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Therefore, for the fiscal year ended December 31, 2024, Innventure’s NEOs were:</w:t>
      </w:r>
    </w:p>
    <w:p>
      <w:pPr>
        <w:spacing w:after="0" w:line="198" w:lineRule="exact"/>
        <w:rPr>
          <w:sz w:val="20"/>
          <w:szCs w:val="20"/>
          <w:color w:val="auto"/>
        </w:rPr>
      </w:pPr>
    </w:p>
    <w:p>
      <w:pPr>
        <w:ind w:left="1020" w:hanging="32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2024 Business Combination</w:t>
      </w:r>
    </w:p>
    <w:p>
      <w:pPr>
        <w:spacing w:after="0" w:line="189"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02"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Innventure’s NEOs for 2024 and 2023, as applicable.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5"/>
                <w:szCs w:val="15"/>
                <w:color w:val="auto"/>
              </w:rPr>
            </w:pPr>
          </w:p>
        </w:tc>
      </w:tr>
      <w:tr>
        <w:trPr>
          <w:trHeight w:val="162"/>
        </w:trPr>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tcPr>
          <w:p>
            <w:pPr>
              <w:spacing w:after="0"/>
              <w:rPr>
                <w:sz w:val="14"/>
                <w:szCs w:val="14"/>
                <w:color w:val="auto"/>
              </w:rPr>
            </w:pPr>
          </w:p>
        </w:tc>
      </w:tr>
      <w:tr>
        <w:trPr>
          <w:trHeight w:val="195"/>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($)(1)</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0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Gregory W. (Bill) Haskell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2,813,800</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Chief Executive</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3"/>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Officer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492,000</w:t>
            </w:r>
          </w:p>
        </w:tc>
      </w:tr>
      <w:tr>
        <w:trPr>
          <w:trHeight w:val="22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Mike Otworth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7,001,001</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7,577,786</w:t>
            </w: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14,878,787</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Executive</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3"/>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Chairman(6)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r>
      <w:tr>
        <w:trPr>
          <w:trHeight w:val="221"/>
        </w:trPr>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Dr. John Scott </w:t>
            </w:r>
            <w:r>
              <w:rPr>
                <w:rFonts w:ascii="Times New Roman" w:cs="Times New Roman" w:eastAsia="Times New Roman" w:hAnsi="Times New Roman"/>
                <w:sz w:val="14"/>
                <w:szCs w:val="14"/>
                <w:color w:val="B4B4B4"/>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4,100,005</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6,935,489</w:t>
            </w: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11,335,494</w:t>
            </w:r>
          </w:p>
        </w:tc>
      </w:tr>
      <w:tr>
        <w:trPr>
          <w:trHeight w:val="180"/>
        </w:trPr>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Chief Strategy</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Officer(7) </w:t>
            </w:r>
            <w:r>
              <w:rPr>
                <w:rFonts w:ascii="Times New Roman" w:cs="Times New Roman" w:eastAsia="Times New Roman" w:hAnsi="Times New Roman"/>
                <w:sz w:val="14"/>
                <w:szCs w:val="14"/>
                <w:color w:val="B4B4B4"/>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4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300,000</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9" w:lineRule="exact"/>
        <w:rPr>
          <w:sz w:val="20"/>
          <w:szCs w:val="20"/>
          <w:color w:val="auto"/>
        </w:rPr>
      </w:pPr>
    </w:p>
    <w:p>
      <w:pPr>
        <w:ind w:left="380" w:right="99" w:hanging="331"/>
        <w:spacing w:after="0" w:line="268"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2024 for Mr. Haskell represents base salary earned during 2024. For Dr. Scott, the amount represents payments to Corporate Development Group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w:t>
      </w:r>
    </w:p>
    <w:p>
      <w:pPr>
        <w:spacing w:after="0" w:line="23" w:lineRule="exact"/>
        <w:rPr>
          <w:rFonts w:ascii="Times New Roman" w:cs="Times New Roman" w:eastAsia="Times New Roman" w:hAnsi="Times New Roman"/>
          <w:sz w:val="14"/>
          <w:szCs w:val="14"/>
          <w:color w:val="auto"/>
        </w:rPr>
      </w:pPr>
    </w:p>
    <w:p>
      <w:pPr>
        <w:ind w:left="380" w:hanging="331"/>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represents a transaction bonus earned in connection with the Business Combination.</w:t>
      </w:r>
    </w:p>
    <w:p>
      <w:pPr>
        <w:spacing w:after="0" w:line="68" w:lineRule="exact"/>
        <w:rPr>
          <w:rFonts w:ascii="Times New Roman" w:cs="Times New Roman" w:eastAsia="Times New Roman" w:hAnsi="Times New Roman"/>
          <w:sz w:val="14"/>
          <w:szCs w:val="14"/>
          <w:color w:val="auto"/>
        </w:rPr>
      </w:pPr>
    </w:p>
    <w:p>
      <w:pPr>
        <w:ind w:left="380" w:right="139" w:hanging="331"/>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service-based restricted stock unit (“RSU”) awards granted by the Company to the NEOs in 2024 and, with respect to Mr. Otworth, the amount includes the aggregate grant date fair value of the Accelsius Incentive Units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in our 2024 Annual Report, filed with the SEC on April 14, 2025. For more information regarding the awards disclosed in this column, see “2024 Equity-Based Compensation” below. The Refinity Incentive Units (as defined below) discussed in such section had an aggregate grant date fair value of $0.</w:t>
      </w:r>
    </w:p>
    <w:p>
      <w:pPr>
        <w:sectPr>
          <w:pgSz w:w="11900" w:h="16838" w:orient="portrait"/>
          <w:cols w:equalWidth="0" w:num="1">
            <w:col w:w="9019"/>
          </w:cols>
          <w:pgMar w:left="1440" w:top="1440" w:right="1440" w:bottom="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019"/>
          </w:cols>
          <w:pgMar w:left="1440" w:top="4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right="219" w:hanging="331"/>
        <w:spacing w:after="0" w:line="268"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in our 2024 Annual Report, filed with the SEC on April 14, 2025. For more information regarding the awards disclosed in this column, see “2024 Equity-Based Compensation” below.</w:t>
      </w:r>
    </w:p>
    <w:p>
      <w:pPr>
        <w:spacing w:after="0" w:line="23" w:lineRule="exact"/>
        <w:rPr>
          <w:rFonts w:ascii="Times New Roman" w:cs="Times New Roman" w:eastAsia="Times New Roman" w:hAnsi="Times New Roman"/>
          <w:sz w:val="14"/>
          <w:szCs w:val="14"/>
          <w:color w:val="auto"/>
        </w:rPr>
      </w:pPr>
    </w:p>
    <w:p>
      <w:pPr>
        <w:ind w:left="380" w:hanging="331"/>
        <w:spacing w:after="0"/>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under the 401(k) Plan (as defined and described below).</w:t>
      </w:r>
    </w:p>
    <w:p>
      <w:pPr>
        <w:spacing w:after="0" w:line="68" w:lineRule="exact"/>
        <w:rPr>
          <w:rFonts w:ascii="Times New Roman" w:cs="Times New Roman" w:eastAsia="Times New Roman" w:hAnsi="Times New Roman"/>
          <w:sz w:val="14"/>
          <w:szCs w:val="14"/>
          <w:color w:val="auto"/>
        </w:rPr>
      </w:pPr>
    </w:p>
    <w:p>
      <w:pPr>
        <w:ind w:left="380" w:right="359" w:hanging="331"/>
        <w:spacing w:after="0" w:line="301"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provided services to Innventure in a consulting capacity during 2024 through a contract between Innventure LLC and Sugar Grove Ventures, LLC.</w:t>
      </w:r>
    </w:p>
    <w:p>
      <w:pPr>
        <w:spacing w:after="0" w:line="1" w:lineRule="exact"/>
        <w:rPr>
          <w:rFonts w:ascii="Times New Roman" w:cs="Times New Roman" w:eastAsia="Times New Roman" w:hAnsi="Times New Roman"/>
          <w:sz w:val="14"/>
          <w:szCs w:val="14"/>
          <w:color w:val="auto"/>
        </w:rPr>
      </w:pPr>
    </w:p>
    <w:p>
      <w:pPr>
        <w:ind w:left="380" w:right="399" w:hanging="331"/>
        <w:spacing w:after="0" w:line="271"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in a consulting capacity during 2024 through a contract between Innventure LLC and Corporate Development Group, pursuant to which Dr. Scott, the founder and principal of Corporate Development Group, provided strategic guidance and consulting services to Innventure.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Narrative Disclosure to 2024 Summary Compensation Table</w:t>
      </w:r>
    </w:p>
    <w:p>
      <w:pPr>
        <w:spacing w:after="0" w:line="200" w:lineRule="exact"/>
        <w:rPr>
          <w:sz w:val="20"/>
          <w:szCs w:val="20"/>
          <w:color w:val="auto"/>
        </w:rPr>
      </w:pPr>
    </w:p>
    <w:p>
      <w:pPr>
        <w:ind w:left="40" w:right="3339"/>
        <w:spacing w:after="0" w:line="455"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Key 2024 Named Executive Officer Compensation Components and Decisions </w:t>
      </w:r>
      <w:r>
        <w:rPr>
          <w:rFonts w:ascii="Times New Roman" w:cs="Times New Roman" w:eastAsia="Times New Roman" w:hAnsi="Times New Roman"/>
          <w:sz w:val="18"/>
          <w:szCs w:val="18"/>
          <w:i w:val="1"/>
          <w:iCs w:val="1"/>
          <w:color w:val="auto"/>
        </w:rPr>
        <w:t>2024 Base Salary</w:t>
      </w: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their employment or consulting arrangements, as applicable, the NEOs were entitled to base salaries or service fees, as applicable, at the following annual rates during 2024:</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Base Salary/</w:t>
            </w:r>
          </w:p>
        </w:tc>
      </w:tr>
      <w:tr>
        <w:trPr>
          <w:trHeight w:val="225"/>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NEO</w:t>
            </w:r>
          </w:p>
        </w:tc>
        <w:tc>
          <w:tcPr>
            <w:tcW w:w="6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 Fee Rate</w:t>
            </w:r>
          </w:p>
        </w:tc>
      </w:tr>
      <w:tr>
        <w:trPr>
          <w:trHeight w:val="223"/>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Mike Otworth </w:t>
            </w:r>
            <w:r>
              <w:rPr>
                <w:rFonts w:ascii="Times New Roman" w:cs="Times New Roman" w:eastAsia="Times New Roman" w:hAnsi="Times New Roman"/>
                <w:sz w:val="18"/>
                <w:szCs w:val="18"/>
                <w:color w:val="B4B4B4"/>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238"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We did not modify the base salary or service fee rates of any of the NEOs during 2024. However, we increased the base salary and service fee rates of the NEOs in January 2025.</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2024 Bonus Compensation</w:t>
      </w:r>
    </w:p>
    <w:p>
      <w:pPr>
        <w:spacing w:after="0" w:line="187"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on the table below:</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 Bonus Goal</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Goal Achieved?</w:t>
            </w:r>
          </w:p>
        </w:tc>
      </w:tr>
      <w:tr>
        <w:trPr>
          <w:trHeight w:val="234"/>
        </w:trPr>
        <w:tc>
          <w:tcPr>
            <w:tcW w:w="5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(yes or no)</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Yes</w:t>
            </w:r>
          </w:p>
        </w:tc>
      </w:tr>
      <w:tr>
        <w:trPr>
          <w:trHeight w:val="25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Complete the Business Combination with more than $20 million of net</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proceeds</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Meeting each of the following milestones (or a achieving a certain threshold share price):</w:t>
      </w:r>
    </w:p>
    <w:p>
      <w:pPr>
        <w:spacing w:after="0" w:line="63"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 million of booked revenue for Accelsius</w:t>
            </w: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 million of GAAP revenue for AeroFlexx</w:t>
            </w: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bl>
    <w:p>
      <w:pPr>
        <w:spacing w:after="0" w:line="248" w:lineRule="exact"/>
        <w:rPr>
          <w:sz w:val="20"/>
          <w:szCs w:val="20"/>
          <w:color w:val="auto"/>
        </w:rPr>
      </w:pPr>
    </w:p>
    <w:p>
      <w:pPr>
        <w:ind w:left="40" w:right="99"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2024 bonuses were also subject to a stretch goal (formation of a new (5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operating company), which would have resulted in an additional 50% payout.</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2025, the Compensation Committee (and the Board with respect to Mr. Haskell) determined that 85%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bonus goals were achieved (as shown in the table above) and that the stretch goal was not achieved. As such,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Committee (or Board, as applicable), determined that each NEO notionally earned a payout percentage of 85% of the target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bonus, which corresponds to the following payout amounts: $255,000 for Mr. Haskell; $255,000 for Mr. Otworth;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$255,000 for Dr. Scott. Payout of such amounts is generally contingent on the NEO’s continued service through the date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Such amounts are expected to be disclosed in a future Summary Compensation Table once payment is made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applicable service requirements have lapsed.</w:t>
      </w:r>
    </w:p>
    <w:p>
      <w:pPr>
        <w:spacing w:after="0" w:line="166" w:lineRule="exact"/>
        <w:rPr>
          <w:sz w:val="20"/>
          <w:szCs w:val="20"/>
          <w:color w:val="auto"/>
        </w:rPr>
      </w:pPr>
    </w:p>
    <w:p>
      <w:pPr>
        <w:ind w:left="40" w:right="599" w:firstLine="648"/>
        <w:spacing w:after="0" w:line="282" w:lineRule="auto"/>
        <w:rPr>
          <w:sz w:val="20"/>
          <w:szCs w:val="20"/>
          <w:color w:val="auto"/>
        </w:rPr>
      </w:pPr>
      <w:r>
        <w:rPr>
          <w:rFonts w:ascii="Times New Roman" w:cs="Times New Roman" w:eastAsia="Times New Roman" w:hAnsi="Times New Roman"/>
          <w:sz w:val="18"/>
          <w:szCs w:val="18"/>
          <w:color w:val="auto"/>
        </w:rPr>
        <w:t>Mr. Haskell also earned a cash bonus of $2,500,000 in connection with the successful consummation of the Business Combination in 2024.</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2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019"/>
          </w:cols>
          <w:pgMar w:left="1440" w:top="4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Equity-Based Compensation</w:t>
      </w:r>
    </w:p>
    <w:p>
      <w:pPr>
        <w:sectPr>
          <w:pgSz w:w="11900" w:h="16838" w:orient="portrait"/>
          <w:cols w:equalWidth="0" w:num="1">
            <w:col w:w="9019"/>
          </w:cols>
          <w:pgMar w:left="1440" w:top="418" w:right="1440" w:bottom="0" w:gutter="0" w:footer="0" w:header="0"/>
          <w:type w:val="continuous"/>
        </w:sectPr>
      </w:pPr>
    </w:p>
    <w:bookmarkStart w:id="34" w:name="page35"/>
    <w:bookmarkEnd w:id="34"/>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-415925</wp:posOffset>
            </wp:positionV>
            <wp:extent cx="7016115" cy="8300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1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incentive awards for the NEOs consisting of service-based RSUs and stock options under the 2024 Plan. Awards for our NEOs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NEO</w:t>
            </w: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23"/>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Gregory Haskell </w:t>
            </w:r>
            <w:r>
              <w:rPr>
                <w:rFonts w:ascii="Times New Roman" w:cs="Times New Roman" w:eastAsia="Times New Roman" w:hAnsi="Times New Roman"/>
                <w:sz w:val="18"/>
                <w:szCs w:val="18"/>
                <w:color w:val="B4B4B4"/>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Mike Otworth </w:t>
            </w:r>
            <w:r>
              <w:rPr>
                <w:rFonts w:ascii="Times New Roman" w:cs="Times New Roman" w:eastAsia="Times New Roman" w:hAnsi="Times New Roman"/>
                <w:sz w:val="18"/>
                <w:szCs w:val="18"/>
                <w:color w:val="B4B4B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537,705</w:t>
            </w:r>
          </w:p>
        </w:tc>
        <w:tc>
          <w:tcPr>
            <w:tcW w:w="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r>
      <w:tr>
        <w:trPr>
          <w:trHeight w:val="216"/>
        </w:trPr>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Dr. John Scott </w:t>
            </w:r>
            <w:r>
              <w:rPr>
                <w:rFonts w:ascii="Times New Roman" w:cs="Times New Roman" w:eastAsia="Times New Roman" w:hAnsi="Times New Roman"/>
                <w:sz w:val="18"/>
                <w:szCs w:val="18"/>
                <w:color w:val="B4B4B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9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40" w:lineRule="exact"/>
        <w:rPr>
          <w:sz w:val="20"/>
          <w:szCs w:val="20"/>
          <w:color w:val="auto"/>
        </w:rPr>
      </w:pPr>
    </w:p>
    <w:p>
      <w:pPr>
        <w:ind w:left="380" w:hanging="331"/>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set forth in the table above were granted with an exercise price of $12.20, the closing stock price on the date of grant.</w:t>
      </w:r>
    </w:p>
    <w:p>
      <w:pPr>
        <w:spacing w:after="0" w:line="176"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49" w:lineRule="exact"/>
        <w:rPr>
          <w:sz w:val="20"/>
          <w:szCs w:val="20"/>
          <w:color w:val="auto"/>
        </w:rPr>
      </w:pPr>
    </w:p>
    <w:p>
      <w:pPr>
        <w:ind w:left="40" w:right="119" w:firstLine="648"/>
        <w:spacing w:after="0" w:line="270" w:lineRule="auto"/>
        <w:rPr>
          <w:sz w:val="20"/>
          <w:szCs w:val="20"/>
          <w:color w:val="auto"/>
        </w:rPr>
      </w:pPr>
      <w:r>
        <w:rPr>
          <w:rFonts w:ascii="Times New Roman" w:cs="Times New Roman" w:eastAsia="Times New Roman" w:hAnsi="Times New Roman"/>
          <w:sz w:val="17"/>
          <w:szCs w:val="17"/>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over a base price of $12.175. In general, the Accelsius SARs will be automatically exercised upon the earliest to occur of:</w:t>
      </w:r>
    </w:p>
    <w:p>
      <w:pPr>
        <w:spacing w:after="0" w:line="3" w:lineRule="exact"/>
        <w:rPr>
          <w:sz w:val="20"/>
          <w:szCs w:val="20"/>
          <w:color w:val="auto"/>
        </w:rPr>
      </w:pPr>
    </w:p>
    <w:p>
      <w:pPr>
        <w:ind w:left="40" w:right="99" w:firstLine="9"/>
        <w:spacing w:after="0" w:line="255"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145"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4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Policies and Practices Related to the Grant of Certain Equity Awards</w:t>
      </w:r>
    </w:p>
    <w:p>
      <w:pPr>
        <w:spacing w:after="0" w:line="187" w:lineRule="exact"/>
        <w:rPr>
          <w:sz w:val="20"/>
          <w:szCs w:val="20"/>
          <w:color w:val="auto"/>
        </w:rPr>
      </w:pPr>
    </w:p>
    <w:p>
      <w:pPr>
        <w:jc w:val="both"/>
        <w:ind w:left="40" w:right="79" w:firstLine="648"/>
        <w:spacing w:after="0" w:line="257" w:lineRule="auto"/>
        <w:rPr>
          <w:sz w:val="20"/>
          <w:szCs w:val="20"/>
          <w:color w:val="auto"/>
        </w:rPr>
      </w:pPr>
      <w:r>
        <w:rPr>
          <w:rFonts w:ascii="Times New Roman" w:cs="Times New Roman" w:eastAsia="Times New Roman" w:hAnsi="Times New Roman"/>
          <w:sz w:val="18"/>
          <w:szCs w:val="18"/>
          <w:color w:val="auto"/>
        </w:rPr>
        <w:t>The Compensation Committee approves equity awards granted to our NEOs on or before the grant date, but grants are not currently made on a predetermined schedule . The Compensation Committee does not take material nonpublic information into account when determining the timing and terms of such awards. The Company has not timed the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133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ectPr>
          <w:pgSz w:w="11900" w:h="16838" w:orient="portrait"/>
          <w:cols w:equalWidth="0" w:num="1">
            <w:col w:w="9019"/>
          </w:cols>
          <w:pgMar w:left="1440" w:top="1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Percentage change in the</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 market price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underlying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award between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trading day ending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immediately prior 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disclosure of material</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nonpublic information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the trading day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beginning immediately</w:t>
      </w:r>
    </w:p>
    <w:p>
      <w:pPr>
        <w:sectPr>
          <w:pgSz w:w="11900" w:h="16838" w:orient="portrait"/>
          <w:cols w:equalWidth="0" w:num="2">
            <w:col w:w="6280" w:space="720"/>
            <w:col w:w="2019"/>
          </w:cols>
          <w:pgMar w:left="1440" w:top="108" w:right="1440" w:bottom="0" w:gutter="0" w:footer="0" w:header="0"/>
          <w:type w:val="continuous"/>
        </w:sectPr>
      </w:pPr>
    </w:p>
    <w:bookmarkStart w:id="35" w:name="page36"/>
    <w:bookmarkEnd w:id="35"/>
    <w:tbl>
      <w:tblPr>
        <w:tblLayout w:type="fixed"/>
        <w:tblInd w:w="18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192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rPr>
              <w:t>following the disclosure</w:t>
            </w:r>
          </w:p>
        </w:tc>
        <w:tc>
          <w:tcPr>
            <w:tcW w:w="0" w:type="dxa"/>
            <w:vAlign w:val="bottom"/>
          </w:tcPr>
          <w:p>
            <w:pPr>
              <w:spacing w:after="0"/>
              <w:rPr>
                <w:sz w:val="1"/>
                <w:szCs w:val="1"/>
                <w:color w:val="auto"/>
              </w:rPr>
            </w:pPr>
          </w:p>
        </w:tc>
      </w:tr>
      <w:tr>
        <w:trPr>
          <w:trHeight w:val="86"/>
        </w:trPr>
        <w:tc>
          <w:tcPr>
            <w:tcW w:w="20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2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underlying</w:t>
            </w:r>
          </w:p>
        </w:tc>
        <w:tc>
          <w:tcPr>
            <w:tcW w:w="1440" w:type="dxa"/>
            <w:vAlign w:val="bottom"/>
            <w:vMerge w:val="continue"/>
          </w:tcPr>
          <w:p>
            <w:pPr>
              <w:spacing w:after="0"/>
              <w:rPr>
                <w:sz w:val="7"/>
                <w:szCs w:val="7"/>
                <w:color w:val="auto"/>
              </w:rPr>
            </w:pPr>
          </w:p>
        </w:tc>
        <w:tc>
          <w:tcPr>
            <w:tcW w:w="136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value of the</w:t>
            </w:r>
          </w:p>
        </w:tc>
        <w:tc>
          <w:tcPr>
            <w:tcW w:w="1920" w:type="dxa"/>
            <w:vAlign w:val="bottom"/>
          </w:tcPr>
          <w:p>
            <w:pPr>
              <w:jc w:val="center"/>
              <w:ind w:left="18"/>
              <w:spacing w:after="0" w:line="86" w:lineRule="exact"/>
              <w:rPr>
                <w:sz w:val="20"/>
                <w:szCs w:val="20"/>
                <w:color w:val="auto"/>
              </w:rPr>
            </w:pPr>
            <w:r>
              <w:rPr>
                <w:rFonts w:ascii="Times New Roman" w:cs="Times New Roman" w:eastAsia="Times New Roman" w:hAnsi="Times New Roman"/>
                <w:sz w:val="9"/>
                <w:szCs w:val="9"/>
                <w:b w:val="1"/>
                <w:bCs w:val="1"/>
                <w:color w:val="auto"/>
              </w:rPr>
              <w:t>of material nonpublic</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award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 award ($/Sh)</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92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Gregory Haskell,</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CEO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Mike Otworth,</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Executive Chairman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$1,712,786</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w w:val="99"/>
              </w:rPr>
              <w:t>(0.88)%</w:t>
            </w:r>
          </w:p>
        </w:tc>
        <w:tc>
          <w:tcPr>
            <w:tcW w:w="0" w:type="dxa"/>
            <w:vAlign w:val="bottom"/>
          </w:tcPr>
          <w:p>
            <w:pPr>
              <w:spacing w:after="0"/>
              <w:rPr>
                <w:sz w:val="1"/>
                <w:szCs w:val="1"/>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John Scott,</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Chief Strategy Officer </w:t>
            </w:r>
            <w:r>
              <w:rPr>
                <w:rFonts w:ascii="Times New Roman" w:cs="Times New Roman" w:eastAsia="Times New Roman" w:hAnsi="Times New Roman"/>
                <w:sz w:val="18"/>
                <w:szCs w:val="18"/>
                <w:color w:val="B4B4B4"/>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$1,070,489</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w w:val="99"/>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-1199515</wp:posOffset>
            </wp:positionV>
            <wp:extent cx="7016115" cy="6928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Units Granted in Prior Years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Innventure LLC</w:t>
      </w:r>
    </w:p>
    <w:p>
      <w:pPr>
        <w:spacing w:after="0" w:line="20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prior years, Innven</w:t>
      </w:r>
      <w:r>
        <w:rPr>
          <w:rFonts w:ascii="Times New Roman" w:cs="Times New Roman" w:eastAsia="Times New Roman" w:hAnsi="Times New Roman"/>
          <w:sz w:val="18"/>
          <w:szCs w:val="18"/>
          <w:color w:val="auto"/>
          <w:strike w:val="1"/>
        </w:rPr>
        <w:t>ture LLC granted Class C Units of Innventure LLC (“Innventure Incentive Units”) to certain</w:t>
      </w:r>
      <w:r>
        <w:rPr>
          <w:rFonts w:ascii="Times New Roman" w:cs="Times New Roman" w:eastAsia="Times New Roman" w:hAnsi="Times New Roman"/>
          <w:sz w:val="18"/>
          <w:szCs w:val="18"/>
          <w:color w:val="auto"/>
        </w:rPr>
        <w:t xml:space="preserve">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Accelsius</w:t>
      </w:r>
    </w:p>
    <w:p>
      <w:pPr>
        <w:spacing w:after="0" w:line="202"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and Consulting Arrangements with our NEOs</w:t>
      </w:r>
    </w:p>
    <w:p>
      <w:pPr>
        <w:spacing w:after="0" w:line="185"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Gregory W. (Bill) Haskell: </w:t>
      </w:r>
      <w:r>
        <w:rPr>
          <w:rFonts w:ascii="Times New Roman" w:cs="Times New Roman" w:eastAsia="Times New Roman" w:hAnsi="Times New Roman"/>
          <w:sz w:val="18"/>
          <w:szCs w:val="18"/>
          <w:color w:val="auto"/>
        </w:rPr>
        <w:t>Innventure LLC is party to an offer letter, dated January 5, 2021, with Mr. Haskell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“Haskell Letter”). The Haskell Letter provides for, among other things, an initial base salary rate of $200,000 per year, and an opportunity for Mr. Haskell to receive certain equity awards from Innventure LLC and new companies affiliated with Innventure LLC. Mr. Haskell’s base salary in 2024 was $300,000 per year. In January 2025, Mr. Haskell’s base salary was increased again to $700,000 per year.</w:t>
      </w:r>
    </w:p>
    <w:p>
      <w:pPr>
        <w:spacing w:after="0" w:line="156" w:lineRule="exact"/>
        <w:rPr>
          <w:sz w:val="20"/>
          <w:szCs w:val="20"/>
          <w:color w:val="auto"/>
        </w:rPr>
      </w:pPr>
    </w:p>
    <w:p>
      <w:pPr>
        <w:ind w:left="4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Mike Otworth: </w:t>
      </w:r>
      <w:r>
        <w:rPr>
          <w:rFonts w:ascii="Times New Roman" w:cs="Times New Roman" w:eastAsia="Times New Roman" w:hAnsi="Times New Roman"/>
          <w:sz w:val="18"/>
          <w:szCs w:val="18"/>
          <w:color w:val="auto"/>
        </w:rPr>
        <w:t>Innventure LLC is party to a Contractor Agreement for Services, effective November 16,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Sugar Grove Ventures, LLC, an independent contractor (the “Otworth Service Agreement”). Pursuant to the Otworth Service Agreement, Mr. Otworth serves as the primary contact and responsible party in carrying out the services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505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8"/>
          <w:szCs w:val="18"/>
          <w:color w:val="auto"/>
        </w:rPr>
        <w:t>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37"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John Scott: </w:t>
      </w:r>
      <w:r>
        <w:rPr>
          <w:rFonts w:ascii="Times New Roman" w:cs="Times New Roman" w:eastAsia="Times New Roman" w:hAnsi="Times New Roman"/>
          <w:sz w:val="18"/>
          <w:szCs w:val="18"/>
          <w:color w:val="auto"/>
        </w:rPr>
        <w:t>Innventure LLC is party to a Statement of Work, effective April 1, 2018, with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Group LLC, an independent contractor (“Corporate Development Group”)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89" w:lineRule="exact"/>
        <w:rPr>
          <w:sz w:val="20"/>
          <w:szCs w:val="20"/>
          <w:color w:val="auto"/>
        </w:rPr>
      </w:pPr>
    </w:p>
    <w:p>
      <w:pPr>
        <w:ind w:left="4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2024.</w:t>
      </w:r>
    </w:p>
    <w:p>
      <w:pPr>
        <w:spacing w:after="0" w:line="200" w:lineRule="exact"/>
        <w:rPr>
          <w:sz w:val="20"/>
          <w:szCs w:val="20"/>
          <w:color w:val="auto"/>
        </w:rPr>
      </w:pPr>
    </w:p>
    <w:p>
      <w:pPr>
        <w:spacing w:after="0" w:line="222" w:lineRule="exact"/>
        <w:rPr>
          <w:sz w:val="20"/>
          <w:szCs w:val="20"/>
          <w:color w:val="auto"/>
        </w:rPr>
      </w:pPr>
    </w:p>
    <w:tbl>
      <w:tblPr>
        <w:tblLayout w:type="fixed"/>
        <w:tblInd w:w="2840" w:type="dxa"/>
        <w:tblCellMar>
          <w:top w:w="0" w:type="dxa"/>
          <w:left w:w="0" w:type="dxa"/>
          <w:bottom w:w="0" w:type="dxa"/>
          <w:right w:w="0" w:type="dxa"/>
        </w:tblCellMar>
      </w:tblPr>
      <w:tr>
        <w:trPr>
          <w:trHeight w:val="149"/>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92"/>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9"/>
        </w:trPr>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r>
      <w:tr>
        <w:trPr>
          <w:trHeight w:val="162"/>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0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of Shares or</w:t>
            </w:r>
          </w:p>
        </w:tc>
      </w:tr>
      <w:tr>
        <w:trPr>
          <w:trHeight w:val="166"/>
        </w:trPr>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8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100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7"/>
              </w:rPr>
              <w:t>Units of Stock</w:t>
            </w:r>
          </w:p>
        </w:tc>
      </w:tr>
    </w:tbl>
    <w:p>
      <w:pPr>
        <w:sectPr>
          <w:pgSz w:w="11900" w:h="16838" w:orient="portrait"/>
          <w:cols w:equalWidth="0" w:num="1">
            <w:col w:w="9019"/>
          </w:cols>
          <w:pgMar w:left="1440" w:top="81" w:right="1440" w:bottom="0" w:gutter="0" w:footer="0" w:header="0"/>
        </w:sectPr>
      </w:pPr>
    </w:p>
    <w:bookmarkStart w:id="36" w:name="page37"/>
    <w:bookmarkEnd w:id="3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Type of</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88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290" w:type="dxa"/>
            <w:vAlign w:val="bottom"/>
          </w:tcPr>
          <w:p>
            <w:pPr>
              <w:spacing w:after="0"/>
              <w:rPr>
                <w:sz w:val="12"/>
                <w:szCs w:val="12"/>
                <w:color w:val="auto"/>
              </w:rPr>
            </w:pPr>
          </w:p>
        </w:tc>
        <w:tc>
          <w:tcPr>
            <w:tcW w:w="123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64"/>
        </w:trPr>
        <w:tc>
          <w:tcPr>
            <w:tcW w:w="1660" w:type="dxa"/>
            <w:vAlign w:val="bottom"/>
            <w:gridSpan w:val="2"/>
            <w:vMerge w:val="continue"/>
          </w:tcPr>
          <w:p>
            <w:pPr>
              <w:spacing w:after="0"/>
              <w:rPr>
                <w:sz w:val="14"/>
                <w:szCs w:val="1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Award(1)</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290" w:type="dxa"/>
            <w:vAlign w:val="bottom"/>
          </w:tcPr>
          <w:p>
            <w:pPr>
              <w:spacing w:after="0"/>
              <w:rPr>
                <w:sz w:val="14"/>
                <w:szCs w:val="14"/>
                <w:color w:val="auto"/>
              </w:rPr>
            </w:pPr>
          </w:p>
        </w:tc>
        <w:tc>
          <w:tcPr>
            <w:tcW w:w="95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Gregory W. (Bill)</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90" w:type="dxa"/>
            <w:vAlign w:val="bottom"/>
            <w:tcBorders>
              <w:bottom w:val="single" w:sz="8" w:color="auto"/>
            </w:tcBorders>
          </w:tcPr>
          <w:p>
            <w:pPr>
              <w:spacing w:after="0"/>
              <w:rPr>
                <w:sz w:val="16"/>
                <w:szCs w:val="16"/>
                <w:color w:val="auto"/>
              </w:rPr>
            </w:pPr>
          </w:p>
        </w:tc>
        <w:tc>
          <w:tcPr>
            <w:tcW w:w="95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Haskell</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Mike Otworth </w:t>
            </w:r>
            <w:r>
              <w:rPr>
                <w:rFonts w:ascii="Times New Roman" w:cs="Times New Roman" w:eastAsia="Times New Roman" w:hAnsi="Times New Roman"/>
                <w:sz w:val="14"/>
                <w:szCs w:val="14"/>
                <w:b w:val="1"/>
                <w:bCs w:val="1"/>
                <w:color w:val="B4B4B4"/>
              </w:rPr>
              <w:t>.................</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262,295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SARs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537,705</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(5)</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7,447,214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Accelsius Units</w:t>
            </w:r>
          </w:p>
        </w:tc>
        <w:tc>
          <w:tcPr>
            <w:tcW w:w="7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9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rPr>
              <w:t>(6)</w:t>
            </w:r>
          </w:p>
        </w:tc>
        <w:tc>
          <w:tcPr>
            <w:tcW w:w="9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3,147,750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Dr. John Scott </w:t>
            </w:r>
            <w:r>
              <w:rPr>
                <w:rFonts w:ascii="Times New Roman" w:cs="Times New Roman" w:eastAsia="Times New Roman" w:hAnsi="Times New Roman"/>
                <w:sz w:val="14"/>
                <w:szCs w:val="14"/>
                <w:b w:val="1"/>
                <w:bCs w:val="1"/>
                <w:color w:val="B4B4B4"/>
              </w:rPr>
              <w:t>.................</w:t>
            </w: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90" w:type="dxa"/>
            <w:vAlign w:val="bottom"/>
            <w:vMerge w:val="continue"/>
          </w:tcPr>
          <w:p>
            <w:pPr>
              <w:spacing w:after="0"/>
              <w:rPr>
                <w:sz w:val="6"/>
                <w:szCs w:val="6"/>
                <w:color w:val="auto"/>
              </w:rPr>
            </w:pPr>
          </w:p>
        </w:tc>
        <w:tc>
          <w:tcPr>
            <w:tcW w:w="95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gridSpan w:val="2"/>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Options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163,934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12/9/2034</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Refinity Units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(4)</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SARs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 RSUs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336,066</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(5)</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4,654,514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Accelsius Units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29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(8)</w:t>
            </w:r>
          </w:p>
        </w:tc>
        <w:tc>
          <w:tcPr>
            <w:tcW w:w="9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434,813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-1767205</wp:posOffset>
            </wp:positionV>
            <wp:extent cx="7016115" cy="5556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9" w:lineRule="exact"/>
        <w:rPr>
          <w:sz w:val="20"/>
          <w:szCs w:val="20"/>
          <w:color w:val="auto"/>
        </w:rPr>
      </w:pPr>
    </w:p>
    <w:p>
      <w:pPr>
        <w:ind w:left="380" w:right="219" w:hanging="331"/>
        <w:spacing w:after="0"/>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spacing w:after="0" w:line="202" w:lineRule="exact"/>
        <w:rPr>
          <w:rFonts w:ascii="Times New Roman" w:cs="Times New Roman" w:eastAsia="Times New Roman" w:hAnsi="Times New Roman"/>
          <w:sz w:val="19"/>
          <w:szCs w:val="19"/>
          <w:color w:val="auto"/>
          <w:vertAlign w:val="superscript"/>
        </w:rPr>
      </w:pPr>
    </w:p>
    <w:p>
      <w:pPr>
        <w:ind w:left="380" w:right="199" w:hanging="331"/>
        <w:spacing w:after="0" w:line="281" w:lineRule="auto"/>
        <w:tabs>
          <w:tab w:leader="none" w:pos="38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5" w:lineRule="exact"/>
        <w:rPr>
          <w:rFonts w:ascii="Times New Roman" w:cs="Times New Roman" w:eastAsia="Times New Roman" w:hAnsi="Times New Roman"/>
          <w:sz w:val="9"/>
          <w:szCs w:val="9"/>
          <w:color w:val="auto"/>
        </w:rPr>
      </w:pPr>
    </w:p>
    <w:p>
      <w:pPr>
        <w:ind w:left="380" w:right="99" w:hanging="331"/>
        <w:spacing w:after="0" w:line="221"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spacing w:after="0" w:line="42" w:lineRule="exact"/>
        <w:rPr>
          <w:rFonts w:ascii="Times New Roman" w:cs="Times New Roman" w:eastAsia="Times New Roman" w:hAnsi="Times New Roman"/>
          <w:sz w:val="19"/>
          <w:szCs w:val="19"/>
          <w:color w:val="auto"/>
          <w:vertAlign w:val="superscript"/>
        </w:rPr>
      </w:pPr>
    </w:p>
    <w:p>
      <w:pPr>
        <w:ind w:left="380" w:right="119" w:hanging="331"/>
        <w:spacing w:after="0" w:line="281" w:lineRule="auto"/>
        <w:tabs>
          <w:tab w:leader="none" w:pos="38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spacing w:after="0" w:line="15" w:lineRule="exact"/>
        <w:rPr>
          <w:rFonts w:ascii="Times New Roman" w:cs="Times New Roman" w:eastAsia="Times New Roman" w:hAnsi="Times New Roman"/>
          <w:sz w:val="9"/>
          <w:szCs w:val="9"/>
          <w:color w:val="auto"/>
        </w:rPr>
      </w:pPr>
    </w:p>
    <w:p>
      <w:pPr>
        <w:ind w:left="380" w:right="199" w:hanging="331"/>
        <w:spacing w:after="0" w:line="233"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42" w:lineRule="exact"/>
        <w:rPr>
          <w:rFonts w:ascii="Times New Roman" w:cs="Times New Roman" w:eastAsia="Times New Roman" w:hAnsi="Times New Roman"/>
          <w:sz w:val="19"/>
          <w:szCs w:val="19"/>
          <w:color w:val="auto"/>
          <w:vertAlign w:val="superscript"/>
        </w:rPr>
      </w:pPr>
    </w:p>
    <w:p>
      <w:pPr>
        <w:ind w:left="380" w:right="339" w:hanging="331"/>
        <w:spacing w:after="0" w:line="239"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March 22, 2024, Accelsius granted to Mr. Otworth 100,000 Accelsius Incentive Units, with an Accelsius Distribution Threshold of $4.41. 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8" w:lineRule="exact"/>
        <w:rPr>
          <w:rFonts w:ascii="Times New Roman" w:cs="Times New Roman" w:eastAsia="Times New Roman" w:hAnsi="Times New Roman"/>
          <w:sz w:val="19"/>
          <w:szCs w:val="19"/>
          <w:color w:val="auto"/>
          <w:vertAlign w:val="superscript"/>
        </w:rPr>
      </w:pPr>
    </w:p>
    <w:p>
      <w:pPr>
        <w:jc w:val="both"/>
        <w:ind w:left="380" w:right="299" w:hanging="331"/>
        <w:spacing w:after="0" w:line="281" w:lineRule="auto"/>
        <w:tabs>
          <w:tab w:leader="none" w:pos="38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spacing w:after="0" w:line="15" w:lineRule="exact"/>
        <w:rPr>
          <w:rFonts w:ascii="Times New Roman" w:cs="Times New Roman" w:eastAsia="Times New Roman" w:hAnsi="Times New Roman"/>
          <w:sz w:val="9"/>
          <w:szCs w:val="9"/>
          <w:color w:val="auto"/>
        </w:rPr>
      </w:pPr>
    </w:p>
    <w:p>
      <w:pPr>
        <w:ind w:left="380" w:right="159" w:hanging="331"/>
        <w:spacing w:after="0" w:line="239" w:lineRule="auto"/>
        <w:tabs>
          <w:tab w:leader="none" w:pos="3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4876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 Qualified Retirement Plan</w:t>
      </w:r>
    </w:p>
    <w:p>
      <w:pPr>
        <w:spacing w:after="0" w:line="202"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13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Innventure did not offer a defined benefit pension plan or nonqualified deferred compensation plan for its NEOs during 2024.</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Severance and Change in Control Compensation</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Severance Under NEO Arrangements</w:t>
      </w:r>
    </w:p>
    <w:p>
      <w:pPr>
        <w:spacing w:after="0" w:line="187"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Innventure Equity Compensation</w:t>
      </w:r>
    </w:p>
    <w:p>
      <w:pPr>
        <w:spacing w:after="0" w:line="200"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In general, RSUs, stock options and Accelsius SARs granted under the 2024 Plan are eligible to vest or are automatically exercised as follows in the event of certain termination and change in control scenarios.</w:t>
      </w:r>
    </w:p>
    <w:p>
      <w:pPr>
        <w:spacing w:after="0" w:line="11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If an NEO’s employment is terminated due to death or disability, the RSUs will vest in full. If an NEO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remains employed through the date of a “change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143" w:lineRule="exact"/>
        <w:rPr>
          <w:sz w:val="20"/>
          <w:szCs w:val="20"/>
          <w:color w:val="auto"/>
        </w:rPr>
      </w:pPr>
    </w:p>
    <w:p>
      <w:pPr>
        <w:ind w:left="40" w:right="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If an NEO’s employment is terminated due to death or disability, the unvested portion of the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vest in full upon termination. If an NEO remains employed through the date of a “change in control” (as defined for purposes of the applicable equity awards) and a replacement award is not provided, the option will vest in full. If a</w:t>
      </w:r>
    </w:p>
    <w:p>
      <w:pPr>
        <w:sectPr>
          <w:pgSz w:w="11900" w:h="16838" w:orient="portrait"/>
          <w:cols w:equalWidth="0" w:num="1">
            <w:col w:w="9019"/>
          </w:cols>
          <w:pgMar w:left="1440" w:top="85" w:right="1440" w:bottom="0" w:gutter="0" w:footer="0" w:header="0"/>
        </w:sectPr>
      </w:pPr>
    </w:p>
    <w:bookmarkStart w:id="37" w:name="page38"/>
    <w:bookmarkEnd w:id="37"/>
    <w:p>
      <w:pPr>
        <w:spacing w:after="0" w:line="21" w:lineRule="exact"/>
        <w:rPr>
          <w:sz w:val="20"/>
          <w:szCs w:val="20"/>
          <w:color w:val="auto"/>
        </w:rPr>
      </w:pPr>
    </w:p>
    <w:p>
      <w:pPr>
        <w:ind w:left="40" w:right="259"/>
        <w:spacing w:after="0" w:line="198" w:lineRule="auto"/>
        <w:rPr>
          <w:sz w:val="20"/>
          <w:szCs w:val="20"/>
          <w:color w:val="auto"/>
        </w:rPr>
      </w:pPr>
      <w:r>
        <w:rPr>
          <w:rFonts w:ascii="Times New Roman" w:cs="Times New Roman" w:eastAsia="Times New Roman" w:hAnsi="Times New Roman"/>
          <w:sz w:val="18"/>
          <w:szCs w:val="18"/>
          <w:color w:val="auto"/>
        </w:rPr>
        <w:t>replacement award is provided and, at any point within two years following a “change in control,” the employment of an NEO is terminated by the Company (or its successor) without “cause” or by the NEO for “good reason,”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-196215</wp:posOffset>
            </wp:positionV>
            <wp:extent cx="7016115" cy="4185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award will vest in full.</w:t>
      </w:r>
    </w:p>
    <w:p>
      <w:pPr>
        <w:spacing w:after="0" w:line="178"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Accelsius SARs. </w:t>
      </w:r>
      <w:r>
        <w:rPr>
          <w:rFonts w:ascii="Times New Roman" w:cs="Times New Roman" w:eastAsia="Times New Roman" w:hAnsi="Times New Roman"/>
          <w:sz w:val="18"/>
          <w:szCs w:val="18"/>
          <w:color w:val="auto"/>
        </w:rPr>
        <w:t>The Accelsius SARs granted in December 2024 were fully vested upon grant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exercised upon the earliest to occur of: (i) the 24-month anniversary of the Date of Grant (as defined in the applicable award agreement), (ii) the participant’s death, or (iii) the participant’s disability (as defined in the applicable award agreement).</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Incentive Units Upon a Termination of Employment or Engagement</w:t>
      </w:r>
    </w:p>
    <w:p>
      <w:pPr>
        <w:spacing w:after="0" w:line="187"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w:t>
      </w:r>
    </w:p>
    <w:p>
      <w:pPr>
        <w:spacing w:after="0" w:line="162"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described above, Innventure Incentive Units held by the NEOs vested (to the extent unvested) at the time of the Business Combination and were cancelled in exchange for shares of Common Stock.</w:t>
      </w:r>
    </w:p>
    <w:p>
      <w:pPr>
        <w:spacing w:after="0" w:line="121"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With respect to Refinity Incentive Units, if an NEO’s employment or service is terminated, then Refinity Holdings may redeem such NEO’s vested Refinity Incentive Units for their fair market value (as defined in the applicable award agreements pursuant to which Refinity Incentive Units are granted), except that if the termination is by Refinity Holdings for cause (as defined in the Refinity Holdings, LLC PI Unit Incentive Plan), such vested and unvested Refinity Incentive Units may be redeemed by Refinity Holdings for $0.</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6248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of Accelsius Incentive Units and Refinity Incentive Units upon a Change in Control</w:t>
      </w:r>
    </w:p>
    <w:p>
      <w:pPr>
        <w:spacing w:after="0" w:line="187"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With respect to Accelsius Incentive Units and Refinity Incentive Units if Accelsius or Refinity Holdings,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left="40" w:right="419" w:firstLine="648"/>
        <w:spacing w:after="0" w:line="312" w:lineRule="auto"/>
        <w:rPr>
          <w:sz w:val="20"/>
          <w:szCs w:val="20"/>
          <w:color w:val="auto"/>
        </w:rPr>
      </w:pPr>
      <w:r>
        <w:rPr>
          <w:rFonts w:ascii="Times New Roman" w:cs="Times New Roman" w:eastAsia="Times New Roman" w:hAnsi="Times New Roman"/>
          <w:sz w:val="17"/>
          <w:szCs w:val="17"/>
          <w:color w:val="auto"/>
        </w:rPr>
        <w:t>Bill Haskell, David Yablunosky, Mike Otworth, Suzanne Niemeyer, James Donnally, Bruce Brown, Elizabeth Williams, Daniel Hennessy, and Michael Amalfitano served on the Innventure Board of Directors during 2024.</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Non-Management Director Compensation Policy</w:t>
      </w:r>
    </w:p>
    <w:p>
      <w:pPr>
        <w:spacing w:after="0" w:line="200"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 2024, our Board of Directors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41" w:lineRule="exact"/>
        <w:rPr>
          <w:sz w:val="20"/>
          <w:szCs w:val="20"/>
          <w:color w:val="auto"/>
        </w:rPr>
      </w:pPr>
    </w:p>
    <w:p>
      <w:pPr>
        <w:ind w:left="1020" w:right="119" w:hanging="32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Equity Grant </w:t>
      </w:r>
      <w:r>
        <w:rPr>
          <w:rFonts w:ascii="Times New Roman" w:cs="Times New Roman" w:eastAsia="Times New Roman" w:hAnsi="Times New Roman"/>
          <w:sz w:val="18"/>
          <w:szCs w:val="18"/>
          <w:color w:val="auto"/>
        </w:rPr>
        <w:t>: Each non-management director that became a member of our Board as of October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who was still serving on our Board on the third business day following the effective date of the Director Compensation Plan received RSUs with a targeted value of $90,000 on such date, in respect of their service from the Closing and the date of the Company’s first annual meeting of stockholders. Such RSUs will generally vest on the date of this year’s Annual Meeting, subject to each non-management director providing service on our Board through such date.</w:t>
      </w:r>
    </w:p>
    <w:p>
      <w:pPr>
        <w:spacing w:after="0" w:line="141" w:lineRule="exact"/>
        <w:rPr>
          <w:rFonts w:ascii="Times New Roman" w:cs="Times New Roman" w:eastAsia="Times New Roman" w:hAnsi="Times New Roman"/>
          <w:sz w:val="18"/>
          <w:szCs w:val="18"/>
          <w:color w:val="auto"/>
        </w:rPr>
      </w:pPr>
    </w:p>
    <w:p>
      <w:pPr>
        <w:ind w:left="1020" w:right="199" w:hanging="32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Quarterly cash retainer </w:t>
      </w:r>
      <w:r>
        <w:rPr>
          <w:rFonts w:ascii="Times New Roman" w:cs="Times New Roman" w:eastAsia="Times New Roman" w:hAnsi="Times New Roman"/>
          <w:sz w:val="18"/>
          <w:szCs w:val="18"/>
          <w:color w:val="auto"/>
        </w:rPr>
        <w:t>: Each non-management director will receive an annual cash retainer fee of $80,000,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arrears on a quarterly basis. The annual cash retainer fee will be prorated in the event that a non-management director serves on our Board for a portion of any calendar quarter.</w:t>
      </w:r>
    </w:p>
    <w:p>
      <w:pPr>
        <w:spacing w:after="0" w:line="146" w:lineRule="exact"/>
        <w:rPr>
          <w:rFonts w:ascii="Times New Roman" w:cs="Times New Roman" w:eastAsia="Times New Roman" w:hAnsi="Times New Roman"/>
          <w:sz w:val="18"/>
          <w:szCs w:val="18"/>
          <w:color w:val="auto"/>
        </w:rPr>
      </w:pPr>
    </w:p>
    <w:p>
      <w:pPr>
        <w:ind w:left="1020" w:right="99" w:hanging="32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equity retainer</w:t>
      </w:r>
      <w:r>
        <w:rPr>
          <w:rFonts w:ascii="Times New Roman" w:cs="Times New Roman" w:eastAsia="Times New Roman" w:hAnsi="Times New Roman"/>
          <w:sz w:val="18"/>
          <w:szCs w:val="18"/>
          <w:color w:val="auto"/>
        </w:rPr>
        <w:t>: On the date of each of our regularly scheduled annual meetings of stockholders,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44" w:lineRule="exact"/>
        <w:rPr>
          <w:rFonts w:ascii="Times New Roman" w:cs="Times New Roman" w:eastAsia="Times New Roman" w:hAnsi="Times New Roman"/>
          <w:sz w:val="18"/>
          <w:szCs w:val="18"/>
          <w:color w:val="auto"/>
        </w:rPr>
      </w:pPr>
    </w:p>
    <w:p>
      <w:pPr>
        <w:ind w:left="1020" w:right="139" w:hanging="32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retainers</w:t>
      </w:r>
      <w:r>
        <w:rPr>
          <w:rFonts w:ascii="Times New Roman" w:cs="Times New Roman" w:eastAsia="Times New Roman" w:hAnsi="Times New Roman"/>
          <w:sz w:val="18"/>
          <w:szCs w:val="18"/>
          <w:color w:val="auto"/>
        </w:rPr>
        <w:t>: Each non-management director who serves as the chairperson of a standing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will receive an annual cash retainer fee of $20,000, paid in arrears on a quarterly basis and prorated in the event that such non-management director serves in such position for a portion of any calendar</w:t>
      </w:r>
    </w:p>
    <w:p>
      <w:pPr>
        <w:sectPr>
          <w:pgSz w:w="11900" w:h="16859" w:orient="portrait"/>
          <w:cols w:equalWidth="0" w:num="1">
            <w:col w:w="9019"/>
          </w:cols>
          <w:pgMar w:left="1440" w:top="108" w:right="1440" w:bottom="0" w:gutter="0" w:footer="0" w:header="0"/>
        </w:sectPr>
      </w:pPr>
    </w:p>
    <w:bookmarkStart w:id="38" w:name="page39"/>
    <w:bookmarkEnd w:id="38"/>
    <w:p>
      <w:pPr>
        <w:ind w:left="1020" w:right="99"/>
        <w:spacing w:after="0" w:line="235" w:lineRule="auto"/>
        <w:rPr>
          <w:sz w:val="20"/>
          <w:szCs w:val="20"/>
          <w:color w:val="auto"/>
        </w:rPr>
      </w:pPr>
      <w:r>
        <w:rPr>
          <w:rFonts w:ascii="Times New Roman" w:cs="Times New Roman" w:eastAsia="Times New Roman" w:hAnsi="Times New Roman"/>
          <w:sz w:val="17"/>
          <w:szCs w:val="17"/>
          <w:color w:val="auto"/>
        </w:rPr>
        <w:t>quarter. Each non-management director who serves as a member, but not a chairperson, of a committee of our Board will receive an annual cash retainer fee of $10,000 for each committee, paid in arrears on a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-222250</wp:posOffset>
            </wp:positionV>
            <wp:extent cx="7016115" cy="281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ind w:left="1020" w:right="99"/>
        <w:spacing w:after="0" w:line="260" w:lineRule="auto"/>
        <w:rPr>
          <w:sz w:val="20"/>
          <w:szCs w:val="20"/>
          <w:color w:val="auto"/>
        </w:rPr>
      </w:pPr>
      <w:r>
        <w:rPr>
          <w:rFonts w:ascii="Times New Roman" w:cs="Times New Roman" w:eastAsia="Times New Roman" w:hAnsi="Times New Roman"/>
          <w:sz w:val="18"/>
          <w:szCs w:val="18"/>
          <w:color w:val="auto"/>
        </w:rPr>
        <w:t>basis and prorated in the event that such non-management director serves in such position for a portion of any calendar quarter.</w:t>
      </w:r>
    </w:p>
    <w:p>
      <w:pPr>
        <w:spacing w:after="0" w:line="141"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7620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Fees earned or paid</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720" w:type="dxa"/>
            <w:vAlign w:val="bottom"/>
          </w:tcPr>
          <w:p>
            <w:pPr>
              <w:spacing w:after="0"/>
              <w:rPr>
                <w:sz w:val="24"/>
                <w:szCs w:val="24"/>
                <w:color w:val="auto"/>
              </w:rPr>
            </w:pPr>
          </w:p>
        </w:tc>
      </w:tr>
      <w:tr>
        <w:trPr>
          <w:trHeight w:val="225"/>
        </w:trPr>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cash ($)</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($)(1)</w:t>
            </w:r>
          </w:p>
        </w:tc>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23"/>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James Donnally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782,000</w:t>
            </w: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899,499</w:t>
            </w:r>
          </w:p>
        </w:tc>
      </w:tr>
      <w:tr>
        <w:trPr>
          <w:trHeight w:val="216"/>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Bruce Brown </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117,499</w:t>
            </w:r>
          </w:p>
        </w:tc>
      </w:tr>
      <w:tr>
        <w:trPr>
          <w:trHeight w:val="216"/>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Elizabeth Williams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r>
        <w:trPr>
          <w:trHeight w:val="216"/>
        </w:trPr>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Daniel Hennessy</w:t>
            </w:r>
            <w:r>
              <w:rPr>
                <w:rFonts w:ascii="Times New Roman" w:cs="Times New Roman" w:eastAsia="Times New Roman" w:hAnsi="Times New Roman"/>
                <w:sz w:val="18"/>
                <w:szCs w:val="18"/>
                <w:b w:val="1"/>
                <w:bCs w:val="1"/>
                <w:color w:val="B4B4B4"/>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r>
        <w:trPr>
          <w:trHeight w:val="216"/>
        </w:trPr>
        <w:tc>
          <w:tcPr>
            <w:tcW w:w="1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Michael Amalfitano </w:t>
            </w:r>
            <w:r>
              <w:rPr>
                <w:rFonts w:ascii="Times New Roman" w:cs="Times New Roman" w:eastAsia="Times New Roman" w:hAnsi="Times New Roman"/>
                <w:sz w:val="18"/>
                <w:szCs w:val="18"/>
                <w:b w:val="1"/>
                <w:bCs w:val="1"/>
                <w:color w:val="B4B4B4"/>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89,999</w:t>
            </w:r>
          </w:p>
        </w:tc>
        <w:tc>
          <w:tcPr>
            <w:tcW w:w="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114,999</w:t>
            </w: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right="179" w:hanging="331"/>
        <w:spacing w:after="0" w:line="239" w:lineRule="auto"/>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grant date fair value of the RSU awards, calculated in accordance with FASB ASC Topic 718. For information regarding assumptions used in calculating these values, see Note 14 to the consolidated financial statements included in our 2024 Annual Report, filed with the SEC on April 14, 2025. As of December 31, 2024, the non-management directors held the following outstanding stock awards: each of Messrs. Donnally, Brown, Hennessy and Amalfitano and Ms. Williams, 7,377 RSUs.</w:t>
      </w:r>
    </w:p>
    <w:p>
      <w:pPr>
        <w:spacing w:after="0" w:line="46" w:lineRule="exact"/>
        <w:rPr>
          <w:rFonts w:ascii="Times New Roman" w:cs="Times New Roman" w:eastAsia="Times New Roman" w:hAnsi="Times New Roman"/>
          <w:sz w:val="21"/>
          <w:szCs w:val="21"/>
          <w:color w:val="auto"/>
          <w:vertAlign w:val="superscript"/>
        </w:rPr>
      </w:pPr>
    </w:p>
    <w:p>
      <w:pPr>
        <w:ind w:left="380" w:right="79" w:hanging="331"/>
        <w:spacing w:after="0" w:line="247" w:lineRule="auto"/>
        <w:tabs>
          <w:tab w:leader="none" w:pos="3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grant date fair value of the Accelsius SARs, calculated in accordance with FASB ASC Topic 718. For information regarding assumptions used in calculating these values, see Note 14 to the consolidated financial statements included in our 2024 Annual Report, filed with the SEC on April 14, 2025.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ectPr>
          <w:pgSz w:w="11900" w:h="16838" w:orient="portrait"/>
          <w:cols w:equalWidth="0" w:num="1">
            <w:col w:w="9019"/>
          </w:cols>
          <w:pgMar w:left="1440" w:top="108"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8991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of Major Stockholders, Executive Officers and Directors</w:t>
      </w:r>
    </w:p>
    <w:p>
      <w:pPr>
        <w:spacing w:after="0" w:line="202"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24, 2025 (except as otherwise set forth below) by:</w:t>
      </w:r>
    </w:p>
    <w:p>
      <w:pPr>
        <w:spacing w:after="0" w:line="121" w:lineRule="exact"/>
        <w:rPr>
          <w:sz w:val="20"/>
          <w:szCs w:val="20"/>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 directors;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85"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48"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is based on 53,487,294 shares of Common Stock outstanding as of April 25,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pacing w:after="0" w:line="162"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5"/>
        </w:trPr>
        <w:tc>
          <w:tcPr>
            <w:tcW w:w="5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6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6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Shares</w:t>
            </w:r>
          </w:p>
        </w:tc>
      </w:tr>
      <w:tr>
        <w:trPr>
          <w:trHeight w:val="236"/>
        </w:trPr>
        <w:tc>
          <w:tcPr>
            <w:tcW w:w="5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57"/>
        </w:trPr>
        <w:tc>
          <w:tcPr>
            <w:tcW w:w="5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Roland Austrup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863,264</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4,224,536</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7.90%</w:t>
            </w:r>
          </w:p>
        </w:tc>
      </w:tr>
      <w:tr>
        <w:trPr>
          <w:trHeight w:val="257"/>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Gregory W. Haskell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752,115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Michael Otworth</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2,942,902</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r>
      <w:tr>
        <w:trPr>
          <w:trHeight w:val="256"/>
        </w:trPr>
        <w:tc>
          <w:tcPr>
            <w:tcW w:w="53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John Scott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2,081,653</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3.89%</w:t>
            </w:r>
          </w:p>
        </w:tc>
      </w:tr>
      <w:tr>
        <w:trPr>
          <w:trHeight w:val="256"/>
        </w:trPr>
        <w:tc>
          <w:tcPr>
            <w:tcW w:w="5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David Yablunosky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185,871</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Suzanne Niemeyer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Bruce Brown </w:t>
            </w:r>
            <w:r>
              <w:rPr>
                <w:rFonts w:ascii="Times New Roman" w:cs="Times New Roman" w:eastAsia="Times New Roman" w:hAnsi="Times New Roman"/>
                <w:sz w:val="18"/>
                <w:szCs w:val="18"/>
                <w:color w:val="B4B4B4"/>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Elizabeth Williams</w:t>
            </w:r>
            <w:r>
              <w:rPr>
                <w:rFonts w:ascii="Times New Roman" w:cs="Times New Roman" w:eastAsia="Times New Roman" w:hAnsi="Times New Roman"/>
                <w:sz w:val="18"/>
                <w:szCs w:val="18"/>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Daniel J. Hennessy</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r>
      <w:tr>
        <w:trPr>
          <w:trHeight w:val="257"/>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Michael Amalfitano </w:t>
            </w:r>
            <w:r>
              <w:rPr>
                <w:rFonts w:ascii="Times New Roman" w:cs="Times New Roman" w:eastAsia="Times New Roman" w:hAnsi="Times New Roman"/>
                <w:sz w:val="18"/>
                <w:szCs w:val="18"/>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All Directors and Executive Officers as a Group (11 Individuals) </w:t>
            </w:r>
            <w:r>
              <w:rPr>
                <w:rFonts w:ascii="Times New Roman" w:cs="Times New Roman" w:eastAsia="Times New Roman" w:hAnsi="Times New Roman"/>
                <w:sz w:val="18"/>
                <w:szCs w:val="18"/>
                <w:b w:val="1"/>
                <w:bCs w:val="1"/>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12,373,608</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23.13%</w:t>
            </w:r>
          </w:p>
        </w:tc>
      </w:tr>
      <w:tr>
        <w:trPr>
          <w:trHeight w:val="256"/>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6"/>
        </w:trPr>
        <w:tc>
          <w:tcPr>
            <w:tcW w:w="532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9,235,795</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17.27%</w:t>
            </w:r>
          </w:p>
        </w:tc>
      </w:tr>
      <w:tr>
        <w:trPr>
          <w:trHeight w:val="256"/>
        </w:trPr>
        <w:tc>
          <w:tcPr>
            <w:tcW w:w="532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3,541,685</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w:t>
            </w:r>
          </w:p>
        </w:tc>
      </w:tr>
      <w:tr>
        <w:trPr>
          <w:trHeight w:val="256"/>
        </w:trPr>
        <w:tc>
          <w:tcPr>
            <w:tcW w:w="532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CastleKnight Master Fund LP</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7.39%</w:t>
            </w:r>
          </w:p>
        </w:tc>
      </w:tr>
      <w:tr>
        <w:trPr>
          <w:trHeight w:val="312"/>
        </w:trPr>
        <w:tc>
          <w:tcPr>
            <w:tcW w:w="5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Glockner Family Venture Fund, LP</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4,680,272</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r>
    </w:tbl>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8" w:lineRule="exact"/>
        <w:rPr>
          <w:sz w:val="20"/>
          <w:szCs w:val="20"/>
          <w:color w:val="auto"/>
        </w:rPr>
      </w:pPr>
    </w:p>
    <w:p>
      <w:pPr>
        <w:ind w:left="380" w:hanging="331"/>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ectPr>
          <w:pgSz w:w="11900" w:h="16838"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440" w:right="1440" w:bottom="0" w:gutter="0" w:footer="0" w:header="0"/>
          <w:type w:val="continuous"/>
        </w:sectPr>
      </w:pPr>
    </w:p>
    <w:bookmarkStart w:id="40" w:name="page41"/>
    <w:bookmarkEnd w:id="40"/>
    <w:p>
      <w:pPr>
        <w:ind w:left="660" w:right="79" w:hanging="331"/>
        <w:spacing w:after="0" w:line="248" w:lineRule="auto"/>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t>Consists of (i) 1,500,431 shares of Common Stock held by the James O. Donnally Revocable Trust over which Mr. Donnally has sole voting and investment power and (ii)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7" w:lineRule="exact"/>
        <w:rPr>
          <w:rFonts w:ascii="Times New Roman" w:cs="Times New Roman" w:eastAsia="Times New Roman" w:hAnsi="Times New Roman"/>
          <w:sz w:val="21"/>
          <w:szCs w:val="21"/>
          <w:color w:val="auto"/>
          <w:vertAlign w:val="superscript"/>
        </w:rPr>
      </w:pPr>
    </w:p>
    <w:p>
      <w:pPr>
        <w:ind w:left="660" w:hanging="331"/>
        <w:spacing w:after="0"/>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Otworth holds 2,942,902 shares of Common Stock.</w:t>
      </w:r>
    </w:p>
    <w:p>
      <w:pPr>
        <w:spacing w:after="0" w:line="50" w:lineRule="exact"/>
        <w:rPr>
          <w:rFonts w:ascii="Times New Roman" w:cs="Times New Roman" w:eastAsia="Times New Roman" w:hAnsi="Times New Roman"/>
          <w:sz w:val="21"/>
          <w:szCs w:val="21"/>
          <w:color w:val="auto"/>
          <w:vertAlign w:val="superscript"/>
        </w:rPr>
      </w:pPr>
    </w:p>
    <w:p>
      <w:pPr>
        <w:ind w:left="660" w:hanging="331"/>
        <w:spacing w:after="0" w:line="191" w:lineRule="auto"/>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Dr. Scott holds 2,081,653 shares of Common Stock.</w:t>
      </w:r>
    </w:p>
    <w:p>
      <w:pPr>
        <w:spacing w:after="0" w:line="57" w:lineRule="exact"/>
        <w:rPr>
          <w:rFonts w:ascii="Times New Roman" w:cs="Times New Roman" w:eastAsia="Times New Roman" w:hAnsi="Times New Roman"/>
          <w:sz w:val="21"/>
          <w:szCs w:val="21"/>
          <w:color w:val="auto"/>
          <w:vertAlign w:val="superscript"/>
        </w:rPr>
      </w:pPr>
    </w:p>
    <w:p>
      <w:pPr>
        <w:ind w:left="660" w:right="179" w:hanging="331"/>
        <w:spacing w:after="0" w:line="219" w:lineRule="auto"/>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Greg Wasson and Kimberly Wasson share voting and investment power over the securities held by WE-INN LLC. The address for WE-INN LLC is 233 N Michigan Avenue, Suite 1410 Chicago, Illinois 60601.</w:t>
      </w:r>
    </w:p>
    <w:p>
      <w:pPr>
        <w:spacing w:after="0" w:line="32" w:lineRule="exact"/>
        <w:rPr>
          <w:rFonts w:ascii="Times New Roman" w:cs="Times New Roman" w:eastAsia="Times New Roman" w:hAnsi="Times New Roman"/>
          <w:sz w:val="21"/>
          <w:szCs w:val="21"/>
          <w:color w:val="auto"/>
          <w:vertAlign w:val="superscript"/>
        </w:rPr>
      </w:pPr>
    </w:p>
    <w:p>
      <w:pPr>
        <w:ind w:left="660" w:right="79" w:hanging="331"/>
        <w:spacing w:after="0" w:line="247" w:lineRule="auto"/>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Ascent X Innventure TC, A Series of Ascent X Innventure, LP is a limited partnership (“Ascent”). Ascent holds 3,291,685 shares of Common Stock and 125,000 shares of Series C Preferred Stock. As of April 24, 2025, if the registration statement registering the resale of the shares of Common Stock underlying the Series C Preferred Stock (the “Series C Preferred Stock Resale Registration Statement”) were effective, these shares of Series C Preferred Stock would be convertible into 250,000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 Voting and investment power over the shares held by Ascent is exercised by Jonathan Loeffler and Mark Pomeroy Jr. The address for Ascent is 5956 Sherry Lane, 20th Floor, Dallas, Texas 75225.</w:t>
      </w:r>
    </w:p>
    <w:p>
      <w:pPr>
        <w:spacing w:after="0" w:line="46" w:lineRule="exact"/>
        <w:rPr>
          <w:rFonts w:ascii="Times New Roman" w:cs="Times New Roman" w:eastAsia="Times New Roman" w:hAnsi="Times New Roman"/>
          <w:sz w:val="21"/>
          <w:szCs w:val="21"/>
          <w:color w:val="auto"/>
          <w:vertAlign w:val="superscript"/>
        </w:rPr>
      </w:pPr>
    </w:p>
    <w:p>
      <w:pPr>
        <w:jc w:val="both"/>
        <w:ind w:left="660" w:right="139" w:hanging="331"/>
        <w:spacing w:after="0" w:line="239" w:lineRule="auto"/>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spacing w:after="0" w:line="2" w:lineRule="exact"/>
        <w:rPr>
          <w:rFonts w:ascii="Times New Roman" w:cs="Times New Roman" w:eastAsia="Times New Roman" w:hAnsi="Times New Roman"/>
          <w:sz w:val="21"/>
          <w:szCs w:val="21"/>
          <w:color w:val="auto"/>
          <w:vertAlign w:val="superscript"/>
        </w:rPr>
      </w:pPr>
    </w:p>
    <w:p>
      <w:pPr>
        <w:ind w:left="660" w:hanging="331"/>
        <w:spacing w:after="0"/>
        <w:tabs>
          <w:tab w:leader="none" w:pos="6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Glockner Family Venture Fund, LP holds 4,680,272 shares of Common Stock.</w:t>
      </w:r>
    </w:p>
    <w:p>
      <w:pPr>
        <w:spacing w:after="0" w:line="204" w:lineRule="exact"/>
        <w:rPr>
          <w:sz w:val="20"/>
          <w:szCs w:val="20"/>
          <w:color w:val="auto"/>
        </w:rPr>
      </w:pPr>
    </w:p>
    <w:p>
      <w:pPr>
        <w:ind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Company’s “free float,” as determined by the Company in reliance upon the guidance issued by FTSE Russell, exceeds 10% of the Company’s total voting power.</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r>
      <w:tr>
        <w:trPr>
          <w:trHeight w:val="162"/>
        </w:trPr>
        <w:tc>
          <w:tcPr>
            <w:tcW w:w="3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of outstanding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5"/>
        </w:trPr>
        <w:tc>
          <w:tcPr>
            <w:tcW w:w="3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r>
      <w:tr>
        <w:trPr>
          <w:trHeight w:val="187"/>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rights(1)(a)</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rights(2)(b)</w:t>
            </w:r>
          </w:p>
        </w:tc>
        <w:tc>
          <w:tcPr>
            <w:tcW w:w="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(a))(3)(c)</w:t>
            </w:r>
          </w:p>
        </w:tc>
      </w:tr>
      <w:tr>
        <w:trPr>
          <w:trHeight w:val="250"/>
        </w:trPr>
        <w:tc>
          <w:tcPr>
            <w:tcW w:w="3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 plans approved by</w:t>
            </w: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03"/>
        </w:trPr>
        <w:tc>
          <w:tcPr>
            <w:tcW w:w="3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3,878,195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7,144,699</w:t>
            </w:r>
          </w:p>
        </w:tc>
      </w:tr>
      <w:tr>
        <w:trPr>
          <w:trHeight w:val="270"/>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3"/>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xml:space="preserve">security holder </w:t>
            </w:r>
            <w:r>
              <w:rPr>
                <w:rFonts w:ascii="Times New Roman" w:cs="Times New Roman" w:eastAsia="Times New Roman" w:hAnsi="Times New Roman"/>
                <w:sz w:val="16"/>
                <w:szCs w:val="16"/>
                <w:color w:val="B4B4B4"/>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3,878,195</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7,144,699</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36" w:lineRule="exact"/>
        <w:rPr>
          <w:sz w:val="20"/>
          <w:szCs w:val="20"/>
          <w:color w:val="auto"/>
        </w:rPr>
      </w:pPr>
    </w:p>
    <w:p>
      <w:pPr>
        <w:ind w:left="660" w:right="59" w:hanging="331"/>
        <w:spacing w:after="0" w:line="236" w:lineRule="auto"/>
        <w:tabs>
          <w:tab w:leader="none" w:pos="66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Reflects options, restricted stock units and Accelsius SARs outstanding under the 2024 Plan. Each Accelsius SAR represents the right of the holder to receive a number of shares of Common Stock with a value equal to the appreciation in the value of a Class A Common Unit of Accelsius over a base price of $12.175 (such appreciation in value, the “spread”). We calculated the number of shares of Common Stock covered by the Accelsius SARs for purposes of this column (a) by determining the aggregate spread and dividing it by the fair market value of a share of Common Stock all as of December 31, 2024.</w:t>
      </w:r>
    </w:p>
    <w:p>
      <w:pPr>
        <w:spacing w:after="0" w:line="39" w:lineRule="exact"/>
        <w:rPr>
          <w:rFonts w:ascii="Times New Roman" w:cs="Times New Roman" w:eastAsia="Times New Roman" w:hAnsi="Times New Roman"/>
          <w:sz w:val="16"/>
          <w:szCs w:val="16"/>
          <w:color w:val="auto"/>
          <w:vertAlign w:val="superscript"/>
        </w:rPr>
      </w:pPr>
    </w:p>
    <w:p>
      <w:pPr>
        <w:ind w:left="660" w:right="139" w:hanging="331"/>
        <w:spacing w:after="0" w:line="231" w:lineRule="auto"/>
        <w:tabs>
          <w:tab w:leader="none" w:pos="66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weighted-average exercise price relates to outstanding stock options only. The Company’s restricted stock unit awards have no exercise price. The Accelsius SARs have a base price of $12.175, but such base price relates to Class A Common Units of Accelsius, not shares of Common Stock, and is already accounted for in the calculation of the number of shares of Common Stock covered by the Accelsius SARs included in column (a) as described in footnote 1 (and for the foregoing reasons is not reflected in this column (b)).</w:t>
      </w:r>
    </w:p>
    <w:p>
      <w:pPr>
        <w:spacing w:after="0" w:line="52" w:lineRule="exact"/>
        <w:rPr>
          <w:rFonts w:ascii="Times New Roman" w:cs="Times New Roman" w:eastAsia="Times New Roman" w:hAnsi="Times New Roman"/>
          <w:sz w:val="16"/>
          <w:szCs w:val="16"/>
          <w:color w:val="auto"/>
          <w:vertAlign w:val="superscript"/>
        </w:rPr>
      </w:pPr>
    </w:p>
    <w:p>
      <w:pPr>
        <w:ind w:left="660" w:right="179" w:hanging="331"/>
        <w:spacing w:after="0" w:line="231" w:lineRule="auto"/>
        <w:tabs>
          <w:tab w:leader="none" w:pos="66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December 31, 2024, consists of the shares available for future issuance under the 2024 Plan, all of which may be issued for awards other than options, warrants or rights (such as restricted stock). In general, the aggregate share limit under the 2024 Plan will be automatically increased on the first day of each fiscal year, until 2034, by an amount equal to the lesser of (a) 3% of the shares of the Company’s Common Stock outstanding on the last day of the immediately preceding fiscal year and (b) such smaller number of shares as determined by the Board of Directors of the Company.</w:t>
      </w:r>
    </w:p>
    <w:p>
      <w:pPr>
        <w:spacing w:after="0" w:line="200" w:lineRule="exact"/>
        <w:rPr>
          <w:sz w:val="20"/>
          <w:szCs w:val="20"/>
          <w:color w:val="auto"/>
        </w:rPr>
      </w:pPr>
    </w:p>
    <w:p>
      <w:pPr>
        <w:spacing w:after="0" w:line="2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289560</wp:posOffset>
            </wp:positionV>
            <wp:extent cx="7016115" cy="1207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full set of our materials include:</w:t>
      </w:r>
    </w:p>
    <w:p>
      <w:pPr>
        <w:sectPr>
          <w:pgSz w:w="11900" w:h="16838" w:orient="portrait"/>
          <w:cols w:equalWidth="0" w:num="1">
            <w:col w:w="9299"/>
          </w:cols>
          <w:pgMar w:left="1160" w:top="1179" w:right="1440" w:bottom="0" w:gutter="0" w:footer="0" w:header="0"/>
        </w:sectPr>
      </w:pPr>
    </w:p>
    <w:bookmarkStart w:id="41" w:name="page42"/>
    <w:bookmarkEnd w:id="41"/>
    <w:p>
      <w:pPr>
        <w:ind w:left="1020" w:hanging="32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854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t>the Notice and Proxy Statement for the meeting,</w:t>
      </w:r>
    </w:p>
    <w:p>
      <w:pPr>
        <w:spacing w:after="0" w:line="184"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or voting instruction card, and</w:t>
      </w:r>
    </w:p>
    <w:p>
      <w:pPr>
        <w:spacing w:after="0" w:line="198" w:lineRule="exact"/>
        <w:rPr>
          <w:rFonts w:ascii="Times New Roman" w:cs="Times New Roman" w:eastAsia="Times New Roman" w:hAnsi="Times New Roman"/>
          <w:sz w:val="18"/>
          <w:szCs w:val="18"/>
          <w:color w:val="auto"/>
        </w:rPr>
      </w:pPr>
    </w:p>
    <w:p>
      <w:pPr>
        <w:ind w:left="1020" w:hanging="32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Annual Report.</w:t>
      </w:r>
    </w:p>
    <w:p>
      <w:pPr>
        <w:spacing w:after="0" w:line="185" w:lineRule="exact"/>
        <w:rPr>
          <w:sz w:val="20"/>
          <w:szCs w:val="20"/>
          <w:color w:val="auto"/>
        </w:rPr>
      </w:pPr>
    </w:p>
    <w:p>
      <w:pPr>
        <w:ind w:left="40" w:right="359" w:firstLine="648"/>
        <w:spacing w:after="0" w:line="258" w:lineRule="auto"/>
        <w:rPr>
          <w:sz w:val="20"/>
          <w:szCs w:val="20"/>
          <w:color w:val="auto"/>
        </w:rPr>
      </w:pPr>
      <w:r>
        <w:rPr>
          <w:rFonts w:ascii="Times New Roman" w:cs="Times New Roman" w:eastAsia="Times New Roman" w:hAnsi="Times New Roman"/>
          <w:sz w:val="18"/>
          <w:szCs w:val="18"/>
          <w:color w:val="auto"/>
        </w:rPr>
        <w:t>You may view online this Proxy Statement and related materials at www.proxyvote.com. As described further above, stockholders will receive only a written notice of how to access our proxy materials and will not receive printed copies of the proxy materials unless requested. You may obtain a copy of our 2024 Annual Report on Form 10-K and Proxy Statement free of charge by visiting our website, www.innventure.com, or by writing to investorrelations@innventure.com.</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20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Notice of Annual Meeting and Internet Availability of Proxy Materials (or Proxy Statement, for those who receive a printed copy of the Proxy Statement) in accordance with a notice sent earlier by their bank or broker. This practice of sending only one copy of proxy materials is called “householding,” and saves us money in printing and distribution costs. This practice will continue unless instructions to the contrary are received by your bank or broker from one or more of the stockholders within the household.</w:t>
      </w:r>
    </w:p>
    <w:p>
      <w:pPr>
        <w:spacing w:after="0" w:line="14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 or by contacting us in writing at Innventure, Inc., 6900 Tavistock Lakes Blvd, Suite 400, Orlando, FL 32827, Attention: Corporate Secretary, or by phone at (321) 209-6787. We will also promptly deliver a separate copy of one Notice of Annual Meeting and Internet Availability of Proxy Materials (or Proxy Statement, as applicable) to any shareholder residing at an address to which only one copy was delivered. Requests for additional copies should be directed to us in writing using the contact information listed above.</w:t>
      </w:r>
    </w:p>
    <w:p>
      <w:pPr>
        <w:spacing w:after="0" w:line="2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257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48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289560</wp:posOffset>
            </wp:positionV>
            <wp:extent cx="7016115" cy="3950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Roman"/>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upperLetter"/>
      <w:start w:val="35"/>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3"/>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Roman"/>
      <w:start w:val="2"/>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4"/>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2025-05-09T07:19:30Z</dcterms:created>
  <dcterms:modified xsi:type="dcterms:W3CDTF">2025-05-09T07:19:30Z</dcterms:modified>
</cp:coreProperties>
</file>