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2"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424(b)(3)</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333-276714</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 No. 7</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September 10, 2024)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Innventure, Inc.</w:t>
      </w:r>
    </w:p>
    <w:p>
      <w:pPr>
        <w:spacing w:after="0" w:line="255" w:lineRule="exact"/>
        <w:rPr>
          <w:sz w:val="24"/>
          <w:szCs w:val="24"/>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prospectus supplement updates, amends and supplements the prospectus dated September 10, 2024 (the “Prospectus”), which forms a part of our Registration Statement on Form S-4 (Registration No. 333-276714) and is being filed to update, amend and supplement the information included in the Prospectus with information contained in our Current Report on Form 8-K, which was filed with the Securities and Exchange Commission (the “SEC”) on November 18, 2024 (the “Current Report”). Accordingly, we have attached the Current Report to this prospectus supplement. Capitalized terms used in this prospectus supplement and not otherwise defined herein have the meanings specified in the Prospectus.</w:t>
      </w:r>
    </w:p>
    <w:p>
      <w:pPr>
        <w:spacing w:after="0" w:line="183" w:lineRule="exact"/>
        <w:rPr>
          <w:sz w:val="24"/>
          <w:szCs w:val="24"/>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prospectus supplement is not complete without the Prospectus. This prospectus supplement should be read in conjunction with the Prospectus, which is to be delivered with this prospectus supplement, and is qualified by reference thereto, except to the extent that the information in this prospectus supplement updates or supersedes the information contained in the Prospectus. Please keep this prospectus supplement with your Prospectus for future reference.</w:t>
      </w:r>
    </w:p>
    <w:p>
      <w:pPr>
        <w:spacing w:after="0" w:line="180" w:lineRule="exact"/>
        <w:rPr>
          <w:sz w:val="24"/>
          <w:szCs w:val="24"/>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Shares of our common stock, par value $0.0001 per share (our “Common Stock”), are listed on The Nasdaq Stock Market, LLC under the symbol “INV.” On November 15, 2024, the closing price of our Common Stock was $11.01 per share.</w:t>
      </w:r>
    </w:p>
    <w:p>
      <w:pPr>
        <w:spacing w:after="0" w:line="158"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Investing in our securities involves risks that are described in the “Risk Factors” section of the Prospectus.</w:t>
      </w:r>
    </w:p>
    <w:p>
      <w:pPr>
        <w:spacing w:after="0" w:line="225" w:lineRule="exact"/>
        <w:rPr>
          <w:sz w:val="24"/>
          <w:szCs w:val="24"/>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 nor any state securities commission has approved or disapproved of the securities to be issued under the Prospectus or this prospectus supplement or determined if the Prospectus or this prospectus supplement is truthful or complete. Any representation to the contrary is a criminal offense.</w:t>
      </w:r>
    </w:p>
    <w:p>
      <w:pPr>
        <w:spacing w:after="0" w:line="17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date of this prospectus supplement is November 19,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636905</wp:posOffset>
            </wp:positionV>
            <wp:extent cx="711517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577215</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w:t>
      </w:r>
    </w:p>
    <w:p>
      <w:pPr>
        <w:spacing w:after="0" w:line="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p>
      <w:pPr>
        <w:spacing w:after="0" w:line="7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1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47"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3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November 15, 2024</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w:t>
      </w:r>
    </w:p>
    <w:p>
      <w:pPr>
        <w:spacing w:after="0" w:line="41"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pacing w:after="0" w:line="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Innventure, Inc.</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sectPr>
      </w:pPr>
    </w:p>
    <w:p>
      <w:pPr>
        <w:spacing w:after="0" w:line="306"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31"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001-42303</w:t>
      </w:r>
    </w:p>
    <w:p>
      <w:pPr>
        <w:spacing w:after="0" w:line="31"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b w:val="1"/>
          <w:bCs w:val="1"/>
          <w:color w:val="auto"/>
        </w:rPr>
        <w:t>(Commission File Number)</w:t>
      </w:r>
    </w:p>
    <w:p>
      <w:pPr>
        <w:spacing w:after="0" w:line="20" w:lineRule="exact"/>
        <w:rPr>
          <w:sz w:val="20"/>
          <w:szCs w:val="20"/>
          <w:color w:val="auto"/>
        </w:rPr>
      </w:pPr>
      <w:r>
        <w:rPr>
          <w:sz w:val="20"/>
          <w:szCs w:val="20"/>
          <w:color w:val="auto"/>
        </w:rPr>
        <w:br w:type="column"/>
      </w:r>
    </w:p>
    <w:p>
      <w:pPr>
        <w:spacing w:after="0" w:line="286"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93-4440048</w:t>
      </w:r>
    </w:p>
    <w:p>
      <w:pPr>
        <w:spacing w:after="0" w:line="31" w:lineRule="exact"/>
        <w:rPr>
          <w:sz w:val="20"/>
          <w:szCs w:val="20"/>
          <w:color w:val="auto"/>
        </w:rPr>
      </w:pPr>
    </w:p>
    <w:p>
      <w:pPr>
        <w:jc w:val="center"/>
        <w:ind w:right="320"/>
        <w:spacing w:after="0"/>
        <w:rPr>
          <w:sz w:val="20"/>
          <w:szCs w:val="20"/>
          <w:color w:val="auto"/>
        </w:rPr>
      </w:pPr>
      <w:r>
        <w:rPr>
          <w:rFonts w:ascii="Times New Roman" w:cs="Times New Roman" w:eastAsia="Times New Roman" w:hAnsi="Times New Roman"/>
          <w:sz w:val="17"/>
          <w:szCs w:val="17"/>
          <w:b w:val="1"/>
          <w:bCs w:val="1"/>
          <w:color w:val="auto"/>
        </w:rPr>
        <w:t>(I.R.S. Employer Identification Number)</w:t>
      </w:r>
    </w:p>
    <w:p>
      <w:pPr>
        <w:spacing w:after="0" w:line="34" w:lineRule="exact"/>
        <w:rPr>
          <w:sz w:val="20"/>
          <w:szCs w:val="20"/>
          <w:color w:val="auto"/>
        </w:rPr>
      </w:pPr>
    </w:p>
    <w:p>
      <w:pPr>
        <w:sectPr>
          <w:pgSz w:w="11900" w:h="16838" w:orient="portrait"/>
          <w:cols w:equalWidth="0" w:num="3">
            <w:col w:w="3840" w:space="720"/>
            <w:col w:w="2520" w:space="720"/>
            <w:col w:w="3440"/>
          </w:cols>
          <w:pgMar w:left="320" w:top="1137" w:right="339" w:bottom="1440" w:gutter="0" w:footer="0" w:header="0"/>
          <w:type w:val="continuous"/>
        </w:sectPr>
      </w:pPr>
    </w:p>
    <w:p>
      <w:pPr>
        <w:ind w:left="7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6900 Tavistock Lakes Blvd, Suite 400</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Orlando, Florida 32827</w:t>
      </w:r>
    </w:p>
    <w:p>
      <w:pPr>
        <w:spacing w:after="0" w:line="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 and zip code)</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(321) 209-6787</w:t>
      </w:r>
    </w:p>
    <w:p>
      <w:pPr>
        <w:spacing w:after="0" w:line="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(Registrant's telephone number, including area code)</w:t>
      </w:r>
    </w:p>
    <w:p>
      <w:pPr>
        <w:spacing w:after="0" w:line="250" w:lineRule="exact"/>
        <w:rPr>
          <w:sz w:val="20"/>
          <w:szCs w:val="20"/>
          <w:color w:val="auto"/>
        </w:rPr>
      </w:pPr>
    </w:p>
    <w:p>
      <w:pPr>
        <w:ind w:left="4040"/>
        <w:spacing w:after="0"/>
        <w:rPr>
          <w:sz w:val="20"/>
          <w:szCs w:val="20"/>
          <w:color w:val="auto"/>
        </w:rPr>
      </w:pPr>
      <w:r>
        <w:rPr>
          <w:rFonts w:ascii="Times New Roman" w:cs="Times New Roman" w:eastAsia="Times New Roman" w:hAnsi="Times New Roman"/>
          <w:sz w:val="18"/>
          <w:szCs w:val="18"/>
          <w:b w:val="1"/>
          <w:bCs w:val="1"/>
          <w:color w:val="auto"/>
        </w:rPr>
        <w:t>___________________________________</w:t>
      </w:r>
    </w:p>
    <w:p>
      <w:pPr>
        <w:sectPr>
          <w:pgSz w:w="11900" w:h="16838" w:orient="portrait"/>
          <w:cols w:equalWidth="0" w:num="1">
            <w:col w:w="11240"/>
          </w:cols>
          <w:pgMar w:left="320" w:top="1137" w:right="339" w:bottom="1440" w:gutter="0" w:footer="0" w:header="0"/>
          <w:type w:val="continuous"/>
        </w:sectPr>
      </w:pPr>
    </w:p>
    <w:p>
      <w:pPr>
        <w:spacing w:after="0" w:line="198" w:lineRule="exact"/>
        <w:rPr>
          <w:sz w:val="20"/>
          <w:szCs w:val="20"/>
          <w:color w:val="auto"/>
        </w:rPr>
      </w:pPr>
    </w:p>
    <w:p>
      <w:pPr>
        <w:ind w:right="40"/>
        <w:spacing w:after="0" w:line="286" w:lineRule="auto"/>
        <w:rPr>
          <w:sz w:val="20"/>
          <w:szCs w:val="20"/>
          <w:color w:val="auto"/>
        </w:rPr>
      </w:pPr>
      <w:r>
        <w:rPr>
          <w:rFonts w:ascii="Times New Roman" w:cs="Times New Roman" w:eastAsia="Times New Roman" w:hAnsi="Times New Roman"/>
          <w:sz w:val="18"/>
          <w:szCs w:val="18"/>
          <w:b w:val="1"/>
          <w:bCs w:val="1"/>
          <w:color w:val="auto"/>
        </w:rPr>
        <w:t>Check the appropriate box below if the Form 8-K filing is intended to simultaneously satisfy the filing obligation of the registrant under any of the following provisions:</w:t>
      </w:r>
    </w:p>
    <w:p>
      <w:pPr>
        <w:spacing w:after="0" w:line="236" w:lineRule="exact"/>
        <w:rPr>
          <w:sz w:val="20"/>
          <w:szCs w:val="20"/>
          <w:color w:val="auto"/>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Written communications pursuant to Rule 425 under the Securities Act (17 CFR 230.425)</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Soliciting material pursuant to Rule 14a-12 under the Exchange Act (17 CFR 240.14a-12)</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14d-2(b) under the Exchange Act (17 CFR 240.14d-2(b))</w:t>
      </w:r>
    </w:p>
    <w:p>
      <w:pPr>
        <w:spacing w:after="0" w:line="63" w:lineRule="exact"/>
        <w:rPr>
          <w:rFonts w:ascii="MS PGothic" w:cs="MS PGothic" w:eastAsia="MS PGothic" w:hAnsi="MS PGothic"/>
          <w:sz w:val="18"/>
          <w:szCs w:val="18"/>
          <w:color w:val="auto"/>
          <w:highlight w:val="black"/>
        </w:rPr>
      </w:pPr>
    </w:p>
    <w:p>
      <w:pPr>
        <w:ind w:left="700" w:hanging="442"/>
        <w:spacing w:after="0"/>
        <w:tabs>
          <w:tab w:leader="none" w:pos="700"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Pre-commencement communications pursuant to Rule 13e-4(c) under the Exchange Act (17 CFR 240.13e-4(c))</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54" w:lineRule="exact"/>
        <w:rPr>
          <w:sz w:val="20"/>
          <w:szCs w:val="20"/>
          <w:color w:val="auto"/>
        </w:rPr>
      </w:pPr>
    </w:p>
    <w:tbl>
      <w:tblPr>
        <w:tblLayout w:type="fixed"/>
        <w:tblInd w:w="180" w:type="dxa"/>
        <w:tblCellMar>
          <w:top w:w="0" w:type="dxa"/>
          <w:left w:w="0" w:type="dxa"/>
          <w:bottom w:w="0" w:type="dxa"/>
          <w:right w:w="0" w:type="dxa"/>
        </w:tblCellMar>
      </w:tblPr>
      <w:tr>
        <w:trPr>
          <w:trHeight w:val="207"/>
        </w:trPr>
        <w:tc>
          <w:tcPr>
            <w:tcW w:w="1020" w:type="dxa"/>
            <w:vAlign w:val="bottom"/>
          </w:tcPr>
          <w:p>
            <w:pPr>
              <w:spacing w:after="0"/>
              <w:rPr>
                <w:sz w:val="18"/>
                <w:szCs w:val="18"/>
                <w:color w:val="auto"/>
              </w:rPr>
            </w:pPr>
          </w:p>
        </w:tc>
        <w:tc>
          <w:tcPr>
            <w:tcW w:w="2860" w:type="dxa"/>
            <w:vAlign w:val="bottom"/>
            <w:gridSpan w:val="2"/>
          </w:tcPr>
          <w:p>
            <w:pPr>
              <w:jc w:val="center"/>
              <w:ind w:right="15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2480" w:type="dxa"/>
            <w:vAlign w:val="bottom"/>
            <w:gridSpan w:val="3"/>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060" w:type="dxa"/>
            <w:vAlign w:val="bottom"/>
            <w:gridSpan w:val="2"/>
          </w:tcPr>
          <w:p>
            <w:pPr>
              <w:jc w:val="center"/>
              <w:ind w:left="63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0"/>
        </w:trPr>
        <w:tc>
          <w:tcPr>
            <w:tcW w:w="1020" w:type="dxa"/>
            <w:vAlign w:val="bottom"/>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340" w:type="dxa"/>
            <w:vAlign w:val="bottom"/>
            <w:shd w:val="clear" w:color="auto" w:fill="000000"/>
          </w:tcPr>
          <w:p>
            <w:pPr>
              <w:spacing w:after="0" w:line="20" w:lineRule="exact"/>
              <w:rPr>
                <w:sz w:val="1"/>
                <w:szCs w:val="1"/>
                <w:color w:val="auto"/>
              </w:rPr>
            </w:pPr>
          </w:p>
        </w:tc>
      </w:tr>
      <w:tr>
        <w:trPr>
          <w:trHeight w:val="290"/>
        </w:trPr>
        <w:tc>
          <w:tcPr>
            <w:tcW w:w="3880" w:type="dxa"/>
            <w:vAlign w:val="bottom"/>
            <w:gridSpan w:val="3"/>
          </w:tcPr>
          <w:p>
            <w:pPr>
              <w:jc w:val="center"/>
              <w:ind w:right="500"/>
              <w:spacing w:after="0"/>
              <w:rPr>
                <w:sz w:val="20"/>
                <w:szCs w:val="20"/>
                <w:color w:val="auto"/>
              </w:rPr>
            </w:pPr>
            <w:r>
              <w:rPr>
                <w:rFonts w:ascii="Times New Roman" w:cs="Times New Roman" w:eastAsia="Times New Roman" w:hAnsi="Times New Roman"/>
                <w:sz w:val="18"/>
                <w:szCs w:val="18"/>
                <w:b w:val="1"/>
                <w:bCs w:val="1"/>
                <w:color w:val="auto"/>
                <w:w w:val="99"/>
              </w:rPr>
              <w:t>Common Stock, par value $0.0001 per share</w:t>
            </w:r>
          </w:p>
        </w:tc>
        <w:tc>
          <w:tcPr>
            <w:tcW w:w="500" w:type="dxa"/>
            <w:vAlign w:val="bottom"/>
          </w:tcPr>
          <w:p>
            <w:pPr>
              <w:spacing w:after="0"/>
              <w:rPr>
                <w:sz w:val="24"/>
                <w:szCs w:val="24"/>
                <w:color w:val="auto"/>
              </w:rPr>
            </w:pPr>
          </w:p>
        </w:tc>
        <w:tc>
          <w:tcPr>
            <w:tcW w:w="1980" w:type="dxa"/>
            <w:vAlign w:val="bottom"/>
            <w:gridSpan w:val="2"/>
          </w:tcPr>
          <w:p>
            <w:pPr>
              <w:jc w:val="center"/>
              <w:ind w:right="720"/>
              <w:spacing w:after="0"/>
              <w:rPr>
                <w:sz w:val="20"/>
                <w:szCs w:val="20"/>
                <w:color w:val="auto"/>
              </w:rPr>
            </w:pPr>
            <w:r>
              <w:rPr>
                <w:rFonts w:ascii="Times New Roman" w:cs="Times New Roman" w:eastAsia="Times New Roman" w:hAnsi="Times New Roman"/>
                <w:sz w:val="18"/>
                <w:szCs w:val="18"/>
                <w:b w:val="1"/>
                <w:bCs w:val="1"/>
                <w:color w:val="auto"/>
              </w:rPr>
              <w:t>INV</w:t>
            </w:r>
          </w:p>
        </w:tc>
        <w:tc>
          <w:tcPr>
            <w:tcW w:w="720" w:type="dxa"/>
            <w:vAlign w:val="bottom"/>
          </w:tcPr>
          <w:p>
            <w:pPr>
              <w:spacing w:after="0"/>
              <w:rPr>
                <w:sz w:val="24"/>
                <w:szCs w:val="24"/>
                <w:color w:val="auto"/>
              </w:rPr>
            </w:pPr>
          </w:p>
        </w:tc>
        <w:tc>
          <w:tcPr>
            <w:tcW w:w="33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r>
    </w:tbl>
    <w:p>
      <w:pPr>
        <w:spacing w:after="0" w:line="207" w:lineRule="exact"/>
        <w:rPr>
          <w:sz w:val="20"/>
          <w:szCs w:val="20"/>
          <w:color w:val="auto"/>
        </w:rPr>
      </w:pPr>
    </w:p>
    <w:p>
      <w:pPr>
        <w:ind w:right="1620"/>
        <w:spacing w:after="0" w:line="295" w:lineRule="exact"/>
        <w:rPr>
          <w:sz w:val="20"/>
          <w:szCs w:val="20"/>
          <w:color w:val="auto"/>
        </w:rPr>
      </w:pPr>
      <w:r>
        <w:rPr>
          <w:rFonts w:ascii="Times New Roman" w:cs="Times New Roman" w:eastAsia="Times New Roman" w:hAnsi="Times New Roman"/>
          <w:sz w:val="18"/>
          <w:szCs w:val="18"/>
          <w:b w:val="1"/>
          <w:bCs w:val="1"/>
          <w:color w:val="auto"/>
        </w:rPr>
        <w:t xml:space="preserve">Indicate by check mark whether the registrant is an emerging growth company as defined in Rule 12b-2 of the Exchange Act. Emerging growth company </w:t>
      </w:r>
      <w:r>
        <w:rPr>
          <w:rFonts w:ascii="MS PGothic" w:cs="MS PGothic" w:eastAsia="MS PGothic" w:hAnsi="MS PGothic"/>
          <w:sz w:val="18"/>
          <w:szCs w:val="18"/>
          <w:color w:val="auto"/>
          <w:highlight w:val="black"/>
        </w:rPr>
        <w:t>☒</w:t>
      </w:r>
    </w:p>
    <w:p>
      <w:pPr>
        <w:spacing w:after="0" w:line="45" w:lineRule="exact"/>
        <w:rPr>
          <w:sz w:val="20"/>
          <w:szCs w:val="20"/>
          <w:color w:val="auto"/>
        </w:rPr>
      </w:pPr>
    </w:p>
    <w:p>
      <w:pPr>
        <w:spacing w:after="0" w:line="241" w:lineRule="exact"/>
        <w:rPr>
          <w:sz w:val="20"/>
          <w:szCs w:val="20"/>
          <w:color w:val="auto"/>
        </w:rPr>
      </w:pPr>
      <w:r>
        <w:rPr>
          <w:rFonts w:ascii="Times New Roman" w:cs="Times New Roman" w:eastAsia="Times New Roman" w:hAnsi="Times New Roman"/>
          <w:sz w:val="18"/>
          <w:szCs w:val="18"/>
          <w:b w:val="1"/>
          <w:bCs w:val="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highlight w:val="black"/>
        </w:rPr>
        <w:t>☐</w:t>
      </w:r>
    </w:p>
    <w:p>
      <w:pPr>
        <w:sectPr>
          <w:pgSz w:w="11900" w:h="16838" w:orient="portrait"/>
          <w:cols w:equalWidth="0" w:num="1">
            <w:col w:w="11240"/>
          </w:cols>
          <w:pgMar w:left="320" w:top="1137" w:right="339" w:bottom="1440" w:gutter="0" w:footer="0" w:header="0"/>
          <w:type w:val="continuous"/>
        </w:sectPr>
      </w:pPr>
    </w:p>
    <w:bookmarkStart w:id="2" w:name="page3"/>
    <w:bookmarkEnd w:id="2"/>
    <w:p>
      <w:pPr>
        <w:spacing w:after="0"/>
        <w:rPr>
          <w:sz w:val="20"/>
          <w:szCs w:val="20"/>
          <w:color w:val="auto"/>
        </w:rPr>
      </w:pPr>
      <w:r>
        <w:rPr>
          <w:rFonts w:ascii="Times New Roman" w:cs="Times New Roman" w:eastAsia="Times New Roman" w:hAnsi="Times New Roman"/>
          <w:sz w:val="20"/>
          <w:szCs w:val="20"/>
          <w:b w:val="1"/>
          <w:bCs w:val="1"/>
          <w:color w:val="auto"/>
        </w:rPr>
        <w:t>Item 7.01 - Regulation FD Disclosure</w:t>
      </w:r>
    </w:p>
    <w:p>
      <w:pPr>
        <w:spacing w:after="0" w:line="251" w:lineRule="exact"/>
        <w:rPr>
          <w:sz w:val="20"/>
          <w:szCs w:val="20"/>
          <w:color w:val="auto"/>
        </w:rPr>
      </w:pPr>
    </w:p>
    <w:p>
      <w:pPr>
        <w:ind w:right="100" w:firstLine="648"/>
        <w:spacing w:after="0" w:line="250" w:lineRule="auto"/>
        <w:rPr>
          <w:sz w:val="20"/>
          <w:szCs w:val="20"/>
          <w:color w:val="auto"/>
        </w:rPr>
      </w:pPr>
      <w:r>
        <w:rPr>
          <w:rFonts w:ascii="Times New Roman" w:cs="Times New Roman" w:eastAsia="Times New Roman" w:hAnsi="Times New Roman"/>
          <w:sz w:val="18"/>
          <w:szCs w:val="18"/>
          <w:color w:val="auto"/>
        </w:rPr>
        <w:t>As previously disclosed, on October 22, 2024 (the “WTI Closing Date”), Innventure LLC entered into a Loan and Security Agreement with WTI Fund X, Inc. and WTI Fund XI, Inc. (together, the “WTI Lenders”), as supplemented by the Supplement to the Loan and Security Agreement, dated</w:t>
      </w:r>
    </w:p>
    <w:p>
      <w:pPr>
        <w:spacing w:after="0" w:line="1" w:lineRule="exact"/>
        <w:rPr>
          <w:sz w:val="20"/>
          <w:szCs w:val="20"/>
          <w:color w:val="auto"/>
        </w:rPr>
      </w:pPr>
    </w:p>
    <w:p>
      <w:pPr>
        <w:ind w:right="180"/>
        <w:spacing w:after="0" w:line="250" w:lineRule="auto"/>
        <w:rPr>
          <w:sz w:val="20"/>
          <w:szCs w:val="20"/>
          <w:color w:val="auto"/>
        </w:rPr>
      </w:pPr>
      <w:r>
        <w:rPr>
          <w:rFonts w:ascii="Times New Roman" w:cs="Times New Roman" w:eastAsia="Times New Roman" w:hAnsi="Times New Roman"/>
          <w:sz w:val="18"/>
          <w:szCs w:val="18"/>
          <w:color w:val="auto"/>
        </w:rPr>
        <w:t>October 22, 2024, by and among Innventure LLC and the WTI Lenders (the “Loan and Security Agreement”). Further, Innventure LLC, Innventure, Inc. (the Company”) and the WTI Lenders entered into a joinder agreement, pursuant to which the Company became a co-borrower under the Loan and Security Agreement and related loan documents.</w:t>
      </w:r>
    </w:p>
    <w:p>
      <w:pPr>
        <w:spacing w:after="0" w:line="204" w:lineRule="exact"/>
        <w:rPr>
          <w:sz w:val="20"/>
          <w:szCs w:val="20"/>
          <w:color w:val="auto"/>
        </w:rPr>
      </w:pPr>
    </w:p>
    <w:p>
      <w:pPr>
        <w:ind w:firstLine="648"/>
        <w:spacing w:after="0" w:line="242" w:lineRule="auto"/>
        <w:rPr>
          <w:sz w:val="20"/>
          <w:szCs w:val="20"/>
          <w:color w:val="auto"/>
        </w:rPr>
      </w:pPr>
      <w:r>
        <w:rPr>
          <w:rFonts w:ascii="Times New Roman" w:cs="Times New Roman" w:eastAsia="Times New Roman" w:hAnsi="Times New Roman"/>
          <w:sz w:val="18"/>
          <w:szCs w:val="18"/>
          <w:color w:val="auto"/>
        </w:rPr>
        <w:t>The Loan and Security Agreement provides for a term loan facility in an aggregate principal amount of up to $50 million, of which (i) up to $20 million will be made available after the WTI Closing Date and through November 15, 2024 (the “First Tranche”); (ii) up to $15 million will be made available after November 1, 2024 and through November 30, 2024 (the “Second Tranche”); and (iii) up to $15 million will be made available after December 31, 2024 and through January 31, 2025 (the “Third Tranche”) (provided that up to $7.5 million of the Third Tranche will be made available until March 31, 2025), in each case and as previously outlined, subject to the satisfaction of certain conditions.</w:t>
      </w:r>
    </w:p>
    <w:p>
      <w:pPr>
        <w:spacing w:after="0" w:line="21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On November 15, 2024, the First Tranche in the amount of $20 million was received by Innventure LLC and Innventure.</w:t>
      </w:r>
    </w:p>
    <w:p>
      <w:pPr>
        <w:spacing w:after="0" w:line="239" w:lineRule="exact"/>
        <w:rPr>
          <w:sz w:val="20"/>
          <w:szCs w:val="20"/>
          <w:color w:val="auto"/>
        </w:rPr>
      </w:pPr>
    </w:p>
    <w:p>
      <w:pPr>
        <w:ind w:right="360" w:firstLine="648"/>
        <w:spacing w:after="0" w:line="266" w:lineRule="auto"/>
        <w:rPr>
          <w:sz w:val="20"/>
          <w:szCs w:val="20"/>
          <w:color w:val="auto"/>
        </w:rPr>
      </w:pPr>
      <w:r>
        <w:rPr>
          <w:rFonts w:ascii="Times New Roman" w:cs="Times New Roman" w:eastAsia="Times New Roman" w:hAnsi="Times New Roman"/>
          <w:sz w:val="18"/>
          <w:szCs w:val="18"/>
          <w:color w:val="auto"/>
        </w:rPr>
        <w:t>The receipt of each of the Second Tranche and the Third Tranche is still subject to the satisfaction of certain financial conditions and the WTI Lenders’ satisfaction with the Company’s forward-looking plan at such time.</w:t>
      </w:r>
    </w:p>
    <w:p>
      <w:pPr>
        <w:sectPr>
          <w:pgSz w:w="11900" w:h="16838" w:orient="portrait"/>
          <w:cols w:equalWidth="0" w:num="1">
            <w:col w:w="11200"/>
          </w:cols>
          <w:pgMar w:left="320" w:top="1098" w:right="37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 on this 18th day of November, 2024.</w:t>
      </w:r>
    </w:p>
    <w:p>
      <w:pPr>
        <w:spacing w:after="0" w:line="200" w:lineRule="exact"/>
        <w:rPr>
          <w:sz w:val="20"/>
          <w:szCs w:val="20"/>
          <w:color w:val="auto"/>
        </w:rPr>
      </w:pPr>
    </w:p>
    <w:p>
      <w:pPr>
        <w:spacing w:after="0" w:line="291" w:lineRule="exact"/>
        <w:rPr>
          <w:sz w:val="20"/>
          <w:szCs w:val="20"/>
          <w:color w:val="auto"/>
        </w:rPr>
      </w:pPr>
    </w:p>
    <w:p>
      <w:pPr>
        <w:ind w:left="5820"/>
        <w:spacing w:after="0"/>
        <w:rPr>
          <w:sz w:val="20"/>
          <w:szCs w:val="20"/>
          <w:color w:val="auto"/>
        </w:rPr>
      </w:pPr>
      <w:r>
        <w:rPr>
          <w:rFonts w:ascii="Times New Roman" w:cs="Times New Roman" w:eastAsia="Times New Roman" w:hAnsi="Times New Roman"/>
          <w:sz w:val="20"/>
          <w:szCs w:val="20"/>
          <w:b w:val="1"/>
          <w:bCs w:val="1"/>
          <w:color w:val="auto"/>
        </w:rPr>
        <w:t>INNVENTURE, INC.</w:t>
      </w:r>
    </w:p>
    <w:p>
      <w:pPr>
        <w:spacing w:after="0" w:line="332" w:lineRule="exact"/>
        <w:rPr>
          <w:sz w:val="20"/>
          <w:szCs w:val="20"/>
          <w:color w:val="auto"/>
        </w:rPr>
      </w:pPr>
    </w:p>
    <w:tbl>
      <w:tblPr>
        <w:tblLayout w:type="fixed"/>
        <w:tblInd w:w="582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/s/ David Yablunosky</w:t>
            </w:r>
          </w:p>
        </w:tc>
        <w:tc>
          <w:tcPr>
            <w:tcW w:w="0" w:type="dxa"/>
            <w:vAlign w:val="bottom"/>
          </w:tcPr>
          <w:p>
            <w:pPr>
              <w:spacing w:after="0"/>
              <w:rPr>
                <w:sz w:val="1"/>
                <w:szCs w:val="1"/>
                <w:color w:val="auto"/>
              </w:rPr>
            </w:pPr>
          </w:p>
        </w:tc>
      </w:tr>
      <w:tr>
        <w:trPr>
          <w:trHeight w:val="40"/>
        </w:trPr>
        <w:tc>
          <w:tcPr>
            <w:tcW w:w="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Name:</w:t>
            </w:r>
          </w:p>
        </w:tc>
        <w:tc>
          <w:tcPr>
            <w:tcW w:w="46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740" w:type="dxa"/>
            <w:vAlign w:val="bottom"/>
            <w:vMerge w:val="continue"/>
          </w:tcPr>
          <w:p>
            <w:pPr>
              <w:spacing w:after="0"/>
              <w:rPr>
                <w:sz w:val="20"/>
                <w:szCs w:val="20"/>
                <w:color w:val="auto"/>
              </w:rPr>
            </w:pP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David Yablunosky</w:t>
            </w:r>
          </w:p>
        </w:tc>
        <w:tc>
          <w:tcPr>
            <w:tcW w:w="0" w:type="dxa"/>
            <w:vAlign w:val="bottom"/>
          </w:tcPr>
          <w:p>
            <w:pPr>
              <w:spacing w:after="0"/>
              <w:rPr>
                <w:sz w:val="1"/>
                <w:szCs w:val="1"/>
                <w:color w:val="auto"/>
              </w:rPr>
            </w:pPr>
          </w:p>
        </w:tc>
      </w:tr>
      <w:tr>
        <w:trPr>
          <w:trHeight w:val="283"/>
        </w:trPr>
        <w:tc>
          <w:tcPr>
            <w:tcW w:w="74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6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8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2024-11-19T15:17:04Z</dcterms:created>
  <dcterms:modified xsi:type="dcterms:W3CDTF">2024-11-19T15:17:04Z</dcterms:modified>
</cp:coreProperties>
</file>