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3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April 14, 2025</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w:t>
      </w:r>
    </w:p>
    <w:p>
      <w:pPr>
        <w:spacing w:after="0" w:line="35"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Innventure, Inc.</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4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sectPr>
      </w:pPr>
    </w:p>
    <w:p>
      <w:pPr>
        <w:spacing w:after="0" w:line="24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001-42303</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93-4440048</w:t>
      </w:r>
    </w:p>
    <w:p>
      <w:pPr>
        <w:spacing w:after="0" w:line="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9" w:lineRule="exact"/>
        <w:rPr>
          <w:sz w:val="24"/>
          <w:szCs w:val="24"/>
          <w:color w:val="auto"/>
        </w:rPr>
      </w:pPr>
    </w:p>
    <w:p>
      <w:pPr>
        <w:sectPr>
          <w:pgSz w:w="11900" w:h="16838" w:orient="portrait"/>
          <w:cols w:equalWidth="0" w:num="3">
            <w:col w:w="4100" w:space="720"/>
            <w:col w:w="2640" w:space="720"/>
            <w:col w:w="3100"/>
          </w:cols>
          <w:pgMar w:left="300" w:top="1009" w:right="31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6900 Tavistock Lakes Blvd, Suite 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Orlando, Florida 32827</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(321) 209-6787</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ectPr>
          <w:pgSz w:w="11900" w:h="16838" w:orient="portrait"/>
          <w:cols w:equalWidth="0" w:num="1">
            <w:col w:w="11280"/>
          </w:cols>
          <w:pgMar w:left="300" w:top="1009" w:right="3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Check the appropriate box below if the Form 8-K filing is intended to simultaneously satisfy the filing obligation of the registrant under any of the following provisions:</w:t>
      </w:r>
    </w:p>
    <w:p>
      <w:pPr>
        <w:spacing w:after="0" w:line="242" w:lineRule="exact"/>
        <w:rPr>
          <w:sz w:val="24"/>
          <w:szCs w:val="24"/>
          <w:color w:val="auto"/>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Written communications pursuant to Rule 425 under the Securities Act (17 CFR 230.425)</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Soliciting material pursuant to Rule 14a-12 under the Exchange Act (17 CFR 240.14a-12)</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14d-2(b) under the Exchange Act (17 CFR 240.14d-2(b))</w:t>
      </w:r>
    </w:p>
    <w:p>
      <w:pPr>
        <w:spacing w:after="0" w:line="51" w:lineRule="exact"/>
        <w:rPr>
          <w:rFonts w:ascii="MS PGothic" w:cs="MS PGothic" w:eastAsia="MS PGothic" w:hAnsi="MS PGothic"/>
          <w:sz w:val="14"/>
          <w:szCs w:val="14"/>
          <w:color w:val="auto"/>
          <w:highlight w:val="black"/>
        </w:rPr>
      </w:pPr>
    </w:p>
    <w:p>
      <w:pPr>
        <w:ind w:left="700" w:hanging="425"/>
        <w:spacing w:after="0"/>
        <w:tabs>
          <w:tab w:leader="none" w:pos="70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Pre-commencement communications pursuant to Rule 13e-4(c) under the Exchange Act (17 CFR 240.13e-4(c))</w:t>
      </w:r>
    </w:p>
    <w:p>
      <w:pPr>
        <w:spacing w:after="0" w:line="232"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140" w:type="dxa"/>
            <w:vAlign w:val="bottom"/>
          </w:tcPr>
          <w:p>
            <w:pPr>
              <w:spacing w:after="0"/>
              <w:rPr>
                <w:sz w:val="16"/>
                <w:szCs w:val="16"/>
                <w:color w:val="auto"/>
              </w:rPr>
            </w:pPr>
          </w:p>
        </w:tc>
        <w:tc>
          <w:tcPr>
            <w:tcW w:w="2620" w:type="dxa"/>
            <w:vAlign w:val="bottom"/>
          </w:tcPr>
          <w:p>
            <w:pPr>
              <w:spacing w:after="0"/>
              <w:rPr>
                <w:sz w:val="16"/>
                <w:szCs w:val="16"/>
                <w:color w:val="auto"/>
              </w:rPr>
            </w:pPr>
          </w:p>
        </w:tc>
      </w:tr>
      <w:tr>
        <w:trPr>
          <w:trHeight w:val="181"/>
        </w:trPr>
        <w:tc>
          <w:tcPr>
            <w:tcW w:w="82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820" w:type="dxa"/>
            <w:vAlign w:val="bottom"/>
          </w:tcPr>
          <w:p>
            <w:pPr>
              <w:spacing w:after="0"/>
              <w:rPr>
                <w:sz w:val="15"/>
                <w:szCs w:val="15"/>
                <w:color w:val="auto"/>
              </w:rPr>
            </w:pPr>
          </w:p>
        </w:tc>
        <w:tc>
          <w:tcPr>
            <w:tcW w:w="2760" w:type="dxa"/>
            <w:vAlign w:val="bottom"/>
            <w:gridSpan w:val="2"/>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r>
      <w:tr>
        <w:trPr>
          <w:trHeight w:val="224"/>
        </w:trPr>
        <w:tc>
          <w:tcPr>
            <w:tcW w:w="302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160" w:type="dxa"/>
            <w:vAlign w:val="bottom"/>
          </w:tcPr>
          <w:p>
            <w:pPr>
              <w:spacing w:after="0"/>
              <w:rPr>
                <w:sz w:val="19"/>
                <w:szCs w:val="19"/>
                <w:color w:val="auto"/>
              </w:rPr>
            </w:pPr>
          </w:p>
        </w:tc>
        <w:tc>
          <w:tcPr>
            <w:tcW w:w="280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INV</w:t>
            </w:r>
          </w:p>
        </w:tc>
        <w:tc>
          <w:tcPr>
            <w:tcW w:w="14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Indicate by check mark whether the registrant is an emerging growth company as defined in Rule 12b-2 of the Exchange Act.</w:t>
      </w:r>
    </w:p>
    <w:p>
      <w:pPr>
        <w:spacing w:after="0" w:line="70" w:lineRule="exact"/>
        <w:rPr>
          <w:sz w:val="24"/>
          <w:szCs w:val="24"/>
          <w:color w:val="auto"/>
        </w:rPr>
      </w:pPr>
    </w:p>
    <w:p>
      <w:pPr>
        <w:spacing w:after="0" w:line="161" w:lineRule="exact"/>
        <w:tabs>
          <w:tab w:leader="none" w:pos="1780" w:val="left"/>
        </w:tabs>
        <w:rPr>
          <w:sz w:val="20"/>
          <w:szCs w:val="20"/>
          <w:color w:val="auto"/>
        </w:rPr>
      </w:pPr>
      <w:r>
        <w:rPr>
          <w:rFonts w:ascii="Times New Roman" w:cs="Times New Roman" w:eastAsia="Times New Roman" w:hAnsi="Times New Roman"/>
          <w:sz w:val="14"/>
          <w:szCs w:val="14"/>
          <w:b w:val="1"/>
          <w:bCs w:val="1"/>
          <w:color w:val="auto"/>
        </w:rPr>
        <w:t>Emerging growth company</w:t>
      </w:r>
      <w:r>
        <w:rPr>
          <w:sz w:val="20"/>
          <w:szCs w:val="20"/>
          <w:color w:val="auto"/>
        </w:rPr>
        <w:tab/>
      </w:r>
      <w:r>
        <w:rPr>
          <w:rFonts w:ascii="MS PGothic" w:cs="MS PGothic" w:eastAsia="MS PGothic" w:hAnsi="MS PGothic"/>
          <w:sz w:val="12"/>
          <w:szCs w:val="12"/>
          <w:color w:val="auto"/>
          <w:highlight w:val="black"/>
        </w:rPr>
        <w:t>☒</w:t>
      </w:r>
    </w:p>
    <w:p>
      <w:pPr>
        <w:spacing w:after="0" w:line="107" w:lineRule="exact"/>
        <w:rPr>
          <w:sz w:val="24"/>
          <w:szCs w:val="24"/>
          <w:color w:val="auto"/>
        </w:rPr>
      </w:pPr>
    </w:p>
    <w:p>
      <w:pP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513080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9" w:right="319" w:bottom="1440" w:gutter="0" w:footer="0" w:header="0"/>
          <w:type w:val="continuous"/>
        </w:sectPr>
      </w:pPr>
    </w:p>
    <w:bookmarkStart w:id="1" w:name="page2"/>
    <w:bookmarkEnd w:id="1"/>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1.01</w:t>
        <w:tab/>
        <w:t>Entry into a Material Definitive Agreement.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Issuance of First Convertible Debenture</w:t>
      </w:r>
    </w:p>
    <w:p>
      <w:pPr>
        <w:spacing w:after="0" w:line="276" w:lineRule="exact"/>
        <w:rPr>
          <w:sz w:val="20"/>
          <w:szCs w:val="20"/>
          <w:color w:val="auto"/>
        </w:rPr>
      </w:pPr>
    </w:p>
    <w:p>
      <w:pPr>
        <w:ind w:right="20" w:firstLine="509"/>
        <w:spacing w:after="0" w:line="248" w:lineRule="auto"/>
        <w:rPr>
          <w:sz w:val="20"/>
          <w:szCs w:val="20"/>
          <w:color w:val="auto"/>
        </w:rPr>
      </w:pPr>
      <w:r>
        <w:rPr>
          <w:rFonts w:ascii="Times New Roman" w:cs="Times New Roman" w:eastAsia="Times New Roman" w:hAnsi="Times New Roman"/>
          <w:sz w:val="14"/>
          <w:szCs w:val="14"/>
          <w:color w:val="auto"/>
        </w:rPr>
        <w:t>As previously disclosed in the Current Report on Form 8-K filed by Innventure, Inc., a Delaware corporation (the “Company”) with the Securities and Exchange Commission (the “SEC”) on March 26, 2025 (the “Prior Form 8-K”), the Company entered into a securities purchase agreement (the “Purchase Agreement”) with YA II PN, Ltd. (“Yorkville”), for the issuance and sale by the Company of convertible debentures (the “Convertible Debentures”) issuable in an aggregate principal amount of up to $30,000,000, which Convertible Debentures will be convertible into shares of the Company’s common stock, par value $0.0001 per share (the “Common Stock”) (as converted, the “Conversion Shares”).</w:t>
      </w:r>
    </w:p>
    <w:p>
      <w:pPr>
        <w:spacing w:after="0" w:line="162"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4"/>
          <w:szCs w:val="14"/>
          <w:color w:val="auto"/>
        </w:rPr>
        <w:t>On April 14, 2025 (the “First Closing Date”), the Company issued a Convertible Debenture to Yorkville with a principal amount of $20,000,000 (the “First Convertible Debenture”). The First Convertible Debenture will not bear interest unless an event of default occurs and remains uncured, upon which the First Convertible Debenture will bear interest at an annual rate of 18.0%. The</w:t>
      </w:r>
    </w:p>
    <w:p>
      <w:pPr>
        <w:spacing w:after="0" w:line="1"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4"/>
          <w:szCs w:val="14"/>
          <w:color w:val="auto"/>
        </w:rPr>
        <w:t>First Convertible Debenture will mature on July 14, 2026 (the “Maturity Date”). The First Convertible Debenture resulted in gross proceeds to the Company of approximately $18,000,000, representing an original issue discount of 10%. The Company will be required to make monthly cash payments of principal in amounts between $1,000,000 and $3,000,000 (as per the schedule set forth in the First Convertible Debenture) plus a payment premium of 5% and all accrued and unpaid interest as of the date of such installment. Such payments will commence 30 days following the First Closing Date and will continue on a monthly basis thereafter until the First Convertible Debenture is repaid in full.</w:t>
      </w:r>
    </w:p>
    <w:p>
      <w:pPr>
        <w:spacing w:after="0" w:line="165"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4"/>
          <w:szCs w:val="14"/>
          <w:color w:val="auto"/>
        </w:rPr>
        <w:t>The First Convertible Debenture is convertible at the option of the holder into Common Stock equal to the applicable Conversion Amount (as defined below) divided by the Conversion Price (as defined below). The conversion price for the First Convertible Debenture will initially be $10.00, and will be adjusted on the six-month anniversary of the First Closing Date (the “First Reset Date”) and the nine-month anniversary of the First Closing Date (the “Second Reset Date” and collectively with the First Reset Date, a “Reset Date”) to equal the lower of the then applicable conversion price or the average volume weighted average price of the Common Stock for the 10 trading days immediately prior to the applicable Reset Date. Any portion of the First Convertible Debenture may be converted at any time and from time to time, subject to the Exchange Cap (as defined below). The Conversion Amount with respect to any requested conversion will equal the principal amount requested to be converted plus all accrued and unpaid interest on the First Convertible Debenture as of such conversion (the “Conversion Amount”). In addition, no conversion will be permitted to the extent that, after giving effect to such conversion, the holder together with the certain related parties would beneficially own in excess of 4.99% of the Common Stock outstanding immediately after giving effect to such conversion, subject to certain adjustments.</w:t>
      </w:r>
    </w:p>
    <w:p>
      <w:pPr>
        <w:spacing w:after="0" w:line="166"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4"/>
          <w:szCs w:val="14"/>
          <w:color w:val="auto"/>
        </w:rPr>
        <w:t>The Company shall not issue any Common Stock upon conversion of the Convertible Debentures held by Yorkville if the issuance of such Common Stock underlying the Convertible Debentures would exceed the aggregate number of Common Stock that the Company may issue upon conversion of the Convertible Debentures in compliance with the Company’s obligations under the rules or regulations of Nasdaq Stock Market (the “Exchange Cap”). The Exchange Cap will not apply under certain circumstances, including if the Company obtains the approval of its stockholders as required by the applicable rules of the Nasdaq Stock Market for issuances of Common Stock in excess of such amount or if the Company obtains a written opinion from outside counsel to the Company that such stockholder approval is not required.</w:t>
      </w:r>
    </w:p>
    <w:p>
      <w:pPr>
        <w:spacing w:after="0" w:line="16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First Convertible Debenture provides the Company, subject to certain conditions, with an optional redemption right pursuant to which the Company, upon 10 trading days’ prior written notice to Yorkville (the “Redemption Notice”), may redeem in cash, in whole or in part, all amounts outstanding under the First Convertible Debenture prior to the Maturity Date. The redemption amount shall be equal to the outstanding principal balance being redeemed by the Company, plus the redemption premium of 5% of the principal amount being redeemed if completed on or before the twelve-month anniversary of the issuance date, or 10% of the principal amount being redeemed if completed after the twelve-month anniversary of the issuance date, plus all accrued and unpaid interest as of the date of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916305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4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i w:val="1"/>
          <w:iCs w:val="1"/>
          <w:color w:val="auto"/>
        </w:rPr>
        <w:t>Global Guaranty Agreement</w:t>
      </w:r>
    </w:p>
    <w:p>
      <w:pPr>
        <w:spacing w:after="0" w:line="170"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4"/>
          <w:szCs w:val="14"/>
          <w:color w:val="auto"/>
        </w:rPr>
        <w:t>On the First Closing Date, pursuant to the terms of the Purchase Agreement, Innventure LLC, a wholly-owned subsidiary of the Company, entered into a global guaranty agreement (the “Guaranty”) in favor of Yorkville with respect to the Company’s obligations under the Purchase Agreement and the Convertible Debentures.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7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4"/>
          <w:szCs w:val="14"/>
          <w:color w:val="auto"/>
        </w:rPr>
        <w:t>On the First Closing Date, the Company entered into a registration rights agreement (the “Registration Rights Agreement”) with Yorkville pursuant to which Yorkville is entitled to certain registration rights under the Securities Act of 1933, as amended (the “Securities Act”). Pursuant to the Registration Rights Agreement, the Company is required to, on the 15th calendar day following the date the Company files its Annual Report on Form 10-K for the year ended December 31, 2024, file with the Securities and Exchange Commission (the “SEC”) (at its sole cost and expense) a registration statement (the “Registration Statement”) registering the resale by Yorkville of all Conversion Shares. Under the Registration Rights Agreement, Yorkville was also granted demand registration rights and piggyback registration rights under certain conditions as described in the Registration Rights Agreement.</w:t>
      </w:r>
    </w:p>
    <w:p>
      <w:pPr>
        <w:spacing w:after="0" w:line="154"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14"/>
          <w:szCs w:val="14"/>
          <w:color w:val="auto"/>
        </w:rPr>
        <w:t>The Company agreed to use its best reasonable efforts to ensure that the Registration Statement is declared effective by the earlier of the date that is 60 calendar days following the filing of filing such Registration Statement or the fifth business day after the date the Company is notified by the SEC that the Registration Statement will not be reviewed or will not be subject to further review. The Company also agreed that, with respect to any additional registration statements filed pursuant to the Registration Rights Agreement, it will use its reasonable best efforts to ensure that such registration statement is declared effective by the earlier of the date that is 75 calendar days following the date on which the Company was required to file such registration statement and the fifth business day after the date the Company is notified by the SEC that such registration statement will not be reviewed or will not be subject to further review.</w:t>
      </w:r>
    </w:p>
    <w:p>
      <w:pPr>
        <w:spacing w:after="0" w:line="165"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descriptions of the First Convertible Debenture, Guaranty, and Registration Rights Agreement do not purport to be complete and are qualified in their entirety by reference to the full text of such documents, which are filed herewith as Exhibits 4.1, 10.1 and 10.2, respectively, and are incorporated herein by reference.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WTI Warrants</w:t>
      </w:r>
    </w:p>
    <w:p>
      <w:pPr>
        <w:spacing w:after="0" w:line="170"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4"/>
          <w:szCs w:val="14"/>
          <w:color w:val="auto"/>
        </w:rPr>
        <w:t>As previously disclosed in the Prior Form 8-K, the Company also agreed to issue two warrants to purchase up to an aggregate total of 300,000 shares of Common Stock (the “WTI Warrants”) to WTI Fund X, LLC and WTI Fund XI, LLC (the “WTI Holders”), respectively, as consideration for WTI Fund X, Inc., WTI Fund XI, Inc., WTI Fund X, LLC and WTI Fund XI, LLC (collectively, the “WTI Entities”) entering into a consent with the Company and Innventure LLC, dated March 21, 2025, pursuant to which, among other things, the WTI Entities consented to (i) the Company entering into the Purchase Agreement and the transactions contemplated thereby and (ii) to the Company’s issuance of its Series C Preferred Stock, par value $0.0001 per share, and the payoffs of certain related party loans (each as described in the Company’s Current Report on Form 8-K filed with the SEC on March 25, 2025).</w:t>
      </w:r>
    </w:p>
    <w:p>
      <w:pPr>
        <w:ind w:firstLine="509"/>
        <w:spacing w:after="0" w:line="236" w:lineRule="auto"/>
        <w:rPr>
          <w:sz w:val="20"/>
          <w:szCs w:val="20"/>
          <w:color w:val="auto"/>
        </w:rPr>
      </w:pPr>
      <w:r>
        <w:rPr>
          <w:rFonts w:ascii="Times New Roman" w:cs="Times New Roman" w:eastAsia="Times New Roman" w:hAnsi="Times New Roman"/>
          <w:sz w:val="14"/>
          <w:szCs w:val="14"/>
          <w:color w:val="auto"/>
        </w:rPr>
        <w:t>On the First Closing Date, the Company issued the WTI Warrants to the WTI Holders. Each WTI Warrant is exercisable into one share of Common Stock at a price of $0.01 per share (subject to certain limitations, adjustment and certain other rights to possible future financings in accordance with terms of the WTI Warrants) through March 31, 2035. The WTI Warrants include customary registration rights and change-of-control adjustments. The WTI Holders also have the option to purchase up to $1.5 million (in the aggregate) or such amount as is necessary for each of the WTI Holders to maintain its pro rata ownership in certain future financings conducted by the Company, subject to customary exclusions.</w:t>
      </w:r>
    </w:p>
    <w:p>
      <w:pPr>
        <w:spacing w:after="0" w:line="168" w:lineRule="exact"/>
        <w:rPr>
          <w:sz w:val="20"/>
          <w:szCs w:val="20"/>
          <w:color w:val="auto"/>
        </w:rPr>
      </w:pPr>
    </w:p>
    <w:p>
      <w:pPr>
        <w:ind w:right="580"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WTI Warrants is qualified in its entirety by the terms and conditions of each of the WTI Warrants, which are filed herewith as Exhibits 4.2 and 4.3, respectively,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1038860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 w:name="page4"/>
    <w:bookmarkEnd w:id="3"/>
    <w:p>
      <w:pPr>
        <w:spacing w:after="0"/>
        <w:tabs>
          <w:tab w:leader="none" w:pos="680" w:val="left"/>
        </w:tabs>
        <w:rPr>
          <w:sz w:val="20"/>
          <w:szCs w:val="20"/>
          <w:color w:val="auto"/>
        </w:rPr>
      </w:pPr>
      <w:r>
        <w:rPr>
          <w:rFonts w:ascii="Times New Roman" w:cs="Times New Roman" w:eastAsia="Times New Roman" w:hAnsi="Times New Roman"/>
          <w:sz w:val="14"/>
          <w:szCs w:val="14"/>
          <w:b w:val="1"/>
          <w:bCs w:val="1"/>
          <w:color w:val="auto"/>
        </w:rPr>
        <w:t>Item 2.03</w:t>
        <w:tab/>
        <w:t>Creation of a Direct Financial Obligation or an Obligation under an Off-Balance Sheet Arrangement of a Registrant.</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information contained in Item 1.01 is incorporated herein by reference.</w:t>
      </w:r>
    </w:p>
    <w:p>
      <w:pPr>
        <w:spacing w:after="0" w:line="17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3.02</w:t>
        <w:tab/>
        <w:t>Unregistered Sales of Equity Securities.</w:t>
      </w:r>
    </w:p>
    <w:p>
      <w:pPr>
        <w:spacing w:after="0" w:line="170" w:lineRule="exact"/>
        <w:rPr>
          <w:sz w:val="20"/>
          <w:szCs w:val="20"/>
          <w:color w:val="auto"/>
        </w:rPr>
      </w:pPr>
    </w:p>
    <w:p>
      <w:pPr>
        <w:jc w:val="both"/>
        <w:ind w:right="100" w:firstLine="509"/>
        <w:spacing w:after="0" w:line="248" w:lineRule="auto"/>
        <w:rPr>
          <w:sz w:val="20"/>
          <w:szCs w:val="20"/>
          <w:color w:val="auto"/>
        </w:rPr>
      </w:pPr>
      <w:r>
        <w:rPr>
          <w:rFonts w:ascii="Times New Roman" w:cs="Times New Roman" w:eastAsia="Times New Roman" w:hAnsi="Times New Roman"/>
          <w:sz w:val="14"/>
          <w:szCs w:val="14"/>
          <w:color w:val="auto"/>
        </w:rPr>
        <w:t>The information contained in Item 1.01 is incorporated herein by reference. The issuance of the WTI Warrants and the First Convertible Debenture was, and the Conversion Shares issuable upon conversion of the First Convertible Debenture will be, exempt from registration pursuant to Section 4(a)(2) of the Securities Act. Yorkville represented to the Company that it is an “accredited investor” as defined in Rule 501 of the Securities Act and that each of the First Convertible Debenture and the Conversion Shares will be acquired for investment purposes and not with a view to, or for sale in connection with, any distribution thereof. The Company has also agreed to register the sale of the shares of Common Stock underlying the WTI Warrants under the Securities Act.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6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Exhibits and Financial Statements</w:t>
            </w:r>
          </w:p>
        </w:tc>
      </w:tr>
      <w:tr>
        <w:trPr>
          <w:trHeight w:val="255"/>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w w:val="99"/>
              </w:rPr>
              <w:t>(d) Exhibits.</w:t>
            </w:r>
          </w:p>
        </w:tc>
        <w:tc>
          <w:tcPr>
            <w:tcW w:w="40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21"/>
        </w:trPr>
        <w:tc>
          <w:tcPr>
            <w:tcW w:w="7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4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1"/>
        </w:trPr>
        <w:tc>
          <w:tcPr>
            <w:tcW w:w="7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No.</w:t>
            </w:r>
          </w:p>
        </w:tc>
        <w:tc>
          <w:tcPr>
            <w:tcW w:w="400" w:type="dxa"/>
            <w:vAlign w:val="bottom"/>
          </w:tcPr>
          <w:p>
            <w:pPr>
              <w:spacing w:after="0"/>
              <w:rPr>
                <w:sz w:val="15"/>
                <w:szCs w:val="15"/>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r>
      <w:tr>
        <w:trPr>
          <w:trHeight w:val="26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4.1^</w:t>
            </w:r>
          </w:p>
        </w:tc>
        <w:tc>
          <w:tcPr>
            <w:tcW w:w="400" w:type="dxa"/>
            <w:vAlign w:val="bottom"/>
          </w:tcPr>
          <w:p>
            <w:pPr>
              <w:spacing w:after="0"/>
              <w:rPr>
                <w:sz w:val="22"/>
                <w:szCs w:val="22"/>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First Convertible Debenture, issued to YA II PN, Ltd., dated April 14, 2025.</w:t>
            </w:r>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4.2^</w:t>
            </w:r>
          </w:p>
        </w:tc>
        <w:tc>
          <w:tcPr>
            <w:tcW w:w="400" w:type="dxa"/>
            <w:vAlign w:val="bottom"/>
          </w:tcPr>
          <w:p>
            <w:pPr>
              <w:spacing w:after="0"/>
              <w:rPr>
                <w:sz w:val="17"/>
                <w:szCs w:val="17"/>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Warrant to Acquire Securities of Innventure, Inc., issued to WTI Fund X, LLC on April 14, 2025.</w:t>
            </w:r>
          </w:p>
        </w:tc>
      </w:tr>
      <w:tr>
        <w:trPr>
          <w:trHeight w:val="20"/>
        </w:trPr>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4.3^</w:t>
            </w:r>
          </w:p>
        </w:tc>
        <w:tc>
          <w:tcPr>
            <w:tcW w:w="400" w:type="dxa"/>
            <w:vAlign w:val="bottom"/>
          </w:tcPr>
          <w:p>
            <w:pPr>
              <w:spacing w:after="0"/>
              <w:rPr>
                <w:sz w:val="17"/>
                <w:szCs w:val="17"/>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Warrant to Acquire Securities of Innventure, Inc., issued to WTI Fund XI, LLC on April 14, 2025.</w:t>
            </w:r>
          </w:p>
        </w:tc>
      </w:tr>
      <w:tr>
        <w:trPr>
          <w:trHeight w:val="20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400" w:type="dxa"/>
            <w:vAlign w:val="bottom"/>
          </w:tcPr>
          <w:p>
            <w:pPr>
              <w:spacing w:after="0"/>
              <w:rPr>
                <w:sz w:val="17"/>
                <w:szCs w:val="17"/>
                <w:color w:val="auto"/>
              </w:rPr>
            </w:pPr>
          </w:p>
        </w:tc>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Global Guaranty Agreement by Innventure, LLC dated April 14, 2025.</w:t>
            </w:r>
          </w:p>
        </w:tc>
        <w:tc>
          <w:tcPr>
            <w:tcW w:w="1540" w:type="dxa"/>
            <w:vAlign w:val="bottom"/>
            <w:tcBorders>
              <w:top w:val="single" w:sz="8" w:color="auto"/>
            </w:tcBorders>
            <w:gridSpan w:val="3"/>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400" w:type="dxa"/>
            <w:vAlign w:val="bottom"/>
          </w:tcPr>
          <w:p>
            <w:pPr>
              <w:spacing w:after="0"/>
              <w:rPr>
                <w:sz w:val="17"/>
                <w:szCs w:val="17"/>
                <w:color w:val="auto"/>
              </w:rPr>
            </w:pPr>
          </w:p>
        </w:tc>
        <w:tc>
          <w:tcPr>
            <w:tcW w:w="56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color w:val="auto"/>
              </w:rPr>
              <w:t>Registration Rights Agreement, dated April 14, 2025, between Innventure, Inc. and YA II PN, Ltd..</w:t>
            </w:r>
          </w:p>
        </w:tc>
      </w:tr>
      <w:tr>
        <w:trPr>
          <w:trHeight w:val="234"/>
        </w:trPr>
        <w:tc>
          <w:tcPr>
            <w:tcW w:w="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00" w:type="dxa"/>
            <w:vAlign w:val="bottom"/>
          </w:tcPr>
          <w:p>
            <w:pPr>
              <w:spacing w:after="0"/>
              <w:rPr>
                <w:sz w:val="20"/>
                <w:szCs w:val="20"/>
                <w:color w:val="auto"/>
              </w:rPr>
            </w:pPr>
          </w:p>
        </w:tc>
        <w:tc>
          <w:tcPr>
            <w:tcW w:w="562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63" w:lineRule="exact"/>
        <w:rPr>
          <w:sz w:val="20"/>
          <w:szCs w:val="20"/>
          <w:color w:val="auto"/>
        </w:rPr>
      </w:pPr>
    </w:p>
    <w:p>
      <w:pPr>
        <w:ind w:left="180" w:hanging="175"/>
        <w:spacing w:after="0"/>
        <w:tabs>
          <w:tab w:leader="none" w:pos="180" w:val="left"/>
        </w:tabs>
        <w:numPr>
          <w:ilvl w:val="0"/>
          <w:numId w:val="2"/>
        </w:numPr>
        <w:rPr>
          <w:rFonts w:ascii="Cambria" w:cs="Cambria" w:eastAsia="Cambria" w:hAnsi="Cambria"/>
          <w:sz w:val="11"/>
          <w:szCs w:val="11"/>
          <w:b w:val="1"/>
          <w:bCs w:val="1"/>
          <w:color w:val="auto"/>
        </w:rPr>
      </w:pPr>
      <w:r>
        <w:rPr>
          <w:rFonts w:ascii="Times New Roman" w:cs="Times New Roman" w:eastAsia="Times New Roman" w:hAnsi="Times New Roman"/>
          <w:sz w:val="11"/>
          <w:szCs w:val="11"/>
          <w:color w:val="auto"/>
        </w:rPr>
        <w:t>Certain schedules have been omitted pursuant to Item 601(a)(5) of Regulation S-K. Innventure, Inc. agrees to furnish a copy of any omitted schedule to the SEC upon request.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Disclaimers and Forward-Looking Statements</w:t>
      </w:r>
    </w:p>
    <w:p>
      <w:pPr>
        <w:spacing w:after="0" w:line="16" w:lineRule="exact"/>
        <w:rPr>
          <w:sz w:val="20"/>
          <w:szCs w:val="20"/>
          <w:color w:val="auto"/>
        </w:rPr>
      </w:pPr>
    </w:p>
    <w:p>
      <w:pPr>
        <w:ind w:right="60" w:firstLine="509"/>
        <w:spacing w:after="0"/>
        <w:rPr>
          <w:sz w:val="20"/>
          <w:szCs w:val="20"/>
          <w:color w:val="auto"/>
        </w:rPr>
      </w:pPr>
      <w:r>
        <w:rPr>
          <w:rFonts w:ascii="Times New Roman" w:cs="Times New Roman" w:eastAsia="Times New Roman" w:hAnsi="Times New Roman"/>
          <w:sz w:val="14"/>
          <w:szCs w:val="14"/>
          <w:color w:val="auto"/>
        </w:rPr>
        <w:t>This Current Report on Form 8-K contains forward-looking statements within the meaning of the Private Securities Litigation Reform Act of 1995. All statements contained in this Current Report on Form 8-K that do not relate to matters of historical fact should be considered forward-looking statements. The forward-looking statements are based on the current expectations of the Company’s management and are inherently subject to uncertainties and changes in circumstances and their potential effects and speak only as of the date of this Form 8-K. There can be no assurance that future developments will be those that have been anticipated. These forward-looking statements involve a number of risks, uncertainties (some of which are beyond the control of the parties) or</w:t>
      </w:r>
    </w:p>
    <w:p>
      <w:pPr>
        <w:spacing w:after="0" w:line="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4"/>
          <w:szCs w:val="14"/>
          <w:color w:val="auto"/>
        </w:rPr>
        <w:t>other assumptions that may cause actual results or performance to be materially different from those expressed or implied by these forward-looking statements. The risks and uncertainties include, but are not limited to, those factors discussed and identified in other public filings made with the SEC by the Company, including the Company’s most recent Annual Report on Form 10-K, which is available on the Company’s Investor Relations website at www.ir.innventure.com and on the Securities and Exchange Commission website at www.sec.gov. All forward-looking statements reflect the Company’s beliefs and assumptions only as of the date of this Current Report on Form 8-K. The Company undertakes no obligation to update forward-looking statements to reflect future events or circumstances. Capitalized terms shall have the meanings ascribed to such terms in the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1536700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4" w:name="page5"/>
    <w:bookmarkEnd w:id="4"/>
    <w:p>
      <w:pPr>
        <w:jc w:val="center"/>
        <w:ind w:right="-57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33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INNVENTURE, INC.</w:t>
      </w:r>
    </w:p>
    <w:p>
      <w:pPr>
        <w:spacing w:after="0" w:line="202" w:lineRule="exact"/>
        <w:rPr>
          <w:sz w:val="20"/>
          <w:szCs w:val="20"/>
          <w:color w:val="auto"/>
        </w:rPr>
      </w:pPr>
    </w:p>
    <w:p>
      <w:pPr>
        <w:spacing w:after="0"/>
        <w:tabs>
          <w:tab w:leader="none" w:pos="1860" w:val="left"/>
          <w:tab w:leader="none" w:pos="2240" w:val="left"/>
        </w:tabs>
        <w:rPr>
          <w:sz w:val="20"/>
          <w:szCs w:val="20"/>
          <w:color w:val="auto"/>
        </w:rPr>
      </w:pPr>
      <w:r>
        <w:rPr>
          <w:rFonts w:ascii="Times New Roman" w:cs="Times New Roman" w:eastAsia="Times New Roman" w:hAnsi="Times New Roman"/>
          <w:sz w:val="14"/>
          <w:szCs w:val="14"/>
          <w:color w:val="auto"/>
        </w:rPr>
        <w:t>Date: April 14, 2025</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u w:val="single" w:color="auto"/>
          <w:color w:val="auto"/>
        </w:rPr>
        <w:t>/s/ David Yablunosky</w:t>
      </w:r>
    </w:p>
    <w:p>
      <w:pPr>
        <w:spacing w:after="0" w:line="14" w:lineRule="exact"/>
        <w:rPr>
          <w:sz w:val="20"/>
          <w:szCs w:val="20"/>
          <w:color w:val="auto"/>
        </w:rPr>
      </w:pPr>
    </w:p>
    <w:p>
      <w:pPr>
        <w:ind w:left="3560"/>
        <w:spacing w:after="0"/>
        <w:tabs>
          <w:tab w:leader="none" w:pos="4100" w:val="left"/>
        </w:tabs>
        <w:rPr>
          <w:sz w:val="20"/>
          <w:szCs w:val="20"/>
          <w:color w:val="auto"/>
        </w:rPr>
      </w:pPr>
      <w:r>
        <w:rPr>
          <w:rFonts w:ascii="Times New Roman" w:cs="Times New Roman" w:eastAsia="Times New Roman" w:hAnsi="Times New Roman"/>
          <w:sz w:val="14"/>
          <w:szCs w:val="14"/>
          <w:color w:val="auto"/>
        </w:rPr>
        <w:t>Name:</w:t>
        <w:tab/>
        <w:t>David Yablunosky</w:t>
      </w:r>
    </w:p>
    <w:p>
      <w:pPr>
        <w:spacing w:after="0" w:line="7" w:lineRule="exact"/>
        <w:rPr>
          <w:sz w:val="20"/>
          <w:szCs w:val="20"/>
          <w:color w:val="auto"/>
        </w:rPr>
      </w:pPr>
    </w:p>
    <w:p>
      <w:pPr>
        <w:ind w:left="3560"/>
        <w:spacing w:after="0"/>
        <w:tabs>
          <w:tab w:leader="none" w:pos="4060" w:val="left"/>
        </w:tabs>
        <w:rPr>
          <w:sz w:val="20"/>
          <w:szCs w:val="20"/>
          <w:color w:val="auto"/>
        </w:rPr>
      </w:pPr>
      <w:r>
        <w:rPr>
          <w:rFonts w:ascii="Times New Roman" w:cs="Times New Roman" w:eastAsia="Times New Roman" w:hAnsi="Times New Roman"/>
          <w:sz w:val="14"/>
          <w:szCs w:val="14"/>
          <w:color w:val="auto"/>
        </w:rPr>
        <w:t>Title:</w:t>
        <w:tab/>
        <w:t>Chief Financial Officer</w:t>
      </w:r>
    </w:p>
    <w:p>
      <w:pPr>
        <w:sectPr>
          <w:pgSz w:w="11900" w:h="16838" w:orient="portrait"/>
          <w:cols w:equalWidth="0" w:num="1">
            <w:col w:w="10700"/>
          </w:cols>
          <w:pgMar w:left="300" w:top="1141" w:right="899" w:bottom="1440" w:gutter="0" w:footer="0" w:header="0"/>
        </w:sectPr>
      </w:pPr>
    </w:p>
    <w:bookmarkStart w:id="5" w:name="page6"/>
    <w:bookmarkEnd w:id="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4060" w:val="left"/>
        </w:tabs>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4060" w:val="left"/>
        </w:tabs>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0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tabs>
          <w:tab w:leader="none" w:pos="4060" w:val="left"/>
        </w:tabs>
        <w:rPr>
          <w:sz w:val="20"/>
          <w:szCs w:val="20"/>
          <w:color w:val="auto"/>
        </w:rPr>
      </w:pPr>
    </w:p>
    <w:p>
      <w:pPr>
        <w:sectPr>
          <w:pgSz w:w="11900" w:h="16838" w:orient="portrait"/>
          <w:cols w:equalWidth="1" w:num="1" w:space="0"/>
          <w:pgMar w:left="1440" w:top="1440" w:right="1440" w:bottom="875" w:gutter="0" w:footer="0" w:header="0"/>
        </w:sectPr>
      </w:pPr>
    </w:p>
    <w:bookmarkStart w:id="65" w:name="page66"/>
    <w:bookmarkEnd w:id="6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tabs>
          <w:tab w:leader="none" w:pos="4060" w:val="left"/>
        </w:tabs>
        <w:rPr>
          <w:sz w:val="20"/>
          <w:szCs w:val="20"/>
          <w:color w:val="auto"/>
        </w:rPr>
      </w:pPr>
    </w:p>
    <w:p>
      <w:pPr>
        <w:sectPr>
          <w:pgSz w:w="11900" w:h="16838" w:orient="portrait"/>
          <w:cols w:equalWidth="1" w:num="1" w:space="0"/>
          <w:pgMar w:left="1440" w:top="1440" w:right="1440" w:bottom="875" w:gutter="0" w:footer="0" w:header="0"/>
        </w:sectPr>
      </w:pPr>
    </w:p>
    <w:bookmarkStart w:id="71" w:name="page72"/>
    <w:bookmarkEnd w:id="7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tabs>
          <w:tab w:leader="none" w:pos="40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2025-04-14T15:58:55Z</dcterms:created>
  <dcterms:modified xsi:type="dcterms:W3CDTF">2025-04-14T15:58:55Z</dcterms:modified>
</cp:coreProperties>
</file>