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9, 2024</w:t>
      </w:r>
    </w:p>
    <w:p>
      <w:pPr>
        <w:spacing w:after="0" w:line="117"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105410</wp:posOffset>
            </wp:positionV>
            <wp:extent cx="69862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124460</wp:posOffset>
            </wp:positionV>
            <wp:extent cx="2143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2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115570</wp:posOffset>
            </wp:positionV>
            <wp:extent cx="2143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124460</wp:posOffset>
            </wp:positionV>
            <wp:extent cx="214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52"/>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99"/>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3080" w:type="dxa"/>
            <w:vAlign w:val="bottom"/>
          </w:tcPr>
          <w:p>
            <w:pPr>
              <w:spacing w:after="0"/>
              <w:rPr>
                <w:sz w:val="24"/>
                <w:szCs w:val="24"/>
                <w:color w:val="auto"/>
              </w:rPr>
            </w:pPr>
          </w:p>
        </w:tc>
      </w:tr>
      <w:tr>
        <w:trPr>
          <w:trHeight w:val="270"/>
        </w:trPr>
        <w:tc>
          <w:tcPr>
            <w:tcW w:w="468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Orlando, FL</w:t>
            </w:r>
          </w:p>
        </w:tc>
        <w:tc>
          <w:tcPr>
            <w:tcW w:w="3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70"/>
        </w:trPr>
        <w:tc>
          <w:tcPr>
            <w:tcW w:w="468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2024 EQUITY AND INCENTIVE COMPENSATION PLAN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125730</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Suzanne Niemeyer</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Orlando, FL 32827</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r>
        <w:rPr>
          <w:rFonts w:ascii="Times New Roman" w:cs="Times New Roman" w:eastAsia="Times New Roman" w:hAnsi="Times New Roman"/>
          <w:sz w:val="18"/>
          <w:szCs w:val="18"/>
          <w:b w:val="1"/>
          <w:bCs w:val="1"/>
          <w:color w:val="auto"/>
        </w:rPr>
        <w: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Joel T. May</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Thomas L. Short</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Jones Day</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1221 Peachtree Street, N.E., Suite 400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Atlanta, GA 30361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(404) 521-3939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194310</wp:posOffset>
            </wp:positionV>
            <wp:extent cx="2143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140"/>
          </w:cols>
          <w:pgMar w:left="320" w:top="468" w:right="4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registration statement on Form S-8 (this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is being filed by Innventure,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to register 11,022,894 shares of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initially may be delivered under the Innventure, Inc. 2024 Equity and Incentive Compensation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This Registration Statement is also being filed to register 6,613,736 additional shares of Common Stock that are expected to become deliverable under the Plan as a result of the operation of the “evergreen” provision in the Plan, which provides that the total number of shares available for awards under the Plan will be increased, annually, on the first day of each fiscal year (beginning with the 2025 fiscal year), by an amount equal to the lesser of (i) 3% of the shares of Common Stock outstanding on December 31 of the immediately preceding fiscal year and (ii) such smaller number of shares of Common Stock as determined by the board of directors of the Registrant. The 6,613,736 additional shares of Common Stock reserved for issuance under the Plan pursuant to this Registration Statement are being registered on this Registration Statement to cover the additional shares of Common Stock that are expected to become available under the Plan pursuant to such annual increases in 2025 and 2026. To the extent that the actual number of shares that may be offered pursuant to the Plan exceeds the number of shares registered on this Registration Statement, the Registrant will file a new registration statement to register the additional shares of Common Stock.</w:t>
      </w:r>
    </w:p>
    <w:p>
      <w:pPr>
        <w:sectPr>
          <w:pgSz w:w="11900" w:h="16838" w:orient="portrait"/>
          <w:cols w:equalWidth="0" w:num="1">
            <w:col w:w="11200"/>
          </w:cols>
          <w:pgMar w:left="320" w:top="141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containing the information specified in Part I of the Registration Statement will be sent or given to the participants as specified by</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Rule 428(b)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Such documents are not required to be, and are not,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either as part of this Registration Statement or as prospectuses or prospectus supplements pursuant to Rule 424 under the Securities Act. These documents, and the documents incorporated by reference herein pursuant to Item 3 of Part II hereof, taken together, constitute a prospectus that meets the requirements of Section 10(a)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89"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The written statement required by Item 2 of Part I is included in documents that will be delivered to participants in the plans covered by this Registration Statement pursuant to Rule 428(b) of the Securities Act.</w:t>
      </w:r>
    </w:p>
    <w:p>
      <w:pPr>
        <w:spacing w:after="0" w:line="1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which have been filed by the Registrant with the Commission, are incorporated in this Registration Statement by reference:</w:t>
      </w:r>
    </w:p>
    <w:p>
      <w:pPr>
        <w:spacing w:after="0" w:line="185" w:lineRule="exact"/>
        <w:rPr>
          <w:sz w:val="20"/>
          <w:szCs w:val="20"/>
          <w:color w:val="auto"/>
        </w:rPr>
      </w:pPr>
    </w:p>
    <w:p>
      <w:pPr>
        <w:ind w:right="80" w:firstLine="8"/>
        <w:spacing w:after="0" w:line="258" w:lineRule="auto"/>
        <w:tabs>
          <w:tab w:leader="none" w:pos="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filed pursuant to Rule 424(b) under the Securities Act (File No. 333-282971) on </w:t>
      </w:r>
      <w:hyperlink r:id="rId15">
        <w:r>
          <w:rPr>
            <w:rFonts w:ascii="Times New Roman" w:cs="Times New Roman" w:eastAsia="Times New Roman" w:hAnsi="Times New Roman"/>
            <w:sz w:val="18"/>
            <w:szCs w:val="18"/>
            <w:u w:val="single" w:color="auto"/>
            <w:color w:val="0000FF"/>
          </w:rPr>
          <w:t>November 12, 2024</w:t>
        </w:r>
      </w:hyperlink>
      <w:r>
        <w:rPr>
          <w:rFonts w:ascii="Times New Roman" w:cs="Times New Roman" w:eastAsia="Times New Roman" w:hAnsi="Times New Roman"/>
          <w:sz w:val="18"/>
          <w:szCs w:val="18"/>
          <w:color w:val="auto"/>
        </w:rPr>
        <w:t>, relating to the Registrant’s Registration Statement on Form S-1, as such prospectus may be supplemented or amended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(Registration No. 333-282971), originally filed with the Commission on </w:t>
      </w:r>
      <w:hyperlink r:id="rId16">
        <w:r>
          <w:rPr>
            <w:rFonts w:ascii="Times New Roman" w:cs="Times New Roman" w:eastAsia="Times New Roman" w:hAnsi="Times New Roman"/>
            <w:sz w:val="18"/>
            <w:szCs w:val="18"/>
            <w:u w:val="single" w:color="auto"/>
            <w:color w:val="0000FF"/>
          </w:rPr>
          <w:t>November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Registrant’s prospectus supplements filed pursuant to Rule 424(b) under the Securities Act (File No. 333-282971) on November 14, 2024 (Prospectus Supplement Nos. </w:t>
      </w:r>
      <w:hyperlink r:id="rId17">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8">
        <w:r>
          <w:rPr>
            <w:rFonts w:ascii="Times New Roman" w:cs="Times New Roman" w:eastAsia="Times New Roman" w:hAnsi="Times New Roman"/>
            <w:sz w:val="18"/>
            <w:szCs w:val="18"/>
            <w:u w:val="single" w:color="auto"/>
            <w:color w:val="0000FF"/>
          </w:rPr>
          <w:t>2</w:t>
        </w:r>
      </w:hyperlink>
      <w:r>
        <w:rPr>
          <w:rFonts w:ascii="Times New Roman" w:cs="Times New Roman" w:eastAsia="Times New Roman" w:hAnsi="Times New Roman"/>
          <w:sz w:val="18"/>
          <w:szCs w:val="18"/>
          <w:color w:val="auto"/>
        </w:rPr>
        <w:t xml:space="preserve">), November 15, 2024 (Prospectus Supplement No. </w:t>
      </w:r>
      <w:hyperlink r:id="rId19">
        <w:r>
          <w:rPr>
            <w:rFonts w:ascii="Times New Roman" w:cs="Times New Roman" w:eastAsia="Times New Roman" w:hAnsi="Times New Roman"/>
            <w:sz w:val="18"/>
            <w:szCs w:val="18"/>
            <w:u w:val="single" w:color="auto"/>
            <w:color w:val="0000FF"/>
          </w:rPr>
          <w:t>3</w:t>
        </w:r>
      </w:hyperlink>
      <w:r>
        <w:rPr>
          <w:rFonts w:ascii="Times New Roman" w:cs="Times New Roman" w:eastAsia="Times New Roman" w:hAnsi="Times New Roman"/>
          <w:sz w:val="18"/>
          <w:szCs w:val="18"/>
          <w:color w:val="auto"/>
        </w:rPr>
        <w:t xml:space="preserve">) and November 19, 2024 (Prospectus Supplement No. </w:t>
      </w:r>
      <w:hyperlink r:id="rId20">
        <w:r>
          <w:rPr>
            <w:rFonts w:ascii="Times New Roman" w:cs="Times New Roman" w:eastAsia="Times New Roman" w:hAnsi="Times New Roman"/>
            <w:sz w:val="18"/>
            <w:szCs w:val="18"/>
            <w:u w:val="single" w:color="auto"/>
            <w:color w:val="0000FF"/>
          </w:rPr>
          <w:t>4</w:t>
        </w:r>
      </w:hyperlink>
      <w:r>
        <w:rPr>
          <w:rFonts w:ascii="Times New Roman" w:cs="Times New Roman" w:eastAsia="Times New Roman" w:hAnsi="Times New Roman"/>
          <w:sz w:val="18"/>
          <w:szCs w:val="18"/>
          <w:color w:val="auto"/>
        </w:rPr>
        <w:t>), in each case, updating and supplementing the information contained in the Prospectus;</w:t>
      </w:r>
    </w:p>
    <w:p>
      <w:pPr>
        <w:spacing w:after="0" w:line="142"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1"/>
        </w:numPr>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auto"/>
          </w:rPr>
          <w:t xml:space="preserve">The Registrant’s Quarterly Report on Form 10-Q for the quarterly period ended September 30, 2024, as filed with the Commission on </w:t>
        </w:r>
        <w:r>
          <w:rPr>
            <w:rFonts w:ascii="Times New Roman" w:cs="Times New Roman" w:eastAsia="Times New Roman" w:hAnsi="Times New Roman"/>
            <w:sz w:val="18"/>
            <w:szCs w:val="18"/>
            <w:u w:val="single" w:color="auto"/>
            <w:color w:val="0000FF"/>
          </w:rPr>
          <w:t>November 14,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w:t>
        </w:r>
      </w:hyperlink>
    </w:p>
    <w:p>
      <w:pPr>
        <w:spacing w:after="0" w:line="134" w:lineRule="exact"/>
        <w:rPr>
          <w:rFonts w:ascii="Times New Roman" w:cs="Times New Roman" w:eastAsia="Times New Roman" w:hAnsi="Times New Roman"/>
          <w:sz w:val="18"/>
          <w:szCs w:val="18"/>
          <w:color w:val="0000FF"/>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2">
        <w:r>
          <w:rPr>
            <w:rFonts w:ascii="Times New Roman" w:cs="Times New Roman" w:eastAsia="Times New Roman" w:hAnsi="Times New Roman"/>
            <w:sz w:val="18"/>
            <w:szCs w:val="18"/>
            <w:u w:val="single" w:color="auto"/>
            <w:color w:val="0000FF"/>
          </w:rPr>
          <w:t>October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FF"/>
          </w:rPr>
          <w:t>October 23, 2024</w:t>
        </w:r>
      </w:hyperlink>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ind w:right="360" w:firstLine="8"/>
        <w:spacing w:after="0" w:line="266" w:lineRule="auto"/>
        <w:tabs>
          <w:tab w:leader="none" w:pos="255"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Form 8-A filed with the Commission on </w:t>
      </w:r>
      <w:hyperlink r:id="rId24">
        <w:r>
          <w:rPr>
            <w:rFonts w:ascii="Times New Roman" w:cs="Times New Roman" w:eastAsia="Times New Roman" w:hAnsi="Times New Roman"/>
            <w:sz w:val="18"/>
            <w:szCs w:val="18"/>
            <w:u w:val="single" w:color="auto"/>
            <w:color w:val="0000FF"/>
          </w:rPr>
          <w:t>October 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pursuant to Section 12(b) of the Securities Exchange Act of 1934, as amended (the “</w:t>
      </w:r>
      <w:r>
        <w:rPr>
          <w:rFonts w:ascii="Times New Roman" w:cs="Times New Roman" w:eastAsia="Times New Roman" w:hAnsi="Times New Roman"/>
          <w:sz w:val="18"/>
          <w:szCs w:val="18"/>
          <w:b w:val="1"/>
          <w:bCs w:val="1"/>
          <w:i w:val="1"/>
          <w:iCs w:val="1"/>
          <w:color w:val="000000"/>
        </w:rPr>
        <w:t>Exchange Act</w:t>
      </w:r>
      <w:r>
        <w:rPr>
          <w:rFonts w:ascii="Times New Roman" w:cs="Times New Roman" w:eastAsia="Times New Roman" w:hAnsi="Times New Roman"/>
          <w:sz w:val="18"/>
          <w:szCs w:val="18"/>
          <w:color w:val="000000"/>
        </w:rPr>
        <w:t>”), including any amendments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reports filed for the purpose of updating such description.</w:t>
      </w:r>
    </w:p>
    <w:p>
      <w:pPr>
        <w:spacing w:after="0" w:line="135" w:lineRule="exact"/>
        <w:rPr>
          <w:rFonts w:ascii="Times New Roman" w:cs="Times New Roman" w:eastAsia="Times New Roman" w:hAnsi="Times New Roman"/>
          <w:sz w:val="18"/>
          <w:szCs w:val="18"/>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All reports and other documents subsequently filed by the Registrant pursuant to Sections 13(a), 13(c), 14 and 15(d) of the Exchange Act (other than Current Reports on Form 8-K furnished pursuant to Item 2.02 or Item 7.01 of Form 8-K, including any exhibits included with such information that are related to such items)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w:t>
      </w:r>
    </w:p>
    <w:p>
      <w:pPr>
        <w:spacing w:after="0" w:line="160" w:lineRule="exact"/>
        <w:rPr>
          <w:rFonts w:ascii="Times New Roman" w:cs="Times New Roman" w:eastAsia="Times New Roman" w:hAnsi="Times New Roman"/>
          <w:sz w:val="18"/>
          <w:szCs w:val="18"/>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Section 145(a)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1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Delaware law and the Registrant’s Amended and Restated Certificate of Incorporation (the “</w:t>
      </w:r>
      <w:r>
        <w:rPr>
          <w:rFonts w:ascii="Times New Roman" w:cs="Times New Roman" w:eastAsia="Times New Roman" w:hAnsi="Times New Roman"/>
          <w:sz w:val="18"/>
          <w:szCs w:val="18"/>
          <w:b w:val="1"/>
          <w:bCs w:val="1"/>
          <w:i w:val="1"/>
          <w:iCs w:val="1"/>
          <w:color w:val="auto"/>
        </w:rPr>
        <w:t>A&amp;R Certificate of Incorporation</w:t>
      </w:r>
      <w:r>
        <w:rPr>
          <w:rFonts w:ascii="Times New Roman" w:cs="Times New Roman" w:eastAsia="Times New Roman" w:hAnsi="Times New Roman"/>
          <w:sz w:val="18"/>
          <w:szCs w:val="18"/>
          <w:color w:val="auto"/>
        </w:rPr>
        <w:t>”) provide that the Registrant will, in certain situations, indemnify its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Registrant has entered into separate indemnification agreements with its directors and officers. These agreements, among other things, require the Registrant to indemnify its directors and officers for certain expenses, including attorneys’ fees, judgments, fines, and settlement amounts incurred by a director or officer in any action or proceeding arising out of their services as one of its directors or officers or any other company or enterprise to which the person provides services at its request.</w:t>
      </w:r>
    </w:p>
    <w:p>
      <w:pPr>
        <w:sectPr>
          <w:pgSz w:w="11900" w:h="16838" w:orient="portrait"/>
          <w:cols w:equalWidth="0" w:num="1">
            <w:col w:w="11240"/>
          </w:cols>
          <w:pgMar w:left="320" w:top="1413" w:right="339" w:bottom="1440" w:gutter="0" w:footer="0" w:header="0"/>
        </w:sectPr>
      </w:pPr>
    </w:p>
    <w:bookmarkStart w:id="4" w:name="page5"/>
    <w:bookmarkEnd w:id="4"/>
    <w:p>
      <w:pPr>
        <w:ind w:right="120"/>
        <w:spacing w:after="0" w:line="266" w:lineRule="auto"/>
        <w:rPr>
          <w:sz w:val="20"/>
          <w:szCs w:val="20"/>
          <w:color w:val="auto"/>
        </w:rPr>
      </w:pPr>
      <w:r>
        <w:rPr>
          <w:rFonts w:ascii="Times New Roman" w:cs="Times New Roman" w:eastAsia="Times New Roman" w:hAnsi="Times New Roman"/>
          <w:sz w:val="18"/>
          <w:szCs w:val="18"/>
          <w:color w:val="auto"/>
        </w:rPr>
        <w:t>The Registrant also maintains a directors’ and officers’ insurance policy pursuant to which its directors and officers are insured against liability for actions taken in their capacities as directors and officers. The Registrant believes these provisions in the A&amp;R Certificate of Incorporation and these indemnification agreements are necessary to attract and retain qualified persons as directors and officers.</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Commission, such indemnification is against public policy as expressed in the Securities Act and is therefore unenforceable.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83"/>
        </w:trPr>
        <w:tc>
          <w:tcPr>
            <w:tcW w:w="10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13"/>
          </w:tcPr>
          <w:p>
            <w:pPr>
              <w:spacing w:after="0" w:line="182"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Certificate of Incorporation of Innventure, Inc., filed with the Secretary of State of Delaware on October 2, 2024</w:t>
              </w:r>
            </w:hyperlink>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EE"/>
            </w:tcBorders>
            <w:gridSpan w:val="12"/>
          </w:tcPr>
          <w:p>
            <w:pPr>
              <w:spacing w:after="0" w:line="15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(incorporated by reference to Exhibit 3.1 to Innventure Inc.’s Current Report on Form 8-K filed with the Commission on October 9,</w:t>
              </w:r>
            </w:hyperlink>
          </w:p>
        </w:tc>
        <w:tc>
          <w:tcPr>
            <w:tcW w:w="24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2024).</w:t>
              </w:r>
            </w:hyperlink>
          </w:p>
        </w:tc>
        <w:tc>
          <w:tcPr>
            <w:tcW w:w="11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60" w:type="dxa"/>
            <w:vAlign w:val="bottom"/>
            <w:tcBorders>
              <w:top w:val="single" w:sz="8" w:color="0000EE"/>
            </w:tcBorders>
          </w:tcPr>
          <w:p>
            <w:pPr>
              <w:spacing w:after="0"/>
              <w:rPr>
                <w:sz w:val="13"/>
                <w:szCs w:val="13"/>
                <w:color w:val="auto"/>
              </w:rPr>
            </w:pPr>
          </w:p>
        </w:tc>
        <w:tc>
          <w:tcPr>
            <w:tcW w:w="98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41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39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3"/>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By-laws of Innventure, Inc. (incorporated by reference to Exhibit 3.2 to Innventure Inc.’s Current Report on Form 8-K filed with the</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top w:val="single" w:sz="8" w:color="0000EE"/>
              <w:bottom w:val="single" w:sz="8" w:color="0000EE"/>
            </w:tcBorders>
            <w:gridSpan w:val="5"/>
          </w:tcPr>
          <w:p>
            <w:pPr>
              <w:spacing w:after="0" w:line="15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Commission on October 9, 2024).</w:t>
              </w:r>
            </w:hyperlink>
          </w:p>
        </w:tc>
        <w:tc>
          <w:tcPr>
            <w:tcW w:w="7080" w:type="dxa"/>
            <w:vAlign w:val="bottom"/>
            <w:tcBorders>
              <w:top w:val="single" w:sz="8" w:color="0000EE"/>
            </w:tcBorders>
            <w:gridSpan w:val="5"/>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r>
      <w:tr>
        <w:trPr>
          <w:trHeight w:val="39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3"/>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Innventure, Inc. 2024 Equity and Incentive Compensation Plan (incorporated by reference to Annex K to Innventure, Inc.’s Registration</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EE"/>
            </w:tcBorders>
            <w:gridSpan w:val="11"/>
          </w:tcPr>
          <w:p>
            <w:pPr>
              <w:spacing w:after="0" w:line="15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Statement on Form S-4 filed with the Commission on September 6, 2024).</w:t>
              </w:r>
            </w:hyperlink>
          </w:p>
        </w:tc>
        <w:tc>
          <w:tcPr>
            <w:tcW w:w="260" w:type="dxa"/>
            <w:vAlign w:val="bottom"/>
            <w:gridSpan w:val="2"/>
          </w:tcPr>
          <w:p>
            <w:pPr>
              <w:spacing w:after="0"/>
              <w:rPr>
                <w:sz w:val="13"/>
                <w:szCs w:val="13"/>
                <w:color w:val="auto"/>
              </w:rPr>
            </w:pPr>
          </w:p>
        </w:tc>
      </w:tr>
      <w:tr>
        <w:trPr>
          <w:trHeight w:val="39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top w:val="single" w:sz="8" w:color="0000EE"/>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8"/>
              </w:rPr>
              <w:t>Opinion of Jones Day.</w:t>
            </w:r>
          </w:p>
        </w:tc>
        <w:tc>
          <w:tcPr>
            <w:tcW w:w="3740" w:type="dxa"/>
            <w:vAlign w:val="bottom"/>
            <w:tcBorders>
              <w:top w:val="single" w:sz="8" w:color="0000EE"/>
            </w:tcBorders>
            <w:gridSpan w:val="6"/>
          </w:tcPr>
          <w:p>
            <w:pPr>
              <w:spacing w:after="0"/>
              <w:rPr>
                <w:sz w:val="24"/>
                <w:szCs w:val="24"/>
                <w:color w:val="auto"/>
              </w:rPr>
            </w:pPr>
          </w:p>
        </w:tc>
        <w:tc>
          <w:tcPr>
            <w:tcW w:w="4700" w:type="dxa"/>
            <w:vAlign w:val="bottom"/>
            <w:gridSpan w:val="5"/>
          </w:tcPr>
          <w:p>
            <w:pPr>
              <w:spacing w:after="0"/>
              <w:rPr>
                <w:sz w:val="24"/>
                <w:szCs w:val="24"/>
                <w:color w:val="auto"/>
              </w:rPr>
            </w:pPr>
          </w:p>
        </w:tc>
      </w:tr>
      <w:tr>
        <w:trPr>
          <w:trHeight w:val="21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Consent of Marcum LLP.</w:t>
            </w:r>
          </w:p>
        </w:tc>
        <w:tc>
          <w:tcPr>
            <w:tcW w:w="8220" w:type="dxa"/>
            <w:vAlign w:val="bottom"/>
            <w:gridSpan w:val="10"/>
          </w:tcPr>
          <w:p>
            <w:pPr>
              <w:spacing w:after="0"/>
              <w:rPr>
                <w:sz w:val="18"/>
                <w:szCs w:val="18"/>
                <w:color w:val="auto"/>
              </w:rPr>
            </w:pPr>
          </w:p>
        </w:tc>
      </w:tr>
      <w:tr>
        <w:trPr>
          <w:trHeight w:val="20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BDO USA, P.C.</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r>
      <w:tr>
        <w:trPr>
          <w:trHeight w:val="20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Jones Day (included in Exhibit 5.1).</w:t>
            </w:r>
          </w:p>
        </w:tc>
        <w:tc>
          <w:tcPr>
            <w:tcW w:w="6620" w:type="dxa"/>
            <w:vAlign w:val="bottom"/>
            <w:gridSpan w:val="7"/>
          </w:tcPr>
          <w:p>
            <w:pPr>
              <w:spacing w:after="0"/>
              <w:rPr>
                <w:sz w:val="18"/>
                <w:szCs w:val="18"/>
                <w:color w:val="auto"/>
              </w:rPr>
            </w:pPr>
          </w:p>
        </w:tc>
      </w:tr>
      <w:tr>
        <w:trPr>
          <w:trHeight w:val="21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hereto).</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 w:lineRule="exact"/>
        <w:rPr>
          <w:sz w:val="20"/>
          <w:szCs w:val="20"/>
          <w:color w:val="auto"/>
        </w:rPr>
      </w:pPr>
    </w:p>
    <w:p>
      <w:pPr>
        <w:ind w:left="1180" w:hanging="1154"/>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9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84" w:lineRule="exact"/>
        <w:rPr>
          <w:rFonts w:ascii="Times New Roman" w:cs="Times New Roman" w:eastAsia="Times New Roman" w:hAnsi="Times New Roman"/>
          <w:sz w:val="18"/>
          <w:szCs w:val="18"/>
          <w:color w:val="auto"/>
        </w:rPr>
      </w:pPr>
    </w:p>
    <w:p>
      <w:pPr>
        <w:ind w:left="1620" w:hanging="316"/>
        <w:spacing w:after="0" w:line="254" w:lineRule="auto"/>
        <w:tabs>
          <w:tab w:leader="none" w:pos="161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p>
      <w:pPr>
        <w:spacing w:after="0" w:line="151" w:lineRule="exact"/>
        <w:rPr>
          <w:rFonts w:ascii="Times New Roman" w:cs="Times New Roman" w:eastAsia="Times New Roman" w:hAnsi="Times New Roman"/>
          <w:sz w:val="18"/>
          <w:szCs w:val="18"/>
          <w:color w:val="auto"/>
        </w:rPr>
      </w:pPr>
    </w:p>
    <w:p>
      <w:pPr>
        <w:ind w:left="1620" w:right="100" w:hanging="316"/>
        <w:spacing w:after="0" w:line="282" w:lineRule="auto"/>
        <w:tabs>
          <w:tab w:leader="none" w:pos="1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240"/>
          </w:cols>
          <w:pgMar w:left="320" w:top="1417" w:right="339" w:bottom="1440" w:gutter="0" w:footer="0" w:header="0"/>
        </w:sectPr>
      </w:pPr>
    </w:p>
    <w:bookmarkStart w:id="5" w:name="page6"/>
    <w:bookmarkEnd w:id="5"/>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35" w:lineRule="exact"/>
        <w:rPr>
          <w:sz w:val="20"/>
          <w:szCs w:val="20"/>
          <w:color w:val="auto"/>
        </w:rPr>
      </w:pPr>
    </w:p>
    <w:p>
      <w:pPr>
        <w:jc w:val="both"/>
        <w:ind w:left="980" w:right="80" w:hanging="324"/>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48"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21" w:lineRule="exact"/>
        <w:rPr>
          <w:sz w:val="20"/>
          <w:szCs w:val="20"/>
          <w:color w:val="auto"/>
        </w:rPr>
      </w:pPr>
    </w:p>
    <w:p>
      <w:pPr>
        <w:ind w:right="40" w:firstLine="656"/>
        <w:spacing w:after="0" w:line="258" w:lineRule="auto"/>
        <w:tabs>
          <w:tab w:leader="none" w:pos="10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42" w:lineRule="exact"/>
        <w:rPr>
          <w:rFonts w:ascii="Times New Roman" w:cs="Times New Roman" w:eastAsia="Times New Roman" w:hAnsi="Times New Roman"/>
          <w:sz w:val="18"/>
          <w:szCs w:val="18"/>
          <w:color w:val="auto"/>
        </w:rPr>
      </w:pPr>
    </w:p>
    <w:p>
      <w:pPr>
        <w:ind w:firstLine="656"/>
        <w:spacing w:after="0" w:line="254" w:lineRule="auto"/>
        <w:tabs>
          <w:tab w:leader="none" w:pos="10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00"/>
          </w:cols>
          <w:pgMar w:left="320" w:top="1415"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160" w:right="300" w:firstLine="35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Orlando, State of Florida, on December 9, 2024.</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INC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By: /s/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17145</wp:posOffset>
            </wp:positionV>
            <wp:extent cx="1534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Dave Yablunosky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Suzanne Niemeyer, and each of them, his or her true and lawful attorneys-in-fact and agents, each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Commission, hereby ratifying and confirming all that said attorneys-in-fact and agents, or any of them, or their substitute or substitutes, may lawfully do or cause to be done by virtue hereof.</w:t>
      </w:r>
    </w:p>
    <w:p>
      <w:pPr>
        <w:spacing w:after="0" w:line="14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13" w:right="339" w:bottom="1440" w:gutter="0" w:footer="0" w:header="0"/>
        </w:sectPr>
      </w:pPr>
    </w:p>
    <w:p>
      <w:pPr>
        <w:spacing w:after="0" w:line="17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717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17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Yablunosky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Otworth</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Amalfitano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Amalfitano</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Bruce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Bruce Brown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O. Donnally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O. Donnally</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17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J. Hennessy</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17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5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w:t>
            </w:r>
          </w:p>
        </w:tc>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20" w:type="dxa"/>
            <w:vAlign w:val="bottom"/>
            <w:gridSpan w:val="2"/>
            <w:vMerge w:val="continue"/>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Director</w:t>
            </w:r>
          </w:p>
        </w:tc>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20" w:type="dxa"/>
            <w:vAlign w:val="bottom"/>
            <w:gridSpan w:val="2"/>
            <w:vMerge w:val="continue"/>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2"/>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r>
        <w:trPr>
          <w:trHeight w:val="56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Counsel and 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r>
        <w:trPr>
          <w:trHeight w:val="56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r>
        <w:trPr>
          <w:trHeight w:val="56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r>
        <w:trPr>
          <w:trHeight w:val="56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r>
        <w:trPr>
          <w:trHeight w:val="56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r>
        <w:trPr>
          <w:trHeight w:val="58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2024</w:t>
            </w:r>
          </w:p>
        </w:tc>
        <w:tc>
          <w:tcPr>
            <w:tcW w:w="0" w:type="dxa"/>
            <w:vAlign w:val="bottom"/>
          </w:tcPr>
          <w:p>
            <w:pPr>
              <w:spacing w:after="0"/>
              <w:rPr>
                <w:sz w:val="1"/>
                <w:szCs w:val="1"/>
                <w:color w:val="auto"/>
              </w:rPr>
            </w:pPr>
          </w:p>
        </w:tc>
      </w:tr>
    </w:tbl>
    <w:p>
      <w:pPr>
        <w:sectPr>
          <w:pgSz w:w="11900" w:h="16838" w:orient="portrait"/>
          <w:cols w:equalWidth="0" w:num="2">
            <w:col w:w="3660" w:space="720"/>
            <w:col w:w="6860"/>
          </w:cols>
          <w:pgMar w:left="320" w:top="1413" w:right="339" w:bottom="1440" w:gutter="0" w:footer="0" w:header="0"/>
          <w:type w:val="continuous"/>
        </w:sectPr>
      </w:pPr>
    </w:p>
    <w:bookmarkStart w:id="7" w:name="page8"/>
    <w:bookmarkEnd w:id="7"/>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240" w:type="dxa"/>
            <w:vAlign w:val="bottom"/>
            <w:tcBorders>
              <w:top w:val="single" w:sz="8" w:color="auto"/>
              <w:left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36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4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 Class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12"/>
        </w:trPr>
        <w:tc>
          <w:tcPr>
            <w:tcW w:w="12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 Type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 Rate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Fee</w:t>
            </w:r>
          </w:p>
        </w:tc>
        <w:tc>
          <w:tcPr>
            <w:tcW w:w="0" w:type="dxa"/>
            <w:vAlign w:val="bottom"/>
          </w:tcPr>
          <w:p>
            <w:pPr>
              <w:spacing w:after="0"/>
              <w:rPr>
                <w:sz w:val="1"/>
                <w:szCs w:val="1"/>
                <w:color w:val="auto"/>
              </w:rPr>
            </w:pPr>
          </w:p>
        </w:tc>
      </w:tr>
      <w:tr>
        <w:trPr>
          <w:trHeight w:val="33"/>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4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w:t>
            </w: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183,773,684.60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$153.10 per $1</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28,135.75</w:t>
            </w:r>
          </w:p>
        </w:tc>
        <w:tc>
          <w:tcPr>
            <w:tcW w:w="0" w:type="dxa"/>
            <w:vAlign w:val="bottom"/>
          </w:tcPr>
          <w:p>
            <w:pPr>
              <w:spacing w:after="0"/>
              <w:rPr>
                <w:sz w:val="1"/>
                <w:szCs w:val="1"/>
                <w:color w:val="auto"/>
              </w:rPr>
            </w:pPr>
          </w:p>
        </w:tc>
      </w:tr>
      <w:tr>
        <w:trPr>
          <w:trHeight w:val="95"/>
        </w:trPr>
        <w:tc>
          <w:tcPr>
            <w:tcW w:w="1240" w:type="dxa"/>
            <w:vAlign w:val="bottom"/>
            <w:tcBorders>
              <w:left w:val="single" w:sz="8" w:color="auto"/>
              <w:right w:val="single" w:sz="8" w:color="auto"/>
            </w:tcBorders>
            <w:vMerge w:val="restart"/>
          </w:tcPr>
          <w:p>
            <w:pPr>
              <w:jc w:val="right"/>
              <w:ind w:right="439"/>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par value $0.0001</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17,636,630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$10.42</w:t>
            </w:r>
          </w:p>
        </w:tc>
        <w:tc>
          <w:tcPr>
            <w:tcW w:w="136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million</w:t>
            </w:r>
          </w:p>
        </w:tc>
        <w:tc>
          <w:tcPr>
            <w:tcW w:w="12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4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per share</w:t>
            </w:r>
          </w:p>
        </w:tc>
        <w:tc>
          <w:tcPr>
            <w:tcW w:w="12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40" w:type="dxa"/>
            <w:vAlign w:val="bottom"/>
            <w:tcBorders>
              <w:left w:val="single" w:sz="8" w:color="auto"/>
            </w:tcBorders>
          </w:tcPr>
          <w:p>
            <w:pPr>
              <w:spacing w:after="0"/>
              <w:rPr>
                <w:sz w:val="18"/>
                <w:szCs w:val="18"/>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$183,773,684.60</w:t>
            </w: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28,135.75</w:t>
            </w:r>
          </w:p>
        </w:tc>
        <w:tc>
          <w:tcPr>
            <w:tcW w:w="0" w:type="dxa"/>
            <w:vAlign w:val="bottom"/>
          </w:tcPr>
          <w:p>
            <w:pPr>
              <w:spacing w:after="0"/>
              <w:rPr>
                <w:sz w:val="1"/>
                <w:szCs w:val="1"/>
                <w:color w:val="auto"/>
              </w:rPr>
            </w:pPr>
          </w:p>
        </w:tc>
      </w:tr>
      <w:tr>
        <w:trPr>
          <w:trHeight w:val="114"/>
        </w:trPr>
        <w:tc>
          <w:tcPr>
            <w:tcW w:w="1240" w:type="dxa"/>
            <w:vAlign w:val="bottom"/>
            <w:tcBorders>
              <w:lef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40" w:type="dxa"/>
            <w:vAlign w:val="bottom"/>
            <w:tcBorders>
              <w:left w:val="single" w:sz="8" w:color="auto"/>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240" w:type="dxa"/>
            <w:vAlign w:val="bottom"/>
            <w:tcBorders>
              <w:lef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Fee Offsets</w:t>
            </w:r>
          </w:p>
        </w:tc>
        <w:tc>
          <w:tcPr>
            <w:tcW w:w="126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24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40" w:type="dxa"/>
            <w:vAlign w:val="bottom"/>
            <w:tcBorders>
              <w:lef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26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28,135.75</w:t>
            </w:r>
          </w:p>
        </w:tc>
        <w:tc>
          <w:tcPr>
            <w:tcW w:w="0" w:type="dxa"/>
            <w:vAlign w:val="bottom"/>
          </w:tcPr>
          <w:p>
            <w:pPr>
              <w:spacing w:after="0"/>
              <w:rPr>
                <w:sz w:val="1"/>
                <w:szCs w:val="1"/>
                <w:color w:val="auto"/>
              </w:rPr>
            </w:pPr>
          </w:p>
        </w:tc>
      </w:tr>
      <w:tr>
        <w:trPr>
          <w:trHeight w:val="27"/>
        </w:trPr>
        <w:tc>
          <w:tcPr>
            <w:tcW w:w="124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40" w:right="60" w:hanging="332"/>
        <w:spacing w:after="0" w:line="255"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registered reflected in Table 1 above represents the number of shares of common stock, par value $0.0001 per share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of Innventure, Inc. (the “</w:t>
      </w:r>
      <w:r>
        <w:rPr>
          <w:rFonts w:ascii="Times New Roman" w:cs="Times New Roman" w:eastAsia="Times New Roman" w:hAnsi="Times New Roman"/>
          <w:sz w:val="16"/>
          <w:szCs w:val="16"/>
          <w:b w:val="1"/>
          <w:bCs w:val="1"/>
          <w:i w:val="1"/>
          <w:iCs w:val="1"/>
          <w:color w:val="auto"/>
        </w:rPr>
        <w:t>Registrant</w:t>
      </w:r>
      <w:r>
        <w:rPr>
          <w:rFonts w:ascii="Times New Roman" w:cs="Times New Roman" w:eastAsia="Times New Roman" w:hAnsi="Times New Roman"/>
          <w:sz w:val="16"/>
          <w:szCs w:val="16"/>
          <w:color w:val="auto"/>
        </w:rPr>
        <w:t>”) potentially deliverable pursuant to the Innventure, Inc. 2024 Equity and Incentive Compensation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being registered hereon. Pursuant to Rule 416 under the Securities Act of 1933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this registration statement on Form S-8 (this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also covers such indeterminate number of additional shares of Common Stock as may become deliverable pursuant to the anti-dilution provisions of the Plan. The proposed maximum offering price per unit and the maximum aggregate offering price in Table 1 above are estimated solely for the purpose of calculating the registration fee pursuant to Rule 457(c) and (h) under the Securities Act on the basis of $10.42, the average of the high and low sale prices of such shares on the Nasdaq Global Market on December 5, 2024, which is a date within five business days prior to filing. The total number of shares of Common Stock which may be delivered under the Plan is initially 11,022,894 shares of Common Stock. Beginning in 2025 and ending in 2034, on the first day of each fiscal year, the total number of shares of Common Stock deliverable under the Plan will increase annually by an amount equal to the lesser of (i) 3% of the shares of Common Stock outstanding on December 31 of the immediately preceding fiscal year and (ii) such smaller number of shares of Common Stock as determined by the board of directors of the Registrant. Additional shares of Common Stock are being registered on this Registration Statement to cover the additional shares of Common Stock that may be delivered under the Plan pursuant to such annual increases in 2025 and 2026. To the extent that the actual number of shares that may be offered pursuant to the Plan exceeds the number of shares registered on this Registration Statement, the Registrant will file a new registration statement to register the additional shares of Common Stock.</w:t>
      </w:r>
    </w:p>
    <w:p>
      <w:pPr>
        <w:sectPr>
          <w:pgSz w:w="11900" w:h="16838" w:orient="portrait"/>
          <w:cols w:equalWidth="0" w:num="1">
            <w:col w:w="11260"/>
          </w:cols>
          <w:pgMar w:left="320" w:top="117"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19685</wp:posOffset>
            </wp:positionV>
            <wp:extent cx="123444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1234440" cy="17970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1221 PEACHTREE STREET, N.E. • SUITE 400 • ATLANTA, GEORGIA 30361</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TELEPHONE: +1.404.521.3939 • JONESDAY.COM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9,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 Tavistock Lakes Blvd, Suite 400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Orlando, Florida 32827</w:t>
      </w:r>
    </w:p>
    <w:p>
      <w:pPr>
        <w:spacing w:after="0" w:line="369" w:lineRule="exact"/>
        <w:rPr>
          <w:sz w:val="20"/>
          <w:szCs w:val="20"/>
          <w:color w:val="auto"/>
        </w:rPr>
      </w:pPr>
    </w:p>
    <w:p>
      <w:pPr>
        <w:ind w:left="680"/>
        <w:spacing w:after="0"/>
        <w:tabs>
          <w:tab w:leader="none" w:pos="14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color w:val="auto"/>
        </w:rPr>
        <w:t>Registration Statement on Form S-8 Filed by Innventure,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19685</wp:posOffset>
            </wp:positionV>
            <wp:extent cx="43116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We have acted as counsel to Innventure,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connection with the Innventure, Inc. 2024 Equity and Incentive Compensation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17,636,630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common stock, par value $0.0001 per share, of the Company that may be issued or delivered and sold pursuant to the Plan and the authorized forms of stock option, restricted stock unit or other applicable award agreements thereunder (the “</w:t>
      </w:r>
      <w:r>
        <w:rPr>
          <w:rFonts w:ascii="Times New Roman" w:cs="Times New Roman" w:eastAsia="Times New Roman" w:hAnsi="Times New Roman"/>
          <w:sz w:val="22"/>
          <w:szCs w:val="22"/>
          <w:b w:val="1"/>
          <w:bCs w:val="1"/>
          <w:i w:val="1"/>
          <w:iCs w:val="1"/>
          <w:color w:val="auto"/>
        </w:rPr>
        <w:t>Award Agreements</w:t>
      </w:r>
      <w:r>
        <w:rPr>
          <w:rFonts w:ascii="Times New Roman" w:cs="Times New Roman" w:eastAsia="Times New Roman" w:hAnsi="Times New Roman"/>
          <w:sz w:val="22"/>
          <w:szCs w:val="22"/>
          <w:color w:val="auto"/>
        </w:rPr>
        <w:t>”) will be, when issued or delivered and sold in accordance with the Plan and the Award Agreements, validly issued, fully paid and nonassessable, provided that the consideration for the Shares is at least equal to the stated par value thereof.</w:t>
      </w:r>
    </w:p>
    <w:p>
      <w:pPr>
        <w:spacing w:after="0" w:line="155"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the Shares are issued or delivered and sold by the Company, and that the Company will take no action inconsistent with such resolutions. In rendering the opinion above, we have assumed that each award under the Plan will be approved by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or an authorized committee of the Board.</w:t>
      </w:r>
    </w:p>
    <w:p>
      <w:pPr>
        <w:spacing w:after="0" w:line="153"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Exhibit 5.1 to the Registration Statement on Form S-8 filed by the Company to effect the registration of the Shares under the Securities Act of 1933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In giving such consent, we do not thereby admit that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20"/>
        <w:spacing w:after="0"/>
        <w:rPr>
          <w:sz w:val="20"/>
          <w:szCs w:val="20"/>
          <w:color w:val="auto"/>
        </w:rPr>
      </w:pPr>
      <w:r>
        <w:rPr>
          <w:rFonts w:ascii="Arial" w:cs="Arial" w:eastAsia="Arial" w:hAnsi="Arial"/>
          <w:sz w:val="10"/>
          <w:szCs w:val="10"/>
          <w:color w:val="auto"/>
        </w:rPr>
        <w:t>AMSTERDAM • ATLANTA • BEIJING • BOSTON • BRISBANE • BRUSSELS • CHICAGO • CLEVELAND • COLUMBUS • DALLAS</w:t>
      </w:r>
    </w:p>
    <w:p>
      <w:pPr>
        <w:spacing w:after="0" w:line="34" w:lineRule="exact"/>
        <w:rPr>
          <w:sz w:val="20"/>
          <w:szCs w:val="20"/>
          <w:color w:val="auto"/>
        </w:rPr>
      </w:pPr>
    </w:p>
    <w:p>
      <w:pPr>
        <w:ind w:left="2280"/>
        <w:spacing w:after="0"/>
        <w:rPr>
          <w:sz w:val="20"/>
          <w:szCs w:val="20"/>
          <w:color w:val="auto"/>
        </w:rPr>
      </w:pPr>
      <w:r>
        <w:rPr>
          <w:rFonts w:ascii="Arial" w:cs="Arial" w:eastAsia="Arial" w:hAnsi="Arial"/>
          <w:sz w:val="10"/>
          <w:szCs w:val="10"/>
          <w:color w:val="auto"/>
        </w:rPr>
        <w:t>DETROIT • DUBAI • DÜSSELDORF • FRANKFURT • HONG KONG • HOUSTON • IRVINE • LONDON • LOS ANGELES • MADRID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MELBOURNE • MEXICO CITY • MIAMI • MILAN • MINNEAPOLIS • MUNICH • NEW YORK • PARIS • PERTH • PITTSBURGH</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SAN DIEGO • SAN FRANCISCO • SÃO PAULO • SHANGHAI • SILICON VALLEY • SINGAPORE • SYDNEY • TAIPEI • TOKYO • WASHINGTON</w:t>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-3810</wp:posOffset>
            </wp:positionV>
            <wp:extent cx="97726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977265" cy="14541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33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included in the category of persons whose consent is required under Section 7 of the Act or the rules and regulations of the Securities and Exchange Commission promulgated thereunder.</w:t>
      </w:r>
    </w:p>
    <w:p>
      <w:pPr>
        <w:spacing w:after="0" w:line="158"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22"/>
          <w:szCs w:val="22"/>
          <w:color w:val="auto"/>
        </w:rPr>
        <w:t>/s/ Jones Day</w:t>
      </w:r>
    </w:p>
    <w:p>
      <w:pPr>
        <w:sectPr>
          <w:pgSz w:w="11900" w:h="16838" w:orient="portrait"/>
          <w:cols w:equalWidth="0" w:num="1">
            <w:col w:w="10620"/>
          </w:cols>
          <w:pgMar w:left="320" w:top="126" w:right="9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INDEPENDENT REGISTERED PUBLIC ACCOUNTING FIRM’S CONSENT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consent to the inclusion by reference in this Registration Statement of Innventure, Inc. (formerly known as Learn SPAC HoldCo. Inc.) on Form S-8 of our report dated April 4, 2024, with respect to our audits of the financial statements of Learn CW Investment Corporation (the “Company”) as of December 31, 2023 and 2022 and for the years then ended, which includes an explanatory paragraph as to the Company’s ability to continue as a going concern, which report appears in the prospectus filed on November 12, 2024, relating to the Registration Statement of Innventure, Inc. on Form S-1.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Marcum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Marcum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9, 2024</w:t>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Consent of Independent Registered Public Accounting Firm</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hereby consent to the incorporation by reference in this Registration Statement of our report dated April 12, 2024, relating to the consolidated financial statements of Innventure LLC (the “Company”) appearing in the registration statement on Form S-1 filed on November 4, 2024.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BDO USA, P.C.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Raleigh, 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9,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07"/>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jpeg"/><Relationship Id="rId40" Type="http://schemas.openxmlformats.org/officeDocument/2006/relationships/image" Target="media/image20.png"/><Relationship Id="rId41" Type="http://schemas.openxmlformats.org/officeDocument/2006/relationships/image" Target="media/image21.jpeg"/><Relationship Id="rId15" Type="http://schemas.openxmlformats.org/officeDocument/2006/relationships/hyperlink" Target="https://www.sec.gov/Archives/edgar/data/2001557/000162828024047233/innventureresale424nov2024.htm" TargetMode="External"/><Relationship Id="rId16" Type="http://schemas.openxmlformats.org/officeDocument/2006/relationships/hyperlink" Target="https://www.sec.gov/Archives/edgar/data/2001557/000162828024044820/innv-20241102.htm" TargetMode="External"/><Relationship Id="rId17" Type="http://schemas.openxmlformats.org/officeDocument/2006/relationships/hyperlink" Target="https://www.sec.gov/Archives/edgar/data/2001557/000114036124046528/ny20038573x1_424b3.htm" TargetMode="External"/><Relationship Id="rId18" Type="http://schemas.openxmlformats.org/officeDocument/2006/relationships/hyperlink" Target="https://www.sec.gov/Archives/edgar/data/2001557/000114036124046901/ny20038573x3_424b3.htm" TargetMode="External"/><Relationship Id="rId19" Type="http://schemas.openxmlformats.org/officeDocument/2006/relationships/hyperlink" Target="https://www.sec.gov/Archives/edgar/data/2001557/000162828024048089/prospectussupplementno3-foa.htm" TargetMode="External"/><Relationship Id="rId20" Type="http://schemas.openxmlformats.org/officeDocument/2006/relationships/hyperlink" Target="https://www.sec.gov/Archives/edgar/data/2001557/000162828024048414/prospectussupplementno4-foa.htm" TargetMode="External"/><Relationship Id="rId21" Type="http://schemas.openxmlformats.org/officeDocument/2006/relationships/hyperlink" Target="https://www.sec.gov/Archives/edgar/data/2001557/000162828024047822/innv-20240930.htm" TargetMode="External"/><Relationship Id="rId22" Type="http://schemas.openxmlformats.org/officeDocument/2006/relationships/hyperlink" Target="https://www.sec.gov/Archives/edgar/data/2001557/000114036124043179/ef20036737_8k.htm" TargetMode="External"/><Relationship Id="rId23" Type="http://schemas.openxmlformats.org/officeDocument/2006/relationships/hyperlink" Target="https://www.sec.gov/Archives/edgar/data/2001557/000114036124044030/ef20037576_8k.htm" TargetMode="External"/><Relationship Id="rId24" Type="http://schemas.openxmlformats.org/officeDocument/2006/relationships/hyperlink" Target="https://www.sec.gov/Archives/edgar/data/2001557/000114036124042555/ef20036507_8a12b.htm" TargetMode="External"/><Relationship Id="rId25" Type="http://schemas.openxmlformats.org/officeDocument/2006/relationships/hyperlink" Target="https://www.sec.gov/Archives/edgar/data/2001557/000114036124043179/ef20036737_ex3-1.htm" TargetMode="External"/><Relationship Id="rId26" Type="http://schemas.openxmlformats.org/officeDocument/2006/relationships/hyperlink" Target="https://www.sec.gov/Archives/edgar/data/2001557/000114036124043179/ef20036737_ex3-2.htm" TargetMode="External"/><Relationship Id="rId27" Type="http://schemas.openxmlformats.org/officeDocument/2006/relationships/hyperlink" Target="https://www.sec.gov/Archives/edgar/data/2001557/000114036124040480/ny20012992x29_s4a.htm#tANNEXK"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2024-12-09T16:30:14Z</dcterms:created>
  <dcterms:modified xsi:type="dcterms:W3CDTF">2024-12-09T16:30:14Z</dcterms:modified>
</cp:coreProperties>
</file>