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Learn CW Investment Corporation pursuant to Rule 425</w:t>
      </w:r>
    </w:p>
    <w:p>
      <w:pPr>
        <w:spacing w:after="0" w:line="31"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7760"/>
        <w:spacing w:after="0"/>
        <w:rPr>
          <w:sz w:val="20"/>
          <w:szCs w:val="20"/>
          <w:color w:val="auto"/>
        </w:rPr>
      </w:pPr>
      <w:r>
        <w:rPr>
          <w:rFonts w:ascii="Times New Roman" w:cs="Times New Roman" w:eastAsia="Times New Roman" w:hAnsi="Times New Roman"/>
          <w:sz w:val="17"/>
          <w:szCs w:val="17"/>
          <w:b w:val="1"/>
          <w:bCs w:val="1"/>
          <w:color w:val="auto"/>
        </w:rPr>
        <w:t>Subject Company: Learn SPAC HoldCo, Inc.</w:t>
      </w:r>
    </w:p>
    <w:p>
      <w:pPr>
        <w:spacing w:after="0" w:line="2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297"/>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47"/>
        </w:trPr>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0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001-40885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98-1583469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11755 Wilshire Blvd.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90025</w:t>
            </w:r>
          </w:p>
        </w:tc>
      </w:tr>
      <w:tr>
        <w:trPr>
          <w:trHeight w:val="216"/>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Suite 2320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238"/>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205740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Title of each class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Ordinary Shares, $0.0001 par value</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LCW</w:t>
            </w:r>
          </w:p>
        </w:tc>
        <w:tc>
          <w:tcPr>
            <w:tcW w:w="12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428" w:right="339" w:bottom="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September 10, 2024, Learn CW Investment Corporation, a Cayman Islands exempted company (“Learn CW”) filed a definitive proxy statement/consent solicitation statement/prospectus (the “Definitive Proxy Statement”) for the solicitation of proxies in connection with an extraordinary general meeting (the “Extraordinary General Meeting”) of Learn CW’s shareholders, to vote upon, among other things, a proposal to approve and adopt the Business Combination Agreement (the “Business Combination Agreement”), by and among Learn CW, Learn SPAC HoldCo, Inc. a Delaware corporation and direct, wholly-owned subsidiary of Learn CW (“Holdco”), LCW Merger Sub, Inc., a Delaware corporation and direct, wholly-owned subsidiary of Holdco (“LCW Merger Sub”), Innventure Merger Sub, LLC, a Delaware limited liability company and direct, wholly-owned subsidiary of Holdco (“Innventure Merger Sub”), and Innventure LLC, a Delaware limited liability company (“Innventure”), and the transactions contemplated therein (the consummation of which are referred to herein as the “Business Combination”) (the “Business Combination Proposal”). Capitalized terms used but not defined herein shall have the meanings given to such terms in the Definitive Proxy Statement.</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Side Letters</w:t>
      </w:r>
    </w:p>
    <w:p>
      <w:pPr>
        <w:spacing w:after="0" w:line="227"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On September 24, 2024, Learn CW, Innventure, Holdco, LCW Merger Sub and Innventure Merger Sub entered into a side letter to the Business Combination Agreement (the “BCA Side Letter”). The BCA Side Letter waives and modifies certain provisions within the Business Combination Agreement, including (among others): (i) Learn CW’s covenants to list its Learn CW Class A Ordinary Shares and Learn CW Public Warrants on the listing exchange; (ii) any breach of Innventure’s covenants resulting from its termination of certain purchase agreements by and among Innventure, Michael Otworth and John Scott and its arrangement with Innventure1, in each case, where Innventure agreed to issue Class B-1 Preferred Units to Mr. Otworth, Dr. Scott and Innventure1 in exchange for their shares of PCT’s common stock; (iii) the classification of certain cost, fees and expenses as “Parent Transaction Costs” (as defined within the Business Combination Agreement); (iv) any breach of or default under the Business Combination Agreement in respect of certain promissory notes; and (v) required contents of certain pre-closing deliverables relating to payments and share issuances at Closing. The parties subject to the BCA Side Letter also acknowledge and agree (i) that certain financings are to be considered “Additional Financings” (as defined within the Business Combination Agreement) under certain circumstances and (ii) to increase the size of the Learn CW Convertible Promissory Note to $4.8 million.</w:t>
      </w:r>
    </w:p>
    <w:p>
      <w:pPr>
        <w:spacing w:after="0" w:line="1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BCA Side Letter does not purport to be complete and is subject to and qualified in its entirety by reference to the BCA Side Letter, which is filed as Exhibit 10.1 to this Current Report on Form 8-K and is incorporated herein by reference.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September 24, 2024, Learn CW, Innventure, Holdco, LCW Merger Sub and Innventure Merger Sub also entered into a side letter to the Sponsor Support Agreement (the “SSA Side Letter”). The SSA Side Letter waives and modifies certain provisions within the Sponsor Support Agreement, including (among others): (i) certain financings are to be considered “Additional Financings” (as defined within the Sponsor Support Agreement) under certain circumstances; (ii) the Sponsor may assign all of its rights, title, interest and obligations under the Sponsor Support Agreement to the permitted transferee of its Subject Securities (as defined in the Sponsor Support Agreement ); and (iii) as of the date of the SSA Side Letter, the VWAP Completion Event (as defined in the Sponsor Support Agreement ) is deemed to have been satisfied in full, without any further action by any person, meaning that there is no longer any lockup on the At Risk Sponsor Shares (as defined in the Sponsor Support Agreement ) received by the Sponsor pursuant to the provisions of the Sponsor Support Agreement.</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SSA Side Letter does not purport to be complete and is subject to and qualified in its entirety by reference to the SSA Side Letter, which is filed as Exhibit 10.2 to this Current Report on Form 8-K and is incorporated herein by reference.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Series B Preferred Stock Investment Agreement</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(the “Series B Investment Agreement”) with Commonwealth Asset Management LP (together with its assignee, the “Series B Investor”), pursuant to which Holdco agrees to issue and sell to the Series B Investor an aggregate of 750,000 shares of Holdco’s Series B Preferred Stock, par value $0.0001 per share, (the “Series B Preferred Stock”) in a private placement, at a price of $10.00 per share of Series B Preferred Stock (the “Series B Preferred Stock Financing”). The Series B Preferred Stock Financing is expected to close concurrently with the consummation of the Business Combination and is expected to provide Holdco with approximately $7.5 million of gross proceeds before deducting fees and other estimated offering expenses. Additionally, Holdco is currently negotiating with potential investors for the issuance and sale of additional Series B Preferred Stock (the "Additional Preferred Stock Financing") in a private placement. Notwithstanding the foregoing, the Additional Preferred Stock Financing is subject to general economic, industry and market conditions and other events and factors, many of which are beyond Holdco's control. There is no guarantee that the Additional Preferred Stock Financing will close or that Holdco will receive proceeds from such financing.</w:t>
      </w:r>
    </w:p>
    <w:p>
      <w:pPr>
        <w:spacing w:after="0" w:line="19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 contains customary representations, warranties, and covenants by the parties, including certain indemnification obligations of the Series B Investors. The representations, warranties, and covenants contained in the Series B Investment Agreement were made only for purposes of such agreement and as of specific dates, were solely for the benefit of the parties to the Series B Investment Agreement and are subject to limitations agreed upon by contracting parties. Accordingly, the form of the Series B Investment Agreement is incorporated herein by reference only to provide investors with information regarding the terms of the Series B Investment Agreement and not to provide investors with any other factual information regarding Holdco or its business and should be read in conjunction with the disclosures in Holdco’s periodic reports and other filings with the Securities and Exchange Commission (the “Commission”).</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part of the Series B Investment Agreement, Holdco is required to prepare and file a registration statement with the Commission under the Securities Act of 1933, as amended (the “Securities Act”), covering the resale of the shares of common stock, par value $0.0001 per share (“Holdco Common Stock”), issuable upon conversion of Series B Preferred Stock within 120 days from the original issuance date.</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Investment Agreement does not purport to be complete and is subject to and qualified in its entirety by reference to the form of Series B Investment Agreement, which is filed as Exhibit 10.3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Series B Preferred Stock</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Holdco’s authorized capital stock will consist of 250,000,000 shares of common stock, par value $0.0001 per share, and 25,000,000 shares of preferred stock, par value $0.0001 per share. Of the 25,000,000 shares of preferred stock authorized by the Amended and Restated Certificate of Incorporation, the Holdco Board is expected to designate 3,000,000 shares as “Series B Preferred Stock” on the Closing Date. The Certificate of Designation that will be filed with the Delaware Secretary of State for the Series B Preferred Stock (the “Series B Preferred Stock Certificate of Designation”) will establish the voting powers, designations, preferences and relative, participating, optional or other special rights, and the qualifications, limitations and restrictions of the shares of such Series B Preferred Stock, which terms are described in more detail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Stock shall rank senior in priority of payment to all Junior Stock and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“Junior Stock” means (i) Holdco Common Stock and (ii) any other preferred stock, other than the Series A Preferred Stock, if issued, and any other equity interest of Holdco, in each case which by its terms ranks junior to the Series B Preferred Stock with respect to payment of dividends and/or distribution of assets.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“Parity Stock” means the Series A Preferred Stock, if issued, and any equity interest of Holdco hereinafter created which by its terms ranks pari passu with the Series B Preferred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spacing w:after="0" w:line="24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Series B Preferred Stock will carry an annual 8.0% cumulative dividend, which will be paid prior to and in preference over any Junior Stock or Parity Stock. On the last day of the last quarter in each fiscal year of Holdco such dividends will be made as a payment in 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the Original Issue Price, which is $10.00, divided by (ii) the Minimum Price (which shall have the meaning assigned in Nasdaq Listing Rule 5635(d)) of Holdco Common Stock as of the initial issue date of the Series B Preferred Stock and will vote with the holders of Holdco Common Stock as a single class and on an as-converted basis, except as provided by law or applicable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 at the Company’s Option</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 at the Holder’s Option</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Holdco Common Stock upon the effectiveness of a registration statement to be filed by Holdco providing for the resale of the shares of Holdco Common Stock issuable upon conversion of shares of Series B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227"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of Holdco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closing price of the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Preferred Stock does not purport to be complete and is subject to and qualified in its entirety by reference to the form of Series B Preferred Stock Certificate of Designation, which is filed as Exhibit 3.1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 of Class B-1 Unit Purchase Agreement</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25, 2023, Innventure entered into unit purchase agreements (“Purchase Agreements”) with each of John Scott, Innventure’s Chief Strategy Officer, and Michael Otworth, Innventure’s Executive Chairman, (each a “Purchaser” and together the “Purchasers”), who are each members of Innventure1 LLC (“Innventure1”), itself a related party of Innventure. Under the terms of the unit purchase agreements, Innventure agreed to issue the Purchasers Class B-1 Preferred Units upon the release of Mr. Scott and Mr. Otworth’s contractual restrictions under lock-up agreements entered into between Mr. Scott and Mr. Otworth and PureCycle Technologies, Inc. On September 20, 2024, Innventure and the Purchasers entered into a Termination Agreement (the “Termination Agreement,” which memorialized their determination that it is in their mutual best interests to terminate the Purchase Agreements upon the consummation of the transactions contemplated by the Business Combination Agreement.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 w:name="page6"/>
    <w:bookmarkEnd w:id="5"/>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Termination Agreement does not purport to be complete and is subject to and qualified in its entirety by reference to the Termination Agreement, which is filed as Exhibit 10.4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3.02. The Series B Preferred Stock is being sold and issued without registration under the Securities Act, in reliance on the exemptions provided by Section 4(a)(2) of the Securities Act as a transaction not involving a public offering and/or Rule 506 promulgated thereunder, and in reliance on similar exemptions under applicable state laws.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Developments</w:t>
      </w:r>
    </w:p>
    <w:p>
      <w:pPr>
        <w:spacing w:after="0" w:line="227"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At Closing, Holdco will change its name to Innventure, Inc., and its common stock is expected to be listed on the Nasdaq Global Market (the “Nasdaq”) under the ticker symbol “INV” and its warrants are expected to be listed on Nasdaq under the ticker symbol “INVWW.”</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0"/>
                <w:szCs w:val="20"/>
                <w:color w:val="auto"/>
              </w:rPr>
            </w:pPr>
          </w:p>
        </w:tc>
      </w:tr>
      <w:tr>
        <w:trPr>
          <w:trHeight w:val="4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tcPr>
          <w:p>
            <w:pPr>
              <w:spacing w:after="0"/>
              <w:rPr>
                <w:sz w:val="24"/>
                <w:szCs w:val="24"/>
                <w:color w:val="auto"/>
              </w:rPr>
            </w:pPr>
          </w:p>
        </w:tc>
      </w:t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Preferred Stock Certificate of Designation (included as Exhibit A to the 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BCA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SSA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Agreement, dated September 20, 2024</w:t>
            </w: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4580"/>
              <w:spacing w:after="0"/>
              <w:rPr>
                <w:sz w:val="20"/>
                <w:szCs w:val="20"/>
                <w:color w:val="auto"/>
              </w:rPr>
            </w:pPr>
            <w:r>
              <w:rPr>
                <w:rFonts w:ascii="Times New Roman" w:cs="Times New Roman" w:eastAsia="Times New Roman" w:hAnsi="Times New Roman"/>
                <w:sz w:val="14"/>
                <w:szCs w:val="14"/>
                <w:color w:val="auto"/>
              </w:rPr>
              <w:t>5</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Definitive Proxy Statement.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Holdco's ability to negotiate and close the Additional Preferred Stock Financing; developments and projections relating to Innventure’s competitors and industry; the occurrence of any event, change or other circumstances that could give rise to the termination of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Learn SPAC Holdco, Inc. has filed a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has been mailed to Learn CW shareholders and sent to Innventure unitholders. This Current Report on Form 8-K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7"/>
          <w:szCs w:val="17"/>
          <w:b w:val="1"/>
          <w:bCs w:val="1"/>
          <w:color w:val="auto"/>
        </w:rPr>
        <w:t>Learn CW’s shareholders,</w:t>
      </w:r>
    </w:p>
    <w:p>
      <w:pPr>
        <w:spacing w:after="0" w:line="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have been mailed to shareholders of Learn CW as of September 10, 2024. Such shareholders may also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are set forth in the Definitive Proxy Statement. Investors and security holders may obtain more detailed information regarding the names and interests in the Business Combination of Learn CW’s directors and officers in Learn CW’s filings with the SEC and such information is also set forth in the Definitive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on Form 8-K does not constitute either advice or a recommendation regarding any securities. No offering of securities shall be made except by means of a prospectus meeting the requirements of the Securities Act, or an exemption therefrom.</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26, 2024</w:t>
      </w:r>
      <w:r>
        <w:rPr>
          <w:sz w:val="20"/>
          <w:szCs w:val="20"/>
          <w:color w:val="auto"/>
        </w:rPr>
        <w:tab/>
      </w:r>
      <w:r>
        <w:rPr>
          <w:rFonts w:ascii="Times New Roman" w:cs="Times New Roman" w:eastAsia="Times New Roman" w:hAnsi="Times New Roman"/>
          <w:sz w:val="17"/>
          <w:szCs w:val="17"/>
          <w:b w:val="1"/>
          <w:bCs w:val="1"/>
          <w:color w:val="auto"/>
        </w:rPr>
        <w:t>LEARN CW INVESTMENT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(Business Combination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Business Combination Agreement, dated as of October 24,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Learn SPAC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 Delaware corporation, Learn CW Investment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Cayman Islands exempted company with limited liability, LCW Merger Sub, Inc.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a Delaware corporation, Innventure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limited liability company,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and, together with Holdco, Parent, LCW Merger Sub, and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Business Combination Agreement.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Sections 5.10 (Waivers and Extensions) and 9.10 (Amendment; Waiver) of the Business Combination Agreement, the Parties hereby acknowledge and agree that, notwithstanding anything to the contrary in the Business Combination Agreement, the officers of the Company and Parent, being duly authorized, have determined to (i) preemptively waive any breach or default of the Business Combination Agreement that may arise, directly or indirectly, including with respect to Section 6.05 (Parent Public Filings) of the Business Combination Agreement, as a result of Parent failing to maintain the listing of the Parent Class A Ordinary Shares and the Parent Public Warrants on the Listing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shall not be with respect to Section 7.01(e) (Conditions to Each Party’s Obligations) of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costs, fees and expenses incurred in connection with the trading of such securities on any over-the-counter market shall be deemed Parent Transaction Costs, (ii) preemptively waive any breach or default of the Business Combination Agreement that may arise, directly or indirectly, including with respect to Section 6.02(b)(x) (Conduct of Business of the Company) of the Business Combination Agreement, as a result of (a) that certain Termination Agreement, dated as of September 20, 2024, by and among the Company, Michael Otworth and John Scott or (b) the waiver of rights of Innventure1 LLC, a Delaware limited liability company, to purchase Class B-1 Preferred Units of the Company pursuant to that certain Fifth Amended and Restated Limited Liability Company Agreement of the Company, dated as of April 27, 2022, (iii)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Business Combination Agreement, (iv)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(v)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(iv) and (v) of this paragraph shall equal the amount WTI funds or for which the conditions to fund have been met, with respect to such draw, (vi) agree that the Promissory Note, dated May 3, 2022, between Parent and Sponsor, as amended from time to time (the “</w:t>
      </w:r>
      <w:r>
        <w:rPr>
          <w:rFonts w:ascii="Times New Roman" w:cs="Times New Roman" w:eastAsia="Times New Roman" w:hAnsi="Times New Roman"/>
          <w:sz w:val="18"/>
          <w:szCs w:val="18"/>
          <w:u w:val="single" w:color="auto"/>
          <w:color w:val="auto"/>
        </w:rPr>
        <w:t>2022 Note</w:t>
      </w:r>
      <w:r>
        <w:rPr>
          <w:rFonts w:ascii="Times New Roman" w:cs="Times New Roman" w:eastAsia="Times New Roman" w:hAnsi="Times New Roman"/>
          <w:sz w:val="18"/>
          <w:szCs w:val="18"/>
          <w:color w:val="auto"/>
        </w:rPr>
        <w:t>”), to be further amended, or amended and restated, to increase the aggregate commitment amount under the 2022 Note to $4,800,000.00, (vii) acknowledge and agree that all interest expenses of Sponsor incurred pursuant to that certain Loan and Security Agreement, dated as of December 28, 2023, by and among Sponsor and the lender parties thereto, shall be deemed Parent Transaction Costs with respect to the Business Combination Agreement, (viii) acknowledge and agree that the Unsecured Promissory Note, dated August 20, 2024, by and between the Company and Glockner Family Venture Fund, a Florida limited partnership (the “</w:t>
      </w:r>
      <w:r>
        <w:rPr>
          <w:rFonts w:ascii="Times New Roman" w:cs="Times New Roman" w:eastAsia="Times New Roman" w:hAnsi="Times New Roman"/>
          <w:sz w:val="18"/>
          <w:szCs w:val="18"/>
          <w:u w:val="single" w:color="auto"/>
          <w:color w:val="auto"/>
        </w:rPr>
        <w:t>Glockner Promissory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deemed to constitute an Additional Financing as contemplated by the Business Combination Agreement, (ix) acknowledge and agree that the Unsecured Promissory Note, dated August 22, 2024, by and between the Company and John Scott (the “</w:t>
      </w:r>
      <w:r>
        <w:rPr>
          <w:rFonts w:ascii="Times New Roman" w:cs="Times New Roman" w:eastAsia="Times New Roman" w:hAnsi="Times New Roman"/>
          <w:sz w:val="18"/>
          <w:szCs w:val="18"/>
          <w:u w:val="single" w:color="auto"/>
          <w:color w:val="auto"/>
        </w:rPr>
        <w:t>Scott Promissory Note</w:t>
      </w:r>
      <w:r>
        <w:rPr>
          <w:rFonts w:ascii="Times New Roman" w:cs="Times New Roman" w:eastAsia="Times New Roman" w:hAnsi="Times New Roman"/>
          <w:sz w:val="18"/>
          <w:szCs w:val="18"/>
          <w:color w:val="auto"/>
        </w:rPr>
        <w:t xml:space="preserve">”), is deemed to constitute an Additional Financing as contemplated by the Business Combination Agreement, (x) waive any breach or default of the Business Combination Agreement that may have occurred, directly or indirectly, as a result of the Glockner Promissory Note or the Scott Promissory Note, (xi) agree that the Company’s obligations in Section 3.02(e)(b)(i) of the Business Combination Agreement to include the mailing addresses and email addresses for each Company Member in the Payment Spreadsheet shall be deemed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includes such addresses in the Payment Spreadsheet to the extent reasonably practicable and has otherwise delivered such information at least two (2) Business Days prior to the Closing Date and (xii) agree that the amounts and calculations set forth in both the Parent Closing Certificate and the Company Closing Certificate shall, in each case, be good faith estimates of such amounts and calculations made as of the date of delivery of the Parent Closing Certificate and the Company Closing Certificate,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Business Combination Agreement shall remain in full force and effect. In the event of any conflict or inconsistency between the terms of this letter agreement and the terms of the Business Combination Agreement, this letter agreement shall control.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provisions set forth in Sections 9.02 (Notices), 9.05 (Governing Law), 9.06 (Jurisdiction), 9.07 (WAIVER OF JURY TRIAL), 9.09 (Severability), 9.10 (Amendment; Waiver), 9.11 (Entire Agreement), 9.12 (Interpretation) and 9.13 (Counterparts) of the Business Combination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197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LCW MERGER SUB,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MERGER SUB,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(Sponsor Support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Sponsor Support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by and among Learn CW Investment Corporation, a Cayman Islands exempted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CWAM LC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Innventure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the Parent and the Sponsor,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Section 3.7 (Amendment) of the Agreement, the Parties hereby acknowledge and agree that, notwithstanding anything to the contrary in the Agreement, the officers of the Parties, being duly authorized, have determined to (i)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Agreement, (ii)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(iii)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(ii) and (iii) of this paragraph shall equal the amount WTI funds or for which the conditions to fund have been met, with respect to such draw, (iv) agree that, subject to, and upon or following the Closing, the Sponsor may assign all of its rights, title, interest and obligations under the Agreement to the permitted transferee of its Subject Securities, (v) acknowledge and agree that, for the avoidance of doubt, each of the Glockner Promissory Note and the Scott Promissory Note (each as defined in the Business Combination Agreement) shall constitute an Additional Financing for purposes of the Agreement, (vi) as of the date hereof, deem the VWAP Completion Event to have been satisfied in full, without any further action by any person, for purposes of Section 1.10(c) of the Agreement (but, for the avoidance of doubt, not for any other purpose, including Section 1.11(c)(ii) of the Agreement), and (vii) acknowledge and agree that the At Risk Sponsor Shares shall refer to the shares of Holdco Common Stock (received by the Sponsor in exchange for its Parent Class B Ordinary Shares in the LCW Merger).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Agreement shall remain in full force and effect. In the event of any conflict or inconsistency between the terms of this letter agreement and the terms of the Agreement, this letter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provisions set forth in Section 3.8 (Miscellaneous) of the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CWAM LC SPONSOR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ABF Manager LLC</w:t>
      </w:r>
      <w:r>
        <w:rPr>
          <w:rFonts w:ascii="Times New Roman" w:cs="Times New Roman" w:eastAsia="Times New Roman" w:hAnsi="Times New Roman"/>
          <w:sz w:val="18"/>
          <w:szCs w:val="18"/>
          <w:color w:val="auto"/>
        </w:rPr>
        <w:t>, its manager</w:t>
      </w:r>
    </w:p>
    <w:p>
      <w:pPr>
        <w:spacing w:after="0" w:line="200" w:lineRule="exact"/>
        <w:rPr>
          <w:sz w:val="20"/>
          <w:szCs w:val="20"/>
          <w:color w:val="auto"/>
        </w:rPr>
      </w:pPr>
    </w:p>
    <w:p>
      <w:pPr>
        <w:spacing w:after="0" w:line="245"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Fisher</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-127635</wp:posOffset>
            </wp:positionV>
            <wp:extent cx="62147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14745" cy="17145"/>
                    </a:xfrm>
                    <a:prstGeom prst="rect">
                      <a:avLst/>
                    </a:prstGeom>
                    <a:noFill/>
                  </pic:spPr>
                </pic:pic>
              </a:graphicData>
            </a:graphic>
          </wp:anchor>
        </w:drawing>
      </w:r>
    </w:p>
    <w:p>
      <w:pPr>
        <w:spacing w:after="0" w:line="21"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814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w:t>
            </w:r>
          </w:p>
        </w:tc>
        <w:tc>
          <w:tcPr>
            <w:tcW w:w="196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81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DEFINITIONS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ARTICLE 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SALE AND PURCHASE OF SERIES B PREFERRED STOCK</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and Purchase of the Series B Preferred Stock</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Conditions Precedent to Closing</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Each Purchaser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IV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Registration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Furnish Information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of Registration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ADDITIONAL AGREEMENTS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Taking of Necessary Action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Treatment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1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Representations and Warranties and Registration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 Third Party Beneficiaries; Amendment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t>INVESTMENT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24, 2024, is by and among Learn SPAC HoldCo, Inc., a Delaware corporation (which shall be renamed “Innventure, Inc.” upon consummation of the Transaction,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3,000,000 shares of the Company’s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purchase price of $10.00 per share (the “</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having the terms and conditions specified in the form of Certificate of Designation attached hereto as Exhibit A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dated as of October 24, 2023, by and among the Company, Learn CW Investment Corporation, a Cayman Islands exempted company with limited liability, LCW Merger Sub, Inc., a Delaware corporation, Innventure Merger Sub, LLC, a Delaware limited liability company, and Innventure LLC, a Delaware limited liability company, as the same may be amended, modified or supplemented from time to time.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right="4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shall be listed and traded on the Listing Exchange under the name and ticker “INV” upon consummation of the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7.01(a)(ii)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a nationally recognized stock exchange or listing system mutually agreed to by the parties, which shall either be the Nasdaq Stock Market (Nasdaq) or NYSE American LLC (NYSE American).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 or the Business Combination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 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Business Combination Agreement, and the consummation of which shall take place on the Closing Date (as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B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B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B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B Preferred Stock pursuant to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via the exchange of documents and signatures substantially concurrently with the consummation of the Transaction, subject to the satisfaction or waiver of the conditions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(such date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Purchaser is not ready and able to fund the Closing on the date of the consummation of the Transaction, the parties hereto agree that they shall use reasonable best efforts to consummate the Closing as soon as practicable, but not later than five (5) Business Days following the consummation of the Transaction.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B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B Preferred Stock to each applicable Purchaser on the transfer agent’s books and records, against payment in full by or on behalf of such Purchaser of the applicable Purchase Price and (B) deliver to each Purchaser this Agreement and the Certificate, each of which shall be duly authorized and executed by the Company.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Conditions Precedent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of the Company and the Purchasers to consummate the Closing shall be subject to the satisfaction or waiver,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judgment, order, law, rule or regulation which is then in effect and has the effect of making the consummation of the transactions contemplated hereby illegal or otherwise restraining or prohibiting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have closed.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consummate the Closing shall be subject to the satisfaction or waiver by such Purchaser, in its sole discretion and if permissible under applicable law, on or prior to the Closing Date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580" w:hanging="628"/>
        <w:spacing w:after="0"/>
        <w:tabs>
          <w:tab w:leader="none" w:pos="2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by the Outside Date;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shall be true and correct in all material respects at and as of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Agreement to be performed, satisfied or complied with by it at or prior to the Closing Date;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of the Secretary or an Assistant Secretary of the Company in form reasonably acceptable to the Purchasers with respect to the Company’s good standing in its jurisdiction of organization, its organizational documents, and its corporate authorization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the Closing shall be subject to the satisfaction or waiver by the Company, in its sole discretion and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Purchasers contained in this Agreement shall be true and correct as to each Purchaser, severally and not jointly, except as would not have a material adverse effect on such Purchaser’s ability to consummate the transactions contemplated hereby;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satisfied and complied in all material respects with all covenants, agreements and conditions required by this Agreement to be performed, satisfied or complied with by it at or prior to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and as of the Closing Date (or, if any such representations and warranties expressly relate to an earlier date, then as of such earlier date), the Company represents and warrants to each Purchaser as follows:</w:t>
      </w:r>
    </w:p>
    <w:p>
      <w:pPr>
        <w:spacing w:after="0" w:line="176" w:lineRule="exact"/>
        <w:rPr>
          <w:sz w:val="20"/>
          <w:szCs w:val="20"/>
          <w:color w:val="auto"/>
        </w:rPr>
      </w:pPr>
    </w:p>
    <w:p>
      <w:pPr>
        <w:jc w:val="both"/>
        <w:ind w:firstLine="1304"/>
        <w:spacing w:after="0" w:line="261" w:lineRule="auto"/>
        <w:tabs>
          <w:tab w:leader="none" w:pos="19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53" w:lineRule="auto"/>
        <w:tabs>
          <w:tab w:leader="none" w:pos="1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(1) 250,000,000 shares of Common Stock, and (2)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5,000,000 shares will have been designated as “Series B Preferred Stock.” Other than as disclosed here, in the Company Reports and as may be contemplated in connection with the consummation of the Transaction, there are no (i) outstanding warrants, options, agreements, convertible securities, performance units or other commitments or instruments pursuant to which the Company is or may become obligated to issue or sell any securities, including Common Stock, (ii) outstanding obligations of the Company to repurchase, redeem or otherwise acquire outstanding Common Stock or any securities convertible into or exchangeable for the foregoing, (iii) bonds, debentures, notes or other indebtedness of the Company having the right to vote (or convertible into, or exchangeable for, securities having the right to vote) on any matters on which the holders of Common Stock may vote, are issued or outstanding, (iv) preemptive or similar rights to purchase or otherwise acquire the Common Stock, or (v) any right of first refusal, right of first offer, proxy, voting trust, voting agreement or similar arrangement with respect to the sale or voting of the Common Stock.</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B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Board of Directors has duly reserved the requisite number of shares of Series B Preferred Stock to be issued in accordance with the terms and conditions of the Certificate.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B Preferred Stock in a manner that would require the registration under the Securities Act of the Series B Preferred Stock, or (ii) engaged in any form of general solicitation or general advertising (as those terms are used in Regulation D of the Securities Act or within the meaning of Rule 502(c) of the Securities Act) in connection with the offering of the Series B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B Preferred Stock will be validly issued, fully paid and nonassessable and free of pre-emptive or similar rights. The Common Stock issuable upon conversion of the Series B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B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304"/>
        <w:spacing w:after="0" w:line="257" w:lineRule="auto"/>
        <w:tabs>
          <w:tab w:leader="none" w:pos="1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this Agreement and the Certificate in accordance with their terms and the consummation by the Company of the Transaction, does not conflict with, violate or result in a breach of any provision of, or constitute a default under, or result in the termination of or accelerate the performance required by, or result in a right of termination or acceleration under,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clause (ii) and this clause (iii)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clause (2) and this clause (3)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20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42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2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300" w:firstLine="652"/>
        <w:spacing w:after="0" w:line="282" w:lineRule="auto"/>
        <w:tabs>
          <w:tab w:leader="none" w:pos="25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and except as described in subsequent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2024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 individually or in the aggregate, would reasonably be expected to have a Material Adverse Effect or (ii) challenge the validity of the Transaction. Neither the Company nor any of its Subsidiaries is subject to any order, judgment or decree of a Governmental Entity that, individually or in the aggregate, has had or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304"/>
        <w:spacing w:after="0" w:line="255" w:lineRule="auto"/>
        <w:tabs>
          <w:tab w:leader="none" w:pos="18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Upon consummation of the Transaction, the Common Stock shall be registered pursuant to Section 12(b) of the Exchange Act and listed on the Listing Exchange, and the Company has taken no action designed to, or which, to the knowledge of the Company, is reasonably likely to have the effect of, prevent the registration of the Common Stock under the Exchange Act or the Listing Exchange, nor has the Company received as of the date of this Agreement any notification that the SEC or the Listing Exchange the effect of which may be to prevent such registration or listing.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and as of the Closing (or, if any such representations and warranties expressly relate to an earlier date, then as of such earlier date), each Purchaser severally (and not jointly) represents and warrants to the Company as follows:</w:t>
      </w:r>
    </w:p>
    <w:p>
      <w:pPr>
        <w:spacing w:after="0" w:line="176" w:lineRule="exact"/>
        <w:rPr>
          <w:sz w:val="20"/>
          <w:szCs w:val="20"/>
          <w:color w:val="auto"/>
        </w:rPr>
      </w:pPr>
    </w:p>
    <w:p>
      <w:pPr>
        <w:jc w:val="both"/>
        <w:ind w:firstLine="1304"/>
        <w:spacing w:after="0" w:line="255" w:lineRule="auto"/>
        <w:tabs>
          <w:tab w:leader="none" w:pos="19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B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B Preferred Stock. The Purchaser has not been formed for the specific purpose of acquiring the Series B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304"/>
        <w:spacing w:after="0" w:line="261" w:lineRule="auto"/>
        <w:tabs>
          <w:tab w:leader="none" w:pos="20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B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Series B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B Preferred Stock are “restricted securities” under applicable U.S. federal and state securities laws and that, pursuant to these laws, the Purchaser must hold the shares of Series B Preferred Stock indefinitely (or until converted in accordance with the terms of the Certificate) unless they are registered with the SEC and qualified by state authorities. The Purchaser acknowledges that the Company has no obligation to register or qualify the Series B Preferred Stock for resale, subject to the requirements of Article IV hereof.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B Preferred Stock, and that the Company has made no assurances that a public market will ever exist for the Series B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B Preferred Stock may be notated with a legend substantially similar to the following or otherwise required by the securities laws of any state, to the extent such laws are applicable to the shares of Series B Preferred Stock represented by the certificate, instrument, or book entry so legended:</w:t>
      </w:r>
    </w:p>
    <w:p>
      <w:pPr>
        <w:spacing w:after="0" w:line="17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SHARES OF SERIES B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jc w:val="both"/>
        <w:ind w:firstLine="1304"/>
        <w:spacing w:after="0" w:line="266" w:lineRule="auto"/>
        <w:tabs>
          <w:tab w:leader="none" w:pos="1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in connection with such Purchaser’s execution of that certain Indication of Interest.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304"/>
        <w:spacing w:after="0" w:line="255" w:lineRule="auto"/>
        <w:tabs>
          <w:tab w:leader="none" w:pos="1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B Preferred Stock or any use of this Agreement, including (i) the legal requirements within its jurisdiction for the purchase of the Series B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B Preferred Stock. The Purchaser’s subscription and payment for and continued beneficial ownership of the Series B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B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Closing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the Series B Preferred Stock then outstanding, including the shares of Series B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20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304"/>
        <w:spacing w:after="0" w:line="266" w:lineRule="auto"/>
        <w:tabs>
          <w:tab w:leader="none" w:pos="20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and qualify the Converted Shares covered by the Registration Statement under such other securities or blue-sky laws of such jurisdictions as shall be reasonably requested by the selling Purchasers;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and listing fees;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56"/>
        <w:spacing w:after="0" w:line="253" w:lineRule="auto"/>
        <w:tabs>
          <w:tab w:leader="none" w:pos="1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B Preferred Stock subject to the terms and conditions hereof and compliance with applicable law. In case at any time before or after the Closing Date any further action is necessary or desirable to carry out the purposes of the sale and purchase of the Series B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B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B Preferred Stock pursuant to the terms of the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920" w:hanging="616"/>
        <w:spacing w:after="0"/>
        <w:tabs>
          <w:tab w:leader="none" w:pos="1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B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Closing Date by Company or any Purchaser if the Closing does not occur by the close of business on October 13,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notwithstanding the foregoing, no party hereto may terminate this Agreement pursuant to this clause (a) if (i) the action or failure of such party to act has been a cause of or resulted in the failure of the Closing to occur by the Outside Date and (ii) such action or failure to act constitutes a breach of this Agreement; provided, further, that if the Learn CW Investment Corporation shareholders approve an extension of the date by which Learn CW Investment Corporation is required to consummate an initial business combination in compliance with applicable law, then the Outside Date shall automatically be extended to refer to such extended date. Such termination by a Purchaser will be effective only with respect to that individual Purchaser’s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1304"/>
        <w:spacing w:after="0" w:line="266" w:lineRule="auto"/>
        <w:tabs>
          <w:tab w:leader="none" w:pos="20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and the Closing is not consummated, this Agreement shall become void and of no further force and effect, without any liability on the part of any party hereto, except that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their terms. Notwithstanding the foregoing,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relieve any party to this Agreement of liability for any fraud and willful breach of any provision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execution and delivery of this Agreement and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B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herein to the contrary, including in the Certificate, the Company shall not issue to the Purchaser any shares of Common Stock to the extent such shares after giving effect to a conversion and when added to the number of shares of Common Stock issued and issuable upon conversion of any shares of Series B Preferred Stock issued pursuant to this Agreement, the number of shares of Common Stock issued and issuable upon exercise of the Warrant to Acquire Securities of Innventure, Inc., dated [_], 2024, by and between the Company and WTI FUND X, LLC, and the number of shares of Common Stock issued and issuable upon exercise of the Warrant to Acquire Securities of Innventure, Inc., dated [_], 2024, by and between the Company and WTI FUND XI, LLC, would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left="-20" w:firstLine="1304"/>
        <w:spacing w:after="0" w:line="258" w:lineRule="auto"/>
        <w:tabs>
          <w:tab w:leader="none" w:pos="19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B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B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1" w:name="page42"/>
    <w:bookmarkEnd w:id="41"/>
    <w:p>
      <w:pPr>
        <w:ind w:left="44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33947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6"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Name:</w:t>
        <w:tab/>
        <w:t>Robert Hutter</w:t>
      </w:r>
    </w:p>
    <w:p>
      <w:pPr>
        <w:spacing w:after="0" w:line="27"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Address:11755 Wilshire Boulevard, Suite 2320</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COMMONWEALTH ASSET MANAGEMENT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Oliver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Oliver Walters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spacing w:after="0"/>
        <w:tabs>
          <w:tab w:leader="none" w:pos="42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11755 Wilshire Blvd, Suite 2320, Los Angeles, CA, 90025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334645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180340</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26035</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440" w:top="117" w:right="5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80" w:type="dxa"/>
            <w:vAlign w:val="bottom"/>
            <w:tcBorders>
              <w:top w:val="single" w:sz="8" w:color="auto"/>
              <w:left w:val="single" w:sz="8" w:color="auto"/>
              <w:right w:val="single" w:sz="8" w:color="auto"/>
            </w:tcBorders>
            <w:shd w:val="clear" w:color="auto" w:fill="ADAAAA"/>
          </w:tcPr>
          <w:p>
            <w:pPr>
              <w:ind w:left="9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800" w:type="dxa"/>
            <w:vAlign w:val="bottom"/>
            <w:tcBorders>
              <w:top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Series</w:t>
            </w:r>
          </w:p>
        </w:tc>
        <w:tc>
          <w:tcPr>
            <w:tcW w:w="3660" w:type="dxa"/>
            <w:vAlign w:val="bottom"/>
            <w:tcBorders>
              <w:top w:val="single" w:sz="8" w:color="auto"/>
              <w:right w:val="single" w:sz="8" w:color="auto"/>
            </w:tcBorders>
            <w:shd w:val="clear" w:color="auto" w:fill="ADAAAA"/>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45"/>
        </w:trPr>
        <w:tc>
          <w:tcPr>
            <w:tcW w:w="3780" w:type="dxa"/>
            <w:vAlign w:val="bottom"/>
            <w:tcBorders>
              <w:left w:val="single" w:sz="8" w:color="auto"/>
              <w:bottom w:val="single" w:sz="8" w:color="auto"/>
              <w:right w:val="single" w:sz="8" w:color="auto"/>
            </w:tcBorders>
            <w:shd w:val="clear" w:color="auto" w:fill="ADAAAA"/>
          </w:tcPr>
          <w:p>
            <w:pPr>
              <w:spacing w:after="0"/>
              <w:rPr>
                <w:sz w:val="21"/>
                <w:szCs w:val="21"/>
                <w:color w:val="auto"/>
              </w:rPr>
            </w:pPr>
          </w:p>
        </w:tc>
        <w:tc>
          <w:tcPr>
            <w:tcW w:w="380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Preferred Stock</w:t>
            </w:r>
          </w:p>
        </w:tc>
        <w:tc>
          <w:tcPr>
            <w:tcW w:w="3660" w:type="dxa"/>
            <w:vAlign w:val="bottom"/>
            <w:tcBorders>
              <w:bottom w:val="single" w:sz="8" w:color="auto"/>
              <w:right w:val="single" w:sz="8" w:color="auto"/>
            </w:tcBorders>
            <w:shd w:val="clear" w:color="auto" w:fill="ADAAAA"/>
          </w:tcPr>
          <w:p>
            <w:pPr>
              <w:spacing w:after="0"/>
              <w:rPr>
                <w:sz w:val="21"/>
                <w:szCs w:val="21"/>
                <w:color w:val="auto"/>
              </w:rPr>
            </w:pPr>
          </w:p>
        </w:tc>
      </w:tr>
      <w:tr>
        <w:trPr>
          <w:trHeight w:val="198"/>
        </w:trPr>
        <w:tc>
          <w:tcPr>
            <w:tcW w:w="37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COMMONWEALTH ASSET</w:t>
            </w:r>
          </w:p>
        </w:tc>
        <w:tc>
          <w:tcPr>
            <w:tcW w:w="3800" w:type="dxa"/>
            <w:vAlign w:val="bottom"/>
            <w:tcBorders>
              <w:right w:val="single" w:sz="8" w:color="auto"/>
            </w:tcBorders>
          </w:tcPr>
          <w:p>
            <w:pPr>
              <w:jc w:val="right"/>
              <w:ind w:right="3030"/>
              <w:spacing w:after="0" w:line="198" w:lineRule="exact"/>
              <w:rPr>
                <w:sz w:val="20"/>
                <w:szCs w:val="20"/>
                <w:color w:val="auto"/>
              </w:rPr>
            </w:pPr>
            <w:r>
              <w:rPr>
                <w:rFonts w:ascii="Times New Roman" w:cs="Times New Roman" w:eastAsia="Times New Roman" w:hAnsi="Times New Roman"/>
                <w:sz w:val="18"/>
                <w:szCs w:val="18"/>
                <w:color w:val="auto"/>
              </w:rPr>
              <w:t>750,000</w:t>
            </w:r>
          </w:p>
        </w:tc>
        <w:tc>
          <w:tcPr>
            <w:tcW w:w="3660" w:type="dxa"/>
            <w:vAlign w:val="bottom"/>
            <w:tcBorders>
              <w:right w:val="single" w:sz="8" w:color="auto"/>
            </w:tcBorders>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MANAGEMENT</w:t>
            </w:r>
          </w:p>
        </w:tc>
        <w:tc>
          <w:tcPr>
            <w:tcW w:w="38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r>
      <w:tr>
        <w:trPr>
          <w:trHeight w:val="241"/>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LP, or its assignee</w:t>
            </w: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398"/>
        </w:trPr>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 2024,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 total of 3,000,000 shares of Preferred Stock shall be designated as a series known as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r>
        <w:rPr>
          <w:rFonts w:ascii="Times New Roman" w:cs="Times New Roman" w:eastAsia="Times New Roman" w:hAnsi="Times New Roman"/>
          <w:sz w:val="29"/>
          <w:szCs w:val="29"/>
          <w:color w:val="auto"/>
          <w:vertAlign w:val="superscript"/>
        </w:rPr>
        <w:t>1</w:t>
      </w:r>
    </w:p>
    <w:p>
      <w:pPr>
        <w:spacing w:after="0" w:line="3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43" w:lineRule="auto"/>
        <w:tabs>
          <w:tab w:leader="none" w:pos="21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of Common Stock as of the Initial Issue Date (as determined by reference to the Nasdaq Official Closing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Pari passu treatment between Series A and Series B subject to finalization of terms for both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8" w:lineRule="exact"/>
        <w:rPr>
          <w:sz w:val="20"/>
          <w:szCs w:val="20"/>
          <w:color w:val="auto"/>
        </w:rPr>
      </w:pPr>
    </w:p>
    <w:p>
      <w:pPr>
        <w:ind w:right="20" w:firstLine="8"/>
        <w:spacing w:after="0" w:line="195" w:lineRule="auto"/>
        <w:tabs>
          <w:tab w:leader="none" w:pos="133"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Actual amount to be inserted into Certificate of Designation filed with Delaware, with such amount determined based on the Minimum Price (as defined in Nasdaq Listing Rule 5635(d)) of the Company’s Common Stock).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firstLine="1304"/>
        <w:spacing w:after="0" w:line="282" w:lineRule="auto"/>
        <w:tabs>
          <w:tab w:leader="none" w:pos="19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B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B Preferred Stock will be converted into shares of Common Stock (the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644" w:firstLine="652"/>
        <w:spacing w:after="0" w:line="252" w:lineRule="auto"/>
        <w:tabs>
          <w:tab w:leader="none" w:pos="19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B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B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4" w:firstLine="652"/>
        <w:spacing w:after="0" w:line="252" w:lineRule="auto"/>
        <w:tabs>
          <w:tab w:leader="none" w:pos="18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9" w:name="page50"/>
    <w:bookmarkEnd w:id="49"/>
    <w:p>
      <w:pPr>
        <w:jc w:val="both"/>
        <w:ind w:firstLine="1304"/>
        <w:spacing w:after="0" w:line="266" w:lineRule="auto"/>
        <w:tabs>
          <w:tab w:leader="none" w:pos="20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B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Investment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304"/>
        <w:spacing w:after="0" w:line="253" w:lineRule="auto"/>
        <w:tabs>
          <w:tab w:leader="none" w:pos="18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80" w:hanging="644"/>
        <w:spacing w:after="0" w:line="500" w:lineRule="auto"/>
        <w:tabs>
          <w:tab w:leader="none" w:pos="12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last price at which the Common Stock of the Company traded at during a regular trading session for a given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B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 2024.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(i) Common Stock and (ii) any other preferred stock, other than the Series A Preferred Stock, if applicable, and any other equity interest of the Company, in each case which by its terms ranks junior to the Series B Preferred Stock with respect to payment of dividends and/or distribution of assets.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B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shall have the meaning assigned to such term in Nasdaq Listing Rule 5635(d).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B Preferred Stock.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A Preferred Stock, if applicable, and any equity interest of the Company hereinafter created which by its terms ranks pari passu with the Series B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B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means the greater of (a) $5.00 and (b) the 10-Trading Day volume-weighted average Closing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any shares of preferred stock of the Company designated as “Series A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B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Investment Agreement, dated as of the date hereof, entered into by and among the Company and the parties set forth on Schedule I thereto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firstLine="1304"/>
        <w:spacing w:after="0" w:line="282" w:lineRule="auto"/>
        <w:tabs>
          <w:tab w:leader="none" w:pos="18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 day of [●], 2024.</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33432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Bill Haskell</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980" w:top="121" w:right="121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1. [●]</w:t>
      </w:r>
    </w:p>
    <w:p>
      <w:pPr>
        <w:spacing w:after="0" w:line="153" w:lineRule="exact"/>
        <w:rPr>
          <w:sz w:val="20"/>
          <w:szCs w:val="20"/>
          <w:color w:val="auto"/>
        </w:rPr>
      </w:pPr>
    </w:p>
    <w:p>
      <w:pPr>
        <w:ind w:left="112" w:hanging="112"/>
        <w:spacing w:after="0"/>
        <w:tabs>
          <w:tab w:leader="none" w:pos="112"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u w:val="single" w:color="auto"/>
          <w:color w:val="auto"/>
        </w:rPr>
        <w:t>Note to Draft</w:t>
      </w:r>
      <w:r>
        <w:rPr>
          <w:rFonts w:ascii="Times New Roman" w:cs="Times New Roman" w:eastAsia="Times New Roman" w:hAnsi="Times New Roman"/>
          <w:sz w:val="17"/>
          <w:szCs w:val="17"/>
          <w:color w:val="auto"/>
        </w:rPr>
        <w:t>: To be provided upon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783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Holders</w:t>
      </w:r>
      <w:r>
        <w:rPr>
          <w:rFonts w:ascii="Times New Roman" w:cs="Times New Roman" w:eastAsia="Times New Roman" w:hAnsi="Times New Roman"/>
          <w:sz w:val="28"/>
          <w:szCs w:val="28"/>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66675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72" w:space="720"/>
            <w:col w:w="4639"/>
          </w:cols>
          <w:pgMar w:left="328" w:top="117"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color w:val="auto"/>
        </w:rPr>
        <w:t>This TERMINATION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September 20,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by and among Innventure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Michael Otworth and John Scott (together with Michael Otworth,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For purposes of this Agreement, the Purchasers and the Company may each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40"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August 25, 2023, the Company entered into (a) the Class B-1 Preferred Unit Purchase Agreement with Michael Otworth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Otworth Agreement</w:t>
      </w:r>
      <w:r>
        <w:rPr>
          <w:rFonts w:ascii="Times New Roman" w:cs="Times New Roman" w:eastAsia="Times New Roman" w:hAnsi="Times New Roman"/>
          <w:sz w:val="18"/>
          <w:szCs w:val="18"/>
          <w:color w:val="auto"/>
        </w:rPr>
        <w:t>”) and (b) the Class B-1 Preferred Unit Purchase Agreement with John Scott (the “</w:t>
      </w:r>
      <w:r>
        <w:rPr>
          <w:rFonts w:ascii="Times New Roman" w:cs="Times New Roman" w:eastAsia="Times New Roman" w:hAnsi="Times New Roman"/>
          <w:sz w:val="18"/>
          <w:szCs w:val="18"/>
          <w:b w:val="1"/>
          <w:bCs w:val="1"/>
          <w:i w:val="1"/>
          <w:iCs w:val="1"/>
          <w:color w:val="auto"/>
        </w:rPr>
        <w:t>Scott Agreement</w:t>
      </w:r>
      <w:r>
        <w:rPr>
          <w:rFonts w:ascii="Times New Roman" w:cs="Times New Roman" w:eastAsia="Times New Roman" w:hAnsi="Times New Roman"/>
          <w:sz w:val="18"/>
          <w:szCs w:val="18"/>
          <w:color w:val="auto"/>
        </w:rPr>
        <w:t>” and together with the Otworth Agreement,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24, 2023, the Company entered into the Business Combination Agreement with Learn SPAC HoldCo,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Learn CW Investment Corporation, a Cayman Islands exempted company with limited liability, LCW Merger Sub, Inc., a Delaware corporation, and Innventure Merger Sub, LLC, a Delaware limited liability company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6.9 of each of the Purchase Agreements provides that the Purchase Agreements may be terminated with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Purchaser party thereto; and</w:t>
      </w:r>
    </w:p>
    <w:p>
      <w:pPr>
        <w:spacing w:after="0" w:line="15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Business Combination Agreement, the Parties have determined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mutual best interests to terminate the Purchase Agreements upon the consummation of the transactions contemplated by the Business Combination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Termination of Purchase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24"/>
        <w:spacing w:after="0" w:line="282" w:lineRule="auto"/>
        <w:tabs>
          <w:tab w:leader="none" w:pos="182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Purchasers hereby warrant, as of the Effective Date, that they have not transferred, assigned or otherwise conveyed, in whole or in part, their respective Purchase Agreements.</w:t>
      </w:r>
    </w:p>
    <w:p>
      <w:pPr>
        <w:spacing w:after="0" w:line="161" w:lineRule="exact"/>
        <w:rPr>
          <w:rFonts w:ascii="Times New Roman" w:cs="Times New Roman" w:eastAsia="Times New Roman" w:hAnsi="Times New Roman"/>
          <w:sz w:val="18"/>
          <w:szCs w:val="18"/>
          <w:b w:val="1"/>
          <w:bCs w:val="1"/>
          <w:color w:val="auto"/>
        </w:rPr>
      </w:pPr>
    </w:p>
    <w:p>
      <w:pPr>
        <w:jc w:val="both"/>
        <w:ind w:firstLine="1224"/>
        <w:spacing w:after="0" w:line="258" w:lineRule="auto"/>
        <w:tabs>
          <w:tab w:leader="none" w:pos="175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Michael Otworth and the Company agree that, effective as of the Closing, the Otworth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Otworth Termination</w:t>
      </w:r>
      <w:r>
        <w:rPr>
          <w:rFonts w:ascii="Times New Roman" w:cs="Times New Roman" w:eastAsia="Times New Roman" w:hAnsi="Times New Roman"/>
          <w:sz w:val="18"/>
          <w:szCs w:val="18"/>
          <w:color w:val="auto"/>
        </w:rPr>
        <w:t>”) and (ii) John Scott and the Company agree that, effective as of the Closing, the Scott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Scott Termination</w:t>
      </w:r>
      <w:r>
        <w:rPr>
          <w:rFonts w:ascii="Times New Roman" w:cs="Times New Roman" w:eastAsia="Times New Roman" w:hAnsi="Times New Roman"/>
          <w:sz w:val="18"/>
          <w:szCs w:val="18"/>
          <w:color w:val="auto"/>
        </w:rPr>
        <w:t>” and together with the Otworth Termination, the “</w:t>
      </w:r>
      <w:r>
        <w:rPr>
          <w:rFonts w:ascii="Times New Roman" w:cs="Times New Roman" w:eastAsia="Times New Roman" w:hAnsi="Times New Roman"/>
          <w:sz w:val="18"/>
          <w:szCs w:val="18"/>
          <w:b w:val="1"/>
          <w:bCs w:val="1"/>
          <w:i w:val="1"/>
          <w:iCs w:val="1"/>
          <w:color w:val="auto"/>
        </w:rPr>
        <w:t>Terminations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26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Section 2. Waiver and Release</w:t>
      </w:r>
      <w:r>
        <w:rPr>
          <w:rFonts w:ascii="Times New Roman" w:cs="Times New Roman" w:eastAsia="Times New Roman" w:hAnsi="Times New Roman"/>
          <w:sz w:val="18"/>
          <w:szCs w:val="18"/>
          <w:color w:val="auto"/>
        </w:rPr>
        <w:t>. By executing this Agreement, upon and subject to consummation of the Terminations,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Affiliates hereby irrevocably WAIVES, RELEASES, RELINQUISHES AND FOREVER DISCHARGES the other Parties and their respective directors, officers, employees, agents, affiliates, stockholders, optionholders, successors and subsidiaries, from any and all obligations, claims, suits, demands, liabilities, losses, costs, expenses and causes of action existing as of the Closing, whether known or unknown, accrued or unaccrued, arising or accruing from, under or in connection with the Purchase Agreements and the transactions contemplated thereby. The Parties each acknowledge having had the opportunity to consult with their respective legal advisors prior to executing this Agreement with respect to the foregoing waiver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241300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266" w:right="339" w:bottom="1440" w:gutter="0" w:footer="0" w:header="0"/>
        </w:sectPr>
      </w:pPr>
    </w:p>
    <w:bookmarkStart w:id="58" w:name="page59"/>
    <w:bookmarkEnd w:id="58"/>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3. Termination of this Agreement</w:t>
      </w:r>
      <w:r>
        <w:rPr>
          <w:rFonts w:ascii="Times New Roman" w:cs="Times New Roman" w:eastAsia="Times New Roman" w:hAnsi="Times New Roman"/>
          <w:sz w:val="18"/>
          <w:szCs w:val="18"/>
          <w:color w:val="auto"/>
        </w:rPr>
        <w:t>. This Agreement shall terminate and be of no further force or effect, and none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any rights or obligations hereunder, as of the earliest to occur of (a) the exercise of the Purchase Agreements in full in accordance with their terms or (b) the termination of the Business Combination Agreement in accordance with its terms.</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4. Further Assurances</w:t>
      </w:r>
      <w:r>
        <w:rPr>
          <w:rFonts w:ascii="Times New Roman" w:cs="Times New Roman" w:eastAsia="Times New Roman" w:hAnsi="Times New Roman"/>
          <w:sz w:val="18"/>
          <w:szCs w:val="18"/>
          <w:color w:val="auto"/>
        </w:rPr>
        <w:t>. From and after the Effective Date, each of the Parties will, and will cause their respective affiliates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or cause to be executed and delivered such other agreements or instruments, in addition to those required by this Agreement, as may be reasonably required to carry out the provisions hereof and give effect to other actions contemplated hereby.</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5. Amendment and Waiver</w:t>
      </w:r>
      <w:r>
        <w:rPr>
          <w:rFonts w:ascii="Times New Roman" w:cs="Times New Roman" w:eastAsia="Times New Roman" w:hAnsi="Times New Roman"/>
          <w:sz w:val="18"/>
          <w:szCs w:val="18"/>
          <w:color w:val="auto"/>
        </w:rPr>
        <w:t>. No amendment or waiver of any provision of this Agreement will be valid and binding unless it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in the case of an amendment, by each of the Parties, or in the case of a waiver, by the Party against whom the waiver is to be effective.</w:t>
      </w:r>
    </w:p>
    <w:p>
      <w:pPr>
        <w:spacing w:after="0" w:line="17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Section 6. Incorporated Provisions</w:t>
      </w:r>
      <w:r>
        <w:rPr>
          <w:rFonts w:ascii="Times New Roman" w:cs="Times New Roman" w:eastAsia="Times New Roman" w:hAnsi="Times New Roman"/>
          <w:sz w:val="18"/>
          <w:szCs w:val="18"/>
          <w:color w:val="auto"/>
        </w:rPr>
        <w:t>. Sections 6.3 (Governing Law), 6.4 (Counterparts), 6.5 (Titles and Subtitles), 6.14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and 6.15 (Waiver of Jury Trial) of the Purchase Agreements are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IN WITNESS HEREOF</w:t>
      </w:r>
      <w:r>
        <w:rPr>
          <w:rFonts w:ascii="Times New Roman" w:cs="Times New Roman" w:eastAsia="Times New Roman" w:hAnsi="Times New Roman"/>
          <w:sz w:val="17"/>
          <w:szCs w:val="17"/>
          <w:color w:val="auto"/>
        </w:rPr>
        <w:t>, each of the undersigned has executed this Agreement as of the Effective Date.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LLC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Michael Otworth</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Scott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Termination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lvl w:ilvl="1">
      <w:lvlJc w:val="left"/>
      <w:lvlText w:val="(%2)"/>
      <w:numFmt w:val="lowerRoman"/>
      <w:start w:val="1"/>
    </w:lvl>
  </w:abstractNum>
  <w:abstractNum w:abstractNumId="3">
    <w:nsid w:val="8EDBDAB"/>
    <w:multiLevelType w:val="hybridMultilevel"/>
    <w:lvl w:ilvl="0">
      <w:lvlJc w:val="left"/>
      <w:lvlText w:val="(%1)"/>
      <w:numFmt w:val="lowerLetter"/>
      <w:start w:val="1"/>
    </w:lvl>
    <w:lvl w:ilvl="1">
      <w:lvlJc w:val="left"/>
      <w:lvlText w:val="(%2)"/>
      <w:numFmt w:val="lowerRoman"/>
      <w:start w:val="1"/>
    </w:lvl>
  </w:abstractNum>
  <w:abstractNum w:abstractNumId="4">
    <w:nsid w:val="79838CB2"/>
    <w:multiLevelType w:val="hybridMultilevel"/>
    <w:lvl w:ilvl="0">
      <w:lvlJc w:val="left"/>
      <w:lvlText w:val="%1"/>
      <w:numFmt w:val="lowerLetter"/>
      <w:start w:val="1"/>
    </w:lvl>
    <w:lvl w:ilvl="1">
      <w:lvlJc w:val="left"/>
      <w:lvlText w:val="(%2)"/>
      <w:numFmt w:val="lowerRoman"/>
      <w:start w:val="1"/>
    </w:lvl>
  </w:abstractNum>
  <w:abstractNum w:abstractNumId="5">
    <w:nsid w:val="4353D0CD"/>
    <w:multiLevelType w:val="hybridMultilevel"/>
    <w:lvl w:ilvl="0">
      <w:lvlJc w:val="left"/>
      <w:lvlText w:val="(%1)"/>
      <w:numFmt w:val="lowerLetter"/>
      <w:start w:val="3"/>
    </w:lvl>
    <w:lvl w:ilvl="1">
      <w:lvlJc w:val="left"/>
      <w:lvlText w:val="(%2)"/>
      <w:numFmt w:val="lowerRoman"/>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
    <w:nsid w:val="71F32454"/>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10">
    <w:nsid w:val="2CA88611"/>
    <w:multiLevelType w:val="hybridMultilevel"/>
    <w:lvl w:ilvl="0">
      <w:lvlJc w:val="left"/>
      <w:lvlText w:val="%1"/>
      <w:numFmt w:val="lowerLetter"/>
      <w:start w:val="1"/>
    </w:lvl>
    <w:lvl w:ilvl="1">
      <w:lvlJc w:val="left"/>
      <w:lvlText w:val="(%2)"/>
      <w:numFmt w:val="lowerLetter"/>
      <w:start w:val="61"/>
    </w:lvl>
  </w:abstractNum>
  <w:abstractNum w:abstractNumId="11">
    <w:nsid w:val="836C40E"/>
    <w:multiLevelType w:val="hybridMultilevel"/>
    <w:lvl w:ilvl="0">
      <w:lvlJc w:val="left"/>
      <w:lvlText w:val="(%1)"/>
      <w:numFmt w:val="lowerLetter"/>
      <w:start w:val="8"/>
    </w:lvl>
    <w:lvl w:ilvl="1">
      <w:lvlJc w:val="left"/>
      <w:lvlText w:val="%2"/>
      <w:numFmt w:val="lowerLetter"/>
      <w:start w:val="1"/>
    </w:lvl>
  </w:abstractNum>
  <w:abstractNum w:abstractNumId="12">
    <w:nsid w:val="2901D82"/>
    <w:multiLevelType w:val="hybridMultilevel"/>
    <w:lvl w:ilvl="0">
      <w:lvlJc w:val="left"/>
      <w:lvlText w:val="(%1)"/>
      <w:numFmt w:val="lowerLetter"/>
      <w:start w:val="13"/>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7"/>
    </w:lvl>
  </w:abstractNum>
  <w:abstractNum w:abstractNumId="16">
    <w:nsid w:val="7C3DBD3D"/>
    <w:multiLevelType w:val="hybridMultilevel"/>
    <w:lvl w:ilvl="0">
      <w:lvlJc w:val="left"/>
      <w:lvlText w:val="(%1)"/>
      <w:numFmt w:val="lowerLetter"/>
      <w:start w:val="8"/>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3"/>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lvl w:ilvl="1">
      <w:lvlJc w:val="left"/>
      <w:lvlText w:val="(%2)"/>
      <w:numFmt w:val="lowerRoman"/>
      <w:start w:val="1"/>
    </w:lvl>
  </w:abstractNum>
  <w:abstractNum w:abstractNumId="28">
    <w:nsid w:val="77465F01"/>
    <w:multiLevelType w:val="hybridMultilevel"/>
    <w:lvl w:ilvl="0">
      <w:lvlJc w:val="left"/>
      <w:lvlText w:val="(%1)"/>
      <w:numFmt w:val="lowerLetter"/>
      <w:start w:val="3"/>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bullet"/>
      <w:start w:val="1"/>
    </w:lvl>
  </w:abstractNum>
  <w:abstractNum w:abstractNumId="31">
    <w:nsid w:val="2463B9EA"/>
    <w:multiLevelType w:val="hybridMultilevel"/>
    <w:lvl w:ilvl="0">
      <w:lvlJc w:val="left"/>
      <w:lvlText w:val="2"/>
      <w:numFmt w:val="bullet"/>
      <w:start w:val="1"/>
    </w:lvl>
  </w:abstractNum>
  <w:abstractNum w:abstractNumId="32">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4">
    <w:nsid w:val="2D517796"/>
    <w:multiLevelType w:val="hybridMultilevel"/>
    <w:lvl w:ilvl="0">
      <w:lvlJc w:val="left"/>
      <w:lvlText w:val="%1"/>
      <w:numFmt w:val="lowerLetter"/>
      <w:start w:val="1"/>
    </w:lvl>
    <w:lvl w:ilvl="1">
      <w:lvlJc w:val="left"/>
      <w:lvlText w:val="(%2)"/>
      <w:numFmt w:val="lowerLetter"/>
      <w:start w:val="35"/>
    </w:lvl>
  </w:abstractNum>
  <w:abstractNum w:abstractNumId="35">
    <w:nsid w:val="580BD78F"/>
    <w:multiLevelType w:val="hybridMultilevel"/>
    <w:lvl w:ilvl="0">
      <w:lvlJc w:val="left"/>
      <w:lvlText w:val="(%1)"/>
      <w:numFmt w:val="lowerLetter"/>
      <w:start w:val="2"/>
    </w:lvl>
    <w:lvl w:ilvl="1">
      <w:lvlJc w:val="left"/>
      <w:lvlText w:val="(%2)"/>
      <w:numFmt w:val="lowerLetter"/>
      <w:start w:val="9"/>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7"/>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abstractNum>
  <w:abstractNum w:abstractNumId="40">
    <w:nsid w:val="2A487CB0"/>
    <w:multiLevelType w:val="hybridMultilevel"/>
    <w:lvl w:ilvl="0">
      <w:lvlJc w:val="left"/>
      <w:lvlText w:val="%1."/>
      <w:numFmt w:val="decimal"/>
      <w:start w:val="8"/>
    </w:lvl>
    <w:lvl w:ilvl="1">
      <w:lvlJc w:val="left"/>
      <w:lvlText w:val="(%2)"/>
      <w:numFmt w:val="lowerLetter"/>
      <w:start w:val="1"/>
    </w:lvl>
  </w:abstractNum>
  <w:abstractNum w:abstractNumId="41">
    <w:nsid w:val="1D4ED43B"/>
    <w:multiLevelType w:val="hybridMultilevel"/>
    <w:lvl w:ilvl="0">
      <w:lvlJc w:val="left"/>
      <w:lvlText w:val="%1."/>
      <w:numFmt w:val="decimal"/>
      <w:start w:val="10"/>
    </w:lvl>
    <w:lvl w:ilvl="1">
      <w:lvlJc w:val="left"/>
      <w:lvlText w:val="(%2)"/>
      <w:numFmt w:val="lowerLetter"/>
      <w:start w:val="1"/>
    </w:lvl>
  </w:abstractNum>
  <w:abstractNum w:abstractNumId="42">
    <w:nsid w:val="725A06FB"/>
    <w:multiLevelType w:val="hybridMultilevel"/>
    <w:lvl w:ilvl="0">
      <w:lvlJc w:val="left"/>
      <w:lvlText w:val="(%1)"/>
      <w:numFmt w:val="lowerLetter"/>
      <w:start w:val="5"/>
    </w:lvl>
  </w:abstractNum>
  <w:abstractNum w:abstractNumId="43">
    <w:nsid w:val="2CD89A32"/>
    <w:multiLevelType w:val="hybridMultilevel"/>
    <w:lvl w:ilvl="0">
      <w:lvlJc w:val="left"/>
      <w:lvlText w:val="3"/>
      <w:numFmt w:val="bullet"/>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2024-09-26T05:25:05Z</dcterms:created>
  <dcterms:modified xsi:type="dcterms:W3CDTF">2024-09-26T05:25:05Z</dcterms:modified>
</cp:coreProperties>
</file>