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Yablunosky David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80" w:type="dxa"/>
            <w:vAlign w:val="bottom"/>
            <w:tcBorders>
              <w:top w:val="single" w:sz="8" w:color="0000EE"/>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10/02/2024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Innventure,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INV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6900 TAVISTOCK LAKES BLVD, SUITE 400</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ORLANDO FL</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32827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983"/>
        <w:spacing w:after="0"/>
        <w:rPr>
          <w:sz w:val="20"/>
          <w:szCs w:val="20"/>
          <w:color w:val="auto"/>
        </w:rPr>
      </w:pPr>
      <w:r>
        <w:rPr>
          <w:rFonts w:ascii="Times New Roman" w:cs="Times New Roman" w:eastAsia="Times New Roman" w:hAnsi="Times New Roman"/>
          <w:sz w:val="20"/>
          <w:szCs w:val="20"/>
          <w:color w:val="0000FF"/>
        </w:rPr>
        <w:t>CFO and CAO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Community National Bank</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40" w:type="dxa"/>
            <w:vAlign w:val="bottom"/>
          </w:tcPr>
          <w:p>
            <w:pPr>
              <w:ind w:left="380"/>
              <w:spacing w:after="0" w:line="240" w:lineRule="exact"/>
              <w:rPr>
                <w:sz w:val="20"/>
                <w:szCs w:val="20"/>
                <w:color w:val="auto"/>
              </w:rPr>
            </w:pPr>
            <w:r>
              <w:rPr>
                <w:rFonts w:ascii="Times New Roman" w:cs="Times New Roman" w:eastAsia="Times New Roman" w:hAnsi="Times New Roman"/>
                <w:sz w:val="20"/>
                <w:szCs w:val="20"/>
                <w:color w:val="0000FF"/>
              </w:rPr>
              <w:t>31,630</w:t>
            </w:r>
            <w:r>
              <w:rPr>
                <w:rFonts w:ascii="Times New Roman" w:cs="Times New Roman" w:eastAsia="Times New Roman" w:hAnsi="Times New Roman"/>
                <w:sz w:val="25"/>
                <w:szCs w:val="25"/>
                <w:color w:val="008000"/>
                <w:vertAlign w:val="superscript"/>
              </w:rPr>
              <w:t>(1)(2)</w:t>
            </w:r>
          </w:p>
        </w:tc>
        <w:tc>
          <w:tcPr>
            <w:tcW w:w="660" w:type="dxa"/>
            <w:vAlign w:val="bottom"/>
          </w:tcPr>
          <w:p>
            <w:pPr>
              <w:spacing w:after="0"/>
              <w:rPr>
                <w:sz w:val="20"/>
                <w:szCs w:val="20"/>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Custodian FBO David</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Yablunosky Roth IRA</w:t>
            </w: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5"/>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660" w:type="dxa"/>
            <w:vAlign w:val="bottom"/>
            <w:vMerge w:val="restart"/>
          </w:tcPr>
          <w:p>
            <w:pPr>
              <w:ind w:left="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6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Received in connection with the business combination (the "Business Combination") in accordance with the terms of the business combination agreement (as amended and supplemented or otherwise modified), dated as of October 24, 2023, by and among Learn CW Investment Corporation, a Cayman Islands exempted company ("Learn CW"), Innventure LLC, a Delaware limited liability company ("Innventure"), Learn SPAC HoldCo, Inc., a Delaware corporation and direct, wholly-owned subsidiary of Learn CW ("Holdco"), LCW Merger Sub, Inc., a Delaware corporation and direct, wholly-owned subsidiary of Holdco, and Innventure Merger Sub, LLC, a Delaware limited liability company and direct, wholly-owned subsidiary of Holdco, which closed on October 2, 2024 (the "Closing Date").</w:t>
      </w:r>
    </w:p>
    <w:p>
      <w:pPr>
        <w:spacing w:after="0" w:line="33" w:lineRule="exact"/>
        <w:rPr>
          <w:rFonts w:ascii="Times New Roman" w:cs="Times New Roman" w:eastAsia="Times New Roman" w:hAnsi="Times New Roman"/>
          <w:sz w:val="15"/>
          <w:szCs w:val="15"/>
          <w:color w:val="008000"/>
        </w:rPr>
      </w:pPr>
    </w:p>
    <w:p>
      <w:pPr>
        <w:ind w:left="40" w:right="4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At the Closing Date, the Reporting Person acquired these shares in exchange for the ownership interests of Innventure held immediately prior to the closing of the Business Combination, which were automatically converted into a number of shares of the Issuer's common stock, par value $0.0001 per share ("Common Stock").</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 The Issuer has been renamed "Innventure, Inc."</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Suzanne Niemeyer,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10/02/2024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Attorney-In-Fact</w:t>
            </w:r>
          </w:p>
        </w:tc>
        <w:tc>
          <w:tcPr>
            <w:tcW w:w="42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ind w:right="520" w:firstLine="720"/>
        <w:spacing w:after="0" w:line="314" w:lineRule="auto"/>
        <w:rPr>
          <w:sz w:val="20"/>
          <w:szCs w:val="20"/>
          <w:color w:val="auto"/>
        </w:rPr>
      </w:pPr>
      <w:r>
        <w:rPr>
          <w:rFonts w:ascii="Times New Roman" w:cs="Times New Roman" w:eastAsia="Times New Roman" w:hAnsi="Times New Roman"/>
          <w:sz w:val="19"/>
          <w:szCs w:val="19"/>
          <w:b w:val="1"/>
          <w:bCs w:val="1"/>
          <w:color w:val="auto"/>
        </w:rPr>
        <w:t xml:space="preserve">KNOW ALL MEN BY THESE PRESENTS, </w:t>
      </w:r>
      <w:r>
        <w:rPr>
          <w:rFonts w:ascii="Times New Roman" w:cs="Times New Roman" w:eastAsia="Times New Roman" w:hAnsi="Times New Roman"/>
          <w:sz w:val="19"/>
          <w:szCs w:val="19"/>
          <w:color w:val="auto"/>
        </w:rPr>
        <w:t>that the undersigned, hereby constitutes and appoints Suzanne Niemeyer,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signing singly and with full power of substitution and resubstitution, the undersigned’s true and lawful attorney-in-fact to:</w:t>
      </w:r>
    </w:p>
    <w:p>
      <w:pPr>
        <w:spacing w:after="0" w:line="153" w:lineRule="exact"/>
        <w:rPr>
          <w:sz w:val="20"/>
          <w:szCs w:val="20"/>
          <w:color w:val="auto"/>
        </w:rPr>
      </w:pPr>
    </w:p>
    <w:p>
      <w:pPr>
        <w:ind w:right="340" w:firstLine="720"/>
        <w:spacing w:after="0" w:line="279" w:lineRule="auto"/>
        <w:tabs>
          <w:tab w:leader="none" w:pos="1454"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executive officer or director of Innventure, Inc. (the “Company”), any and all reports (including any amendment thereto) of the undersigned required or considered advisable under Section 13 or Section 16 of the Securities Exchange Act of 1934 (the “Exchange Act”) and the rules and regulations thereunder, with respect to the equity securities of the Company, including Forms 3, 4 and 5 and Schedule 13D or 13G; and;</w:t>
      </w:r>
    </w:p>
    <w:p>
      <w:pPr>
        <w:spacing w:after="0" w:line="184" w:lineRule="exact"/>
        <w:rPr>
          <w:rFonts w:ascii="Times New Roman" w:cs="Times New Roman" w:eastAsia="Times New Roman" w:hAnsi="Times New Roman"/>
          <w:sz w:val="19"/>
          <w:szCs w:val="19"/>
          <w:color w:val="auto"/>
        </w:rPr>
      </w:pPr>
    </w:p>
    <w:p>
      <w:pPr>
        <w:ind w:right="20" w:firstLine="720"/>
        <w:spacing w:after="0" w:line="266" w:lineRule="auto"/>
        <w:tabs>
          <w:tab w:leader="none" w:pos="145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Schedule 13D or 13G, including any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ind w:right="80" w:firstLine="720"/>
        <w:spacing w:after="0" w:line="261" w:lineRule="auto"/>
        <w:tabs>
          <w:tab w:leader="none" w:pos="145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10" w:lineRule="exact"/>
        <w:rPr>
          <w:sz w:val="20"/>
          <w:szCs w:val="20"/>
          <w:color w:val="auto"/>
        </w:rPr>
      </w:pPr>
    </w:p>
    <w:p>
      <w:pPr>
        <w:ind w:right="20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or 5 and Schedule 13D or 13G with respect to the undersigned’s holdings of and transactions in securities issued by the Company, unless earlier revoked by the undersigned in a signed writing delivered to the foregoing attorneys-in-fact.</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caused this Power of Attorney to be executed as of this 18th day of July,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23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By: /s/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28575</wp:posOffset>
            </wp:positionV>
            <wp:extent cx="325882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258820" cy="19050"/>
                    </a:xfrm>
                    <a:prstGeom prst="rect">
                      <a:avLst/>
                    </a:prstGeom>
                    <a:noFill/>
                  </pic:spPr>
                </pic:pic>
              </a:graphicData>
            </a:graphic>
          </wp:anchor>
        </w:drawing>
      </w:r>
    </w:p>
    <w:p>
      <w:pPr>
        <w:spacing w:after="0" w:line="3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Name: David Yablunosky</w:t>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Title: Chief Financial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32137" TargetMode="External"/><Relationship Id="rId11"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2024-10-02T18:31:40Z</dcterms:created>
  <dcterms:modified xsi:type="dcterms:W3CDTF">2024-10-02T18:31:40Z</dcterms:modified>
</cp:coreProperties>
</file>