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August 18,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sectPr>
      </w:pPr>
    </w:p>
    <w:p>
      <w:pPr>
        <w:spacing w:after="0" w:line="24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001-42303</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93-4440048</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9" w:lineRule="exact"/>
        <w:rPr>
          <w:sz w:val="24"/>
          <w:szCs w:val="24"/>
          <w:color w:val="auto"/>
        </w:rPr>
      </w:pPr>
    </w:p>
    <w:p>
      <w:pPr>
        <w:sectPr>
          <w:pgSz w:w="11900" w:h="16838" w:orient="portrait"/>
          <w:cols w:equalWidth="0" w:num="3">
            <w:col w:w="4100" w:space="720"/>
            <w:col w:w="2640" w:space="720"/>
            <w:col w:w="3100"/>
          </w:cols>
          <w:pgMar w:left="300" w:top="1009"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Orlando, Florida 32827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(321) 209-6787</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5"/>
                <w:szCs w:val="15"/>
                <w:color w:val="auto"/>
              </w:rPr>
            </w:pPr>
          </w:p>
        </w:tc>
        <w:tc>
          <w:tcPr>
            <w:tcW w:w="27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24"/>
        </w:trPr>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160" w:type="dxa"/>
            <w:vAlign w:val="bottom"/>
          </w:tcPr>
          <w:p>
            <w:pPr>
              <w:spacing w:after="0"/>
              <w:rPr>
                <w:sz w:val="19"/>
                <w:szCs w:val="19"/>
                <w:color w:val="auto"/>
              </w:rPr>
            </w:pPr>
          </w:p>
        </w:tc>
        <w:tc>
          <w:tcPr>
            <w:tcW w:w="28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INV</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12b-2 of the Exchange Act.</w:t>
      </w:r>
    </w:p>
    <w:p>
      <w:pPr>
        <w:spacing w:after="0" w:line="70" w:lineRule="exact"/>
        <w:rPr>
          <w:sz w:val="24"/>
          <w:szCs w:val="24"/>
          <w:color w:val="auto"/>
        </w:rPr>
      </w:pPr>
    </w:p>
    <w:p>
      <w:pPr>
        <w:spacing w:after="0" w:line="161" w:lineRule="exact"/>
        <w:tabs>
          <w:tab w:leader="none" w:pos="1780" w:val="left"/>
        </w:tabs>
        <w:rPr>
          <w:sz w:val="20"/>
          <w:szCs w:val="20"/>
          <w:color w:val="auto"/>
        </w:rPr>
      </w:pPr>
      <w:r>
        <w:rPr>
          <w:rFonts w:ascii="Times New Roman" w:cs="Times New Roman" w:eastAsia="Times New Roman" w:hAnsi="Times New Roman"/>
          <w:sz w:val="14"/>
          <w:szCs w:val="14"/>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4.01 Change in Registrant's Certifying Accountant.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Dismissal of Independent Registered Public Accounting Firm</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August 18, 2025, the Audit Committee of the Board of Directors (the "Audit Committee") of Innventure, Inc. (the "Company") approved the dismissal of BDO USA, PC ("BDO") as the Company’s independent registered public accounting firm, effective immediately, and on August 19, 2025, the Company informed BDO of such dismissal.</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BDO had served as the Company’s independent registered public accounting firm since October 2, 2024 and as the independent registered public accounting firm of the Company’s predecessor, Innventure LLC, since June 3, 2022. BDO’s report on the Company’s and its subsidiaries’ consolidated financial statements for the fiscal year ended December 31, 2024 (“Successor”) and Innventure LLC and its subsidiaries’ consolidated financial statements for the fiscal year ended December 31, 2023 (“Predecessor”) and results of the Company’s operations for the period from October 2, 2024 through December 31, 2024 (Successor), the period from January 1, 2024 through October 1, 2024 (Predecessor), and the year ended December 31, 2023 (Predecessor) did not contain any adverse opinion or disclaimer of opinion and was not qualified or modified as to uncertainty, audit scope, or accounting principles, except for an explanatory paragraph in its report related to the Company’s consolidated financial statements for the fiscal years ended December 31, 2024 (Successor) and December 31, 2023 (Predecessor) regarding the substantial doubt about the Company’s ability to continue as a going concern.</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the period from October 2, 2024 through December 31, 2024 (Successor) ,the period from January 1, 2024 through October 1, 2024 (Predecessor), the year ended December 31, 2023 (Predecessor) and the subsequent interim period through the date of this Current Report on Form 8-K, there were (i) no disagreements within the meaning of Item 304(a)(1)(iv) of Regulation S-K between the Company and BDO on any matter of accounting principles or practices, financial statement disclosure, or auditing scope or procedure, which disagreements, if not resolved to BDO’s satisfaction, would have caused BDO to make reference to the subject matter of the disagreements in connection with its reports, and (ii) no “reportable events” within the meaning of Item 304(a)(1)</w:t>
      </w:r>
    </w:p>
    <w:p>
      <w:pPr>
        <w:spacing w:after="0" w:line="1" w:lineRule="exact"/>
        <w:rPr>
          <w:sz w:val="20"/>
          <w:szCs w:val="20"/>
          <w:color w:val="auto"/>
        </w:rPr>
      </w:pPr>
    </w:p>
    <w:p>
      <w:pPr>
        <w:jc w:val="both"/>
        <w:ind w:firstLine="5"/>
        <w:spacing w:after="0" w:line="246" w:lineRule="auto"/>
        <w:tabs>
          <w:tab w:leader="none" w:pos="20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Regulation S-K, except for material weaknesses in the Company’s internal control over financial reporting. The material weaknesses relate to insufficient staffing of accounting personnel; lack of information technology general controls; lack of sufficient controls related to review of accounting treatment, the costing and existence of inventory, and the forecast prepared for Accelsius Holdings LLC; inadequate segregation of duties and lack of review; and a change in accounting treatment in connection with the previously reported business combination with Learn CW Investment Corporation, as disclosed in the Company’s Annual Report on Form 10-K for the fiscal year ended December 31, 2024 and in the Company’s Registration Statement on Form S-1 filed with the</w:t>
      </w:r>
    </w:p>
    <w:p>
      <w:pPr>
        <w:spacing w:after="0" w:line="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Securities and Exchange Commission (the “SEC”) on November 1, 2024. The Audit Committee discussed the Company’s material weaknesses in internal control over financial reporting with BDO, and the Company has authorized BDO to respond fully to the inquiries of the successor independent registered public accounting firm concerning such material weaknesses and all other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Item 304(a)(3) of Regulation S-K, the Company provided BDO with a copy of the disclosures it is making in this Current Report on Form 8-K and requested that BDO furnish the</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Company with a letter addressed to the SEC stating whether BDO agrees with the statements made by the Company herein and, if not, stating the respects in which it does not agree. A copy of BDO’s letter dated August 20, 2025 is filed as Exhibit 16.1 to this Current Report on Form 8-K.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Engagement of New Independent Registered Public Accounting Firm</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August 18, 2025, the Audit Committee of the Company approved the engagement of WithumSmith+Brown, PC (“Withum”) as the Company’s independent registered public accounting firm for the fiscal year ending December 31, 2025 and applicable interim periods. On August 18, 2025, Withum was engaged as the Company’s independent registered public accounting firm.</w:t>
      </w:r>
    </w:p>
    <w:p>
      <w:pPr>
        <w:spacing w:after="0" w:line="14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During the fiscal year ended December 31, 2024, and the subsequent interim period to August 18, 2025, neither the Company nor anyone acting on its behalf consulted Withum regarding either (i) the application of accounting principles to a specified transaction, either completed or proposed, or the type of audit opinion that might be rendered on the Company’s consolidated financial statements,</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4"/>
          <w:szCs w:val="14"/>
          <w:color w:val="auto"/>
        </w:rPr>
        <w:t>and neither a written report nor oral advice was provided to the Company that Withum concluded was an important factor considered by the Company in reaching a decision as to any accounting, auditing or financial reporting issue; or (ii) any matter that was either the subject of a disagreement within the meaning of Item 304(a)(1)(iv) of Regulation S-K or a reportable event as described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1002665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9.01 Financial Statements and Exhibits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86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2"/>
        </w:trPr>
        <w:tc>
          <w:tcPr>
            <w:tcW w:w="14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16.1</w:t>
            </w:r>
          </w:p>
        </w:tc>
        <w:tc>
          <w:tcPr>
            <w:tcW w:w="9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Letter from BDO USA, PC to the SEC dated August 20, 2025</w:t>
            </w:r>
          </w:p>
        </w:tc>
      </w:tr>
      <w:tr>
        <w:trPr>
          <w:trHeight w:val="202"/>
        </w:trPr>
        <w:tc>
          <w:tcPr>
            <w:tcW w:w="14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104</w:t>
            </w:r>
          </w:p>
        </w:tc>
        <w:tc>
          <w:tcPr>
            <w:tcW w:w="9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Cover Page Interactive Data File (formatted in Inline XBRL)</w:t>
            </w:r>
          </w:p>
        </w:tc>
      </w:tr>
      <w:tr>
        <w:trPr>
          <w:trHeight w:val="1784"/>
        </w:trPr>
        <w:tc>
          <w:tcPr>
            <w:tcW w:w="142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INNVENTURE, INC.</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April 11, 2025</w:t>
            </w:r>
          </w:p>
        </w:tc>
        <w:tc>
          <w:tcPr>
            <w:tcW w:w="31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Yablunosky</w:t>
            </w: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318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color w:val="auto"/>
              </w:rPr>
              <w:t>Name:</w:t>
            </w: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Yablunosky</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1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887"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2025-08-20T16:14:28Z</dcterms:created>
  <dcterms:modified xsi:type="dcterms:W3CDTF">2025-08-20T16:14:28Z</dcterms:modified>
</cp:coreProperties>
</file>