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6025.xml.htm"/>
      <w:bookmarkStart w:id="1" w:name="kswkform4_17909760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Grieco William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7"/>
        <w:gridCol w:w="900"/>
        <w:gridCol w:w="771"/>
        <w:gridCol w:w="597"/>
        <w:gridCol w:w="342"/>
        <w:gridCol w:w="1180"/>
        <w:gridCol w:w="439"/>
        <w:gridCol w:w="601"/>
        <w:gridCol w:w="1257"/>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2,040,816</w:t>
            </w:r>
            <w:r>
              <w:rPr>
                <w:rFonts w:ascii="Times;serif" w:hAnsi="Times;serif"/>
                <w:color w:val="008000"/>
                <w:position w:val="7"/>
                <w:sz w:val="16"/>
                <w:sz w:val="20"/>
                <w:shd w:fill="FFFFFF" w:val="clear"/>
              </w:rPr>
              <w:t>(1)</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2,171,998</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(the "RSUs") were granted to the Reporting Person under the Innventure, Inc. 2024 Equity and Incentive Compensation Plan (the "Plan") in connection with his appointment as Chief Executive Officer of Innventure, Inc. ("the "Issuer") and in accordance with the Reporting Person's employment letter. The RSUs vest in three equal installments on October 1, 2027, October 1, 2028 and October 1, 2029, subject to the Reporting Person's continuous service to the Issuer until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3881"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3542</Characters>
  <CharactersWithSpaces>4119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