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Niemeyer Suzanne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Innventure,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INV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6900 TAVISTOCK LAKES BLVD,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ORLANDO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32827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0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008000"/>
              </w:rPr>
              <w:t>Exhibit 24.1 - Power of Attorney. The Issuer has been renamed "Innventure, Inc."</w:t>
            </w: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Suzanne Niemeyer</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10/02/2024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ind w:right="540" w:firstLine="720"/>
        <w:spacing w:after="0" w:line="314" w:lineRule="auto"/>
        <w:rPr>
          <w:sz w:val="20"/>
          <w:szCs w:val="20"/>
          <w:color w:val="auto"/>
        </w:rPr>
      </w:pPr>
      <w:r>
        <w:rPr>
          <w:rFonts w:ascii="Times New Roman" w:cs="Times New Roman" w:eastAsia="Times New Roman" w:hAnsi="Times New Roman"/>
          <w:sz w:val="19"/>
          <w:szCs w:val="19"/>
          <w:b w:val="1"/>
          <w:bCs w:val="1"/>
          <w:color w:val="auto"/>
        </w:rPr>
        <w:t xml:space="preserve">KNOW ALL MEN BY THESE PRESENTS, </w:t>
      </w:r>
      <w:r>
        <w:rPr>
          <w:rFonts w:ascii="Times New Roman" w:cs="Times New Roman" w:eastAsia="Times New Roman" w:hAnsi="Times New Roman"/>
          <w:sz w:val="19"/>
          <w:szCs w:val="19"/>
          <w:color w:val="auto"/>
        </w:rPr>
        <w:t>that the undersigned, hereby constitutes and appoints David Yablunosky,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signing singly and with full power of substitution and resubstitution, the undersigned’s true and lawful attorney-in-fact to:</w:t>
      </w:r>
    </w:p>
    <w:p>
      <w:pPr>
        <w:spacing w:after="0" w:line="153" w:lineRule="exact"/>
        <w:rPr>
          <w:sz w:val="20"/>
          <w:szCs w:val="20"/>
          <w:color w:val="auto"/>
        </w:rPr>
      </w:pPr>
    </w:p>
    <w:p>
      <w:pPr>
        <w:jc w:val="both"/>
        <w:ind w:right="340" w:firstLine="720"/>
        <w:spacing w:after="0" w:line="279" w:lineRule="auto"/>
        <w:tabs>
          <w:tab w:leader="none" w:pos="155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executive officer or director of Innventure, Inc. (the “Company”), any and all reports (including any amendment thereto) of the undersigned required or considered advisable under Section 13 or Section 16 of the Securities Exchange Act of 1934 (the “Exchange Act”) and the rules and regulations thereunder, with respect to the equity securities of the Company, including Forms 3, 4 and 5 and Schedule 13D or 13G; and;</w:t>
      </w:r>
    </w:p>
    <w:p>
      <w:pPr>
        <w:spacing w:after="0" w:line="184" w:lineRule="exact"/>
        <w:rPr>
          <w:rFonts w:ascii="Times New Roman" w:cs="Times New Roman" w:eastAsia="Times New Roman" w:hAnsi="Times New Roman"/>
          <w:sz w:val="19"/>
          <w:szCs w:val="19"/>
          <w:color w:val="auto"/>
        </w:rPr>
      </w:pPr>
    </w:p>
    <w:p>
      <w:pPr>
        <w:ind w:right="140" w:firstLine="720"/>
        <w:spacing w:after="0" w:line="266" w:lineRule="auto"/>
        <w:tabs>
          <w:tab w:leader="none" w:pos="15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Schedule 13D or 13G, including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right="120" w:firstLine="720"/>
        <w:spacing w:after="0" w:line="261" w:lineRule="auto"/>
        <w:tabs>
          <w:tab w:leader="none" w:pos="15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1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or 5 and Schedule 13D or 13G with respect to the undersigned’s holdings of and transactions in securities issued by the Company, unless earlier revoked by the undersigned in a signed writing delivered to the foregoing attorneys-in-fact.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18th day of July,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28575</wp:posOffset>
            </wp:positionV>
            <wp:extent cx="32588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19050"/>
                    </a:xfrm>
                    <a:prstGeom prst="rect">
                      <a:avLst/>
                    </a:prstGeom>
                    <a:noFill/>
                  </pic:spPr>
                </pic:pic>
              </a:graphicData>
            </a:graphic>
          </wp:anchor>
        </w:drawing>
      </w:r>
    </w:p>
    <w:p>
      <w:pPr>
        <w:spacing w:after="0" w:line="3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Suzanne Niemeyer</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Title: General Counsel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780863" TargetMode="External"/><Relationship Id="rId11"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2024-10-02T18:30:44Z</dcterms:created>
  <dcterms:modified xsi:type="dcterms:W3CDTF">2024-10-02T18:30:44Z</dcterms:modified>
</cp:coreProperties>
</file>