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206375</wp:posOffset>
            </wp:positionH>
            <wp:positionV relativeFrom="page">
              <wp:posOffset>112395</wp:posOffset>
            </wp:positionV>
            <wp:extent cx="71361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38735"/>
                    </a:xfrm>
                    <a:prstGeom prst="rect">
                      <a:avLst/>
                    </a:prstGeom>
                    <a:noFill/>
                  </pic:spPr>
                </pic:pic>
              </a:graphicData>
            </a:graphic>
          </wp:anchor>
        </w:drawing>
        <w:t>UNITED STATES</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13G/A</w:t>
      </w:r>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3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Innventure,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1" w:lineRule="exact"/>
        <w:rPr>
          <w:sz w:val="24"/>
          <w:szCs w:val="24"/>
          <w:color w:val="auto"/>
        </w:rPr>
      </w:pPr>
    </w:p>
    <w:p>
      <w:pPr>
        <w:jc w:val="center"/>
        <w:spacing w:after="0" w:line="302" w:lineRule="auto"/>
        <w:rPr>
          <w:sz w:val="20"/>
          <w:szCs w:val="20"/>
          <w:color w:val="auto"/>
        </w:rPr>
      </w:pPr>
      <w:r>
        <w:rPr>
          <w:rFonts w:ascii="Times New Roman" w:cs="Times New Roman" w:eastAsia="Times New Roman" w:hAnsi="Times New Roman"/>
          <w:sz w:val="18"/>
          <w:szCs w:val="18"/>
          <w:b w:val="1"/>
          <w:bCs w:val="1"/>
          <w:color w:val="auto"/>
        </w:rPr>
        <w:t xml:space="preserve">Warrants included as part of the units, each whole warrant exercisable for one Class A ordinary share at an exercise price of $11.50 * </w:t>
      </w:r>
      <w:r>
        <w:rPr>
          <w:rFonts w:ascii="Times New Roman" w:cs="Times New Roman" w:eastAsia="Times New Roman" w:hAnsi="Times New Roman"/>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G54157105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0" w:lineRule="exact"/>
        <w:rPr>
          <w:sz w:val="24"/>
          <w:szCs w:val="24"/>
          <w:color w:val="auto"/>
        </w:rPr>
      </w:pP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66" w:lineRule="exact"/>
        <w:rPr>
          <w:sz w:val="24"/>
          <w:szCs w:val="24"/>
          <w:color w:val="auto"/>
        </w:rPr>
      </w:pPr>
    </w:p>
    <w:p>
      <w:pPr>
        <w:jc w:val="both"/>
        <w:ind w:left="660" w:right="9340" w:hanging="4"/>
        <w:spacing w:after="0" w:line="288" w:lineRule="auto"/>
        <w:tabs>
          <w:tab w:leader="none" w:pos="894"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6"/>
          <w:szCs w:val="16"/>
          <w:color w:val="auto"/>
        </w:rPr>
        <w:t xml:space="preserve">Rule 13d-1(b) </w:t>
      </w:r>
      <w:r>
        <w:rPr>
          <w:rFonts w:ascii="Wingdings" w:cs="Wingdings" w:eastAsia="Wingdings" w:hAnsi="Wingdings"/>
          <w:sz w:val="19"/>
          <w:szCs w:val="19"/>
          <w:b w:val="1"/>
          <w:bCs w:val="1"/>
          <w:color w:val="auto"/>
        </w:rPr>
        <w:t xml:space="preserve">o </w:t>
      </w:r>
      <w:r>
        <w:rPr>
          <w:rFonts w:ascii="Times New Roman" w:cs="Times New Roman" w:eastAsia="Times New Roman" w:hAnsi="Times New Roman"/>
          <w:sz w:val="15"/>
          <w:szCs w:val="15"/>
          <w:color w:val="auto"/>
        </w:rPr>
        <w:t>Rule 13d-1(c)</w:t>
      </w:r>
      <w:r>
        <w:rPr>
          <w:rFonts w:ascii="Wingdings" w:cs="Wingdings" w:eastAsia="Wingdings" w:hAnsi="Wingdings"/>
          <w:sz w:val="19"/>
          <w:szCs w:val="19"/>
          <w:b w:val="1"/>
          <w:bCs w:val="1"/>
          <w:color w:val="auto"/>
        </w:rPr>
        <w:t xml:space="preserve"> o </w:t>
      </w:r>
      <w:r>
        <w:rPr>
          <w:rFonts w:ascii="Times New Roman" w:cs="Times New Roman" w:eastAsia="Times New Roman" w:hAnsi="Times New Roman"/>
          <w:sz w:val="15"/>
          <w:szCs w:val="15"/>
          <w:color w:val="auto"/>
        </w:rPr>
        <w:t>Rule 13d-1(d)</w:t>
      </w:r>
    </w:p>
    <w:p>
      <w:pPr>
        <w:spacing w:after="0" w:line="3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328930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361315</wp:posOffset>
            </wp:positionV>
            <wp:extent cx="7136130"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38100"/>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520" w:type="dxa"/>
            <w:vAlign w:val="bottom"/>
            <w:tcBorders>
              <w:top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G54157105</w:t>
            </w:r>
          </w:p>
        </w:tc>
        <w:tc>
          <w:tcPr>
            <w:tcW w:w="60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2 of 6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gridSpan w:val="2"/>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2"/>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6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Walleye Capital LLC</w:t>
            </w: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gridSpan w:val="2"/>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2</w:t>
            </w:r>
          </w:p>
        </w:tc>
        <w:tc>
          <w:tcPr>
            <w:tcW w:w="320" w:type="dxa"/>
            <w:vAlign w:val="bottom"/>
            <w:tcBorders>
              <w:right w:val="single" w:sz="8" w:color="auto"/>
            </w:tcBorders>
          </w:tcPr>
          <w:p>
            <w:pPr>
              <w:spacing w:after="0"/>
              <w:rPr>
                <w:sz w:val="20"/>
                <w:szCs w:val="20"/>
                <w:color w:val="auto"/>
              </w:rPr>
            </w:pPr>
          </w:p>
        </w:tc>
        <w:tc>
          <w:tcPr>
            <w:tcW w:w="69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o</w:t>
            </w: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3</w:t>
            </w:r>
          </w:p>
        </w:tc>
        <w:tc>
          <w:tcPr>
            <w:tcW w:w="320" w:type="dxa"/>
            <w:vAlign w:val="bottom"/>
            <w:tcBorders>
              <w:right w:val="single" w:sz="8" w:color="auto"/>
            </w:tcBorders>
          </w:tcPr>
          <w:p>
            <w:pPr>
              <w:spacing w:after="0"/>
              <w:rPr>
                <w:sz w:val="22"/>
                <w:szCs w:val="22"/>
                <w:color w:val="auto"/>
              </w:rPr>
            </w:pPr>
          </w:p>
        </w:tc>
        <w:tc>
          <w:tcPr>
            <w:tcW w:w="1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6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Minnesota</w:t>
            </w: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60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5</w:t>
            </w: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Borders>
              <w:right w:val="single" w:sz="8" w:color="auto"/>
            </w:tcBorders>
            <w:vMerge w:val="continue"/>
          </w:tcPr>
          <w:p>
            <w:pPr>
              <w:spacing w:after="0"/>
              <w:rPr>
                <w:sz w:val="23"/>
                <w:szCs w:val="23"/>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43,500</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280" w:type="dxa"/>
            <w:vAlign w:val="bottom"/>
          </w:tcPr>
          <w:p>
            <w:pPr>
              <w:spacing w:after="0"/>
              <w:rPr>
                <w:sz w:val="14"/>
                <w:szCs w:val="14"/>
                <w:color w:val="auto"/>
              </w:rPr>
            </w:pPr>
          </w:p>
        </w:tc>
        <w:tc>
          <w:tcPr>
            <w:tcW w:w="600" w:type="dxa"/>
            <w:vAlign w:val="bottom"/>
            <w:tcBorders>
              <w:right w:val="single" w:sz="8" w:color="auto"/>
            </w:tcBorders>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0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60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280" w:type="dxa"/>
            <w:vAlign w:val="bottom"/>
          </w:tcPr>
          <w:p>
            <w:pPr>
              <w:spacing w:after="0"/>
              <w:rPr>
                <w:sz w:val="18"/>
                <w:szCs w:val="18"/>
                <w:color w:val="auto"/>
              </w:rPr>
            </w:pPr>
          </w:p>
        </w:tc>
        <w:tc>
          <w:tcPr>
            <w:tcW w:w="60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280" w:type="dxa"/>
            <w:vAlign w:val="bottom"/>
          </w:tcPr>
          <w:p>
            <w:pPr>
              <w:spacing w:after="0"/>
              <w:rPr>
                <w:sz w:val="18"/>
                <w:szCs w:val="18"/>
                <w:color w:val="auto"/>
              </w:rPr>
            </w:pPr>
          </w:p>
        </w:tc>
        <w:tc>
          <w:tcPr>
            <w:tcW w:w="600" w:type="dxa"/>
            <w:vAlign w:val="bottom"/>
            <w:tcBorders>
              <w:right w:val="single" w:sz="8" w:color="auto"/>
            </w:tcBorders>
            <w:vMerge w:val="continue"/>
          </w:tcPr>
          <w:p>
            <w:pPr>
              <w:spacing w:after="0"/>
              <w:rPr>
                <w:sz w:val="18"/>
                <w:szCs w:val="18"/>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280" w:type="dxa"/>
            <w:vAlign w:val="bottom"/>
            <w:tcBorders>
              <w:bottom w:val="single" w:sz="8" w:color="auto"/>
            </w:tcBorders>
          </w:tcPr>
          <w:p>
            <w:pPr>
              <w:spacing w:after="0"/>
              <w:rPr>
                <w:sz w:val="19"/>
                <w:szCs w:val="19"/>
                <w:color w:val="auto"/>
              </w:rPr>
            </w:pPr>
          </w:p>
        </w:tc>
        <w:tc>
          <w:tcPr>
            <w:tcW w:w="60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4520" w:type="dxa"/>
            <w:vAlign w:val="bottom"/>
            <w:tcBorders>
              <w:bottom w:val="single" w:sz="8" w:color="auto"/>
            </w:tcBorders>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280" w:type="dxa"/>
            <w:vAlign w:val="bottom"/>
          </w:tcPr>
          <w:p>
            <w:pPr>
              <w:spacing w:after="0"/>
              <w:rPr>
                <w:sz w:val="17"/>
                <w:szCs w:val="17"/>
                <w:color w:val="auto"/>
              </w:rPr>
            </w:pPr>
          </w:p>
        </w:tc>
        <w:tc>
          <w:tcPr>
            <w:tcW w:w="60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7</w:t>
            </w:r>
          </w:p>
        </w:tc>
        <w:tc>
          <w:tcPr>
            <w:tcW w:w="47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280" w:type="dxa"/>
            <w:vAlign w:val="bottom"/>
          </w:tcPr>
          <w:p>
            <w:pPr>
              <w:spacing w:after="0"/>
              <w:rPr>
                <w:sz w:val="18"/>
                <w:szCs w:val="18"/>
                <w:color w:val="auto"/>
              </w:rPr>
            </w:pPr>
          </w:p>
        </w:tc>
        <w:tc>
          <w:tcPr>
            <w:tcW w:w="60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280" w:type="dxa"/>
            <w:vAlign w:val="bottom"/>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43,500</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Times New Roman" w:cs="Times New Roman" w:eastAsia="Times New Roman" w:hAnsi="Times New Roman"/>
                <w:sz w:val="18"/>
                <w:szCs w:val="18"/>
                <w:color w:val="auto"/>
                <w:w w:val="97"/>
              </w:rPr>
              <w:t>WITH</w:t>
            </w:r>
          </w:p>
        </w:tc>
        <w:tc>
          <w:tcPr>
            <w:tcW w:w="280" w:type="dxa"/>
            <w:vAlign w:val="bottom"/>
            <w:tcBorders>
              <w:bottom w:val="single" w:sz="8" w:color="auto"/>
            </w:tcBorders>
          </w:tcPr>
          <w:p>
            <w:pPr>
              <w:spacing w:after="0"/>
              <w:rPr>
                <w:sz w:val="8"/>
                <w:szCs w:val="8"/>
                <w:color w:val="auto"/>
              </w:rPr>
            </w:pPr>
          </w:p>
        </w:tc>
        <w:tc>
          <w:tcPr>
            <w:tcW w:w="60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8</w:t>
            </w: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gridSpan w:val="2"/>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43,500</w:t>
            </w:r>
          </w:p>
        </w:tc>
        <w:tc>
          <w:tcPr>
            <w:tcW w:w="2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5"/>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92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5"/>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0.09%</w:t>
            </w:r>
          </w:p>
        </w:tc>
        <w:tc>
          <w:tcPr>
            <w:tcW w:w="2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5"/>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6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IA</w:t>
            </w: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4"/>
        </w:trPr>
        <w:tc>
          <w:tcPr>
            <w:tcW w:w="40" w:type="dxa"/>
            <w:vAlign w:val="bottom"/>
            <w:tcBorders>
              <w:right w:val="single" w:sz="8" w:color="808080"/>
            </w:tcBorders>
            <w:shd w:val="clear" w:color="auto" w:fill="808080"/>
          </w:tcPr>
          <w:p>
            <w:pPr>
              <w:spacing w:after="0"/>
              <w:rPr>
                <w:sz w:val="7"/>
                <w:szCs w:val="7"/>
                <w:color w:val="auto"/>
              </w:rPr>
            </w:pPr>
          </w:p>
        </w:tc>
        <w:tc>
          <w:tcPr>
            <w:tcW w:w="560" w:type="dxa"/>
            <w:vAlign w:val="bottom"/>
            <w:shd w:val="clear" w:color="auto" w:fill="808080"/>
          </w:tcPr>
          <w:p>
            <w:pPr>
              <w:spacing w:after="0"/>
              <w:rPr>
                <w:sz w:val="7"/>
                <w:szCs w:val="7"/>
                <w:color w:val="auto"/>
              </w:rPr>
            </w:pPr>
          </w:p>
        </w:tc>
        <w:tc>
          <w:tcPr>
            <w:tcW w:w="320" w:type="dxa"/>
            <w:vAlign w:val="bottom"/>
            <w:tcBorders>
              <w:right w:val="single" w:sz="8" w:color="808080"/>
            </w:tcBorders>
            <w:shd w:val="clear" w:color="auto" w:fill="808080"/>
          </w:tcPr>
          <w:p>
            <w:pPr>
              <w:spacing w:after="0"/>
              <w:rPr>
                <w:sz w:val="7"/>
                <w:szCs w:val="7"/>
                <w:color w:val="auto"/>
              </w:rPr>
            </w:pPr>
          </w:p>
        </w:tc>
        <w:tc>
          <w:tcPr>
            <w:tcW w:w="1360" w:type="dxa"/>
            <w:vAlign w:val="bottom"/>
            <w:tcBorders>
              <w:right w:val="single" w:sz="8" w:color="808080"/>
            </w:tcBorders>
            <w:shd w:val="clear" w:color="auto" w:fill="808080"/>
          </w:tcPr>
          <w:p>
            <w:pPr>
              <w:spacing w:after="0"/>
              <w:rPr>
                <w:sz w:val="7"/>
                <w:szCs w:val="7"/>
                <w:color w:val="auto"/>
              </w:rPr>
            </w:pPr>
          </w:p>
        </w:tc>
        <w:tc>
          <w:tcPr>
            <w:tcW w:w="280" w:type="dxa"/>
            <w:vAlign w:val="bottom"/>
            <w:shd w:val="clear" w:color="auto" w:fill="808080"/>
          </w:tcPr>
          <w:p>
            <w:pPr>
              <w:spacing w:after="0"/>
              <w:rPr>
                <w:sz w:val="7"/>
                <w:szCs w:val="7"/>
                <w:color w:val="auto"/>
              </w:rPr>
            </w:pPr>
          </w:p>
        </w:tc>
        <w:tc>
          <w:tcPr>
            <w:tcW w:w="600" w:type="dxa"/>
            <w:vAlign w:val="bottom"/>
            <w:tcBorders>
              <w:right w:val="single" w:sz="8" w:color="808080"/>
            </w:tcBorders>
            <w:shd w:val="clear" w:color="auto" w:fill="808080"/>
          </w:tcPr>
          <w:p>
            <w:pPr>
              <w:spacing w:after="0"/>
              <w:rPr>
                <w:sz w:val="7"/>
                <w:szCs w:val="7"/>
                <w:color w:val="auto"/>
              </w:rPr>
            </w:pPr>
          </w:p>
        </w:tc>
        <w:tc>
          <w:tcPr>
            <w:tcW w:w="220" w:type="dxa"/>
            <w:vAlign w:val="bottom"/>
            <w:tcBorders>
              <w:right w:val="single" w:sz="8" w:color="808080"/>
            </w:tcBorders>
            <w:shd w:val="clear" w:color="auto" w:fill="808080"/>
          </w:tcPr>
          <w:p>
            <w:pPr>
              <w:spacing w:after="0"/>
              <w:rPr>
                <w:sz w:val="7"/>
                <w:szCs w:val="7"/>
                <w:color w:val="auto"/>
              </w:rPr>
            </w:pPr>
          </w:p>
        </w:tc>
        <w:tc>
          <w:tcPr>
            <w:tcW w:w="4520" w:type="dxa"/>
            <w:vAlign w:val="bottom"/>
            <w:tcBorders>
              <w:right w:val="single" w:sz="8" w:color="808080"/>
            </w:tcBorders>
            <w:shd w:val="clear" w:color="auto" w:fill="808080"/>
          </w:tcPr>
          <w:p>
            <w:pPr>
              <w:spacing w:after="0"/>
              <w:rPr>
                <w:sz w:val="7"/>
                <w:szCs w:val="7"/>
                <w:color w:val="auto"/>
              </w:rPr>
            </w:pPr>
          </w:p>
        </w:tc>
        <w:tc>
          <w:tcPr>
            <w:tcW w:w="3360" w:type="dxa"/>
            <w:vAlign w:val="bottom"/>
            <w:tcBorders>
              <w:right w:val="single" w:sz="8" w:color="808080"/>
            </w:tcBorders>
            <w:shd w:val="clear" w:color="auto" w:fill="808080"/>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3" w:right="339" w:bottom="1440" w:gutter="0" w:footer="0" w:header="0"/>
        </w:sectPr>
      </w:pPr>
    </w:p>
    <w:bookmarkStart w:id="2" w:name="page3"/>
    <w:bookmarkEnd w:id="2"/>
    <w:p>
      <w:pPr>
        <w:spacing w:after="0" w:line="1"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G54157105</w:t>
            </w: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3 of 6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19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(a) Name of Issuer</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Innventure, Inc.</w:t>
      </w:r>
    </w:p>
    <w:p>
      <w:pPr>
        <w:spacing w:after="0" w:line="11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 Address of Issuer’s Principal Executive Offices</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6900 Tavistock Lakes Blvd, Suite 400</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Orlando, Florida 32827</w:t>
      </w:r>
    </w:p>
    <w:p>
      <w:pPr>
        <w:spacing w:after="0" w:line="11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(a, b, c) Names of Person Filing, Address of Principal Business Office, Citizenship:</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Walleye Capital LLC, a Minnesota limited liability company</w:t>
      </w:r>
    </w:p>
    <w:p>
      <w:pPr>
        <w:spacing w:after="0" w:line="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315 Park Ave. South</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New York, NY 10010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(d) Title of Class of Securities</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Warrants included as part of the units, each whole warrant exercisable for one Class A ordinary share at an exercise price of $11.50</w:t>
      </w:r>
    </w:p>
    <w:p>
      <w:pPr>
        <w:spacing w:after="0" w:line="22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(e) CUSIP No.:</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G54157105</w:t>
      </w:r>
    </w:p>
    <w:p>
      <w:pPr>
        <w:spacing w:after="0" w:line="335"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G54157105</w:t>
            </w: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4 of 6 Pages</w:t>
            </w:r>
          </w:p>
        </w:tc>
      </w:tr>
      <w:tr>
        <w:trPr>
          <w:trHeight w:val="112"/>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§§240.13d-1(b) or 240.13d-2(b) or (c), check whether the person filing is a:</w:t>
      </w:r>
    </w:p>
    <w:p>
      <w:pPr>
        <w:spacing w:after="0" w:line="200" w:lineRule="exact"/>
        <w:rPr>
          <w:sz w:val="20"/>
          <w:szCs w:val="20"/>
          <w:color w:val="auto"/>
        </w:rPr>
      </w:pPr>
    </w:p>
    <w:p>
      <w:pPr>
        <w:spacing w:after="0" w:line="245" w:lineRule="exact"/>
        <w:rPr>
          <w:sz w:val="20"/>
          <w:szCs w:val="20"/>
          <w:color w:val="auto"/>
        </w:rPr>
      </w:pPr>
    </w:p>
    <w:p>
      <w:pPr>
        <w:ind w:left="600" w:hanging="295"/>
        <w:spacing w:after="0"/>
        <w:tabs>
          <w:tab w:leader="none" w:pos="600" w:val="left"/>
        </w:tabs>
        <w:numPr>
          <w:ilvl w:val="0"/>
          <w:numId w:val="2"/>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7"/>
          <w:szCs w:val="17"/>
          <w:color w:val="auto"/>
        </w:rPr>
        <w:t>Broker or dealer registered under section 15 of the Act (15 U.S.C. 78o);</w:t>
      </w:r>
    </w:p>
    <w:p>
      <w:pPr>
        <w:spacing w:after="0" w:line="95"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165" w:lineRule="exact"/>
        <w:rPr>
          <w:rFonts w:ascii="Times New Roman" w:cs="Times New Roman" w:eastAsia="Times New Roman" w:hAnsi="Times New Roman"/>
          <w:sz w:val="18"/>
          <w:szCs w:val="18"/>
          <w:color w:val="auto"/>
        </w:rPr>
      </w:pPr>
    </w:p>
    <w:p>
      <w:pPr>
        <w:ind w:left="600" w:hanging="295"/>
        <w:spacing w:after="0"/>
        <w:tabs>
          <w:tab w:leader="none" w:pos="600" w:val="left"/>
        </w:tabs>
        <w:numPr>
          <w:ilvl w:val="0"/>
          <w:numId w:val="2"/>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7"/>
          <w:szCs w:val="17"/>
          <w:color w:val="auto"/>
        </w:rPr>
        <w:t>An investment adviser in accordance with §240.13d-1(b)(1)(ii)(E);</w:t>
      </w:r>
    </w:p>
    <w:p>
      <w:pPr>
        <w:spacing w:after="0" w:line="95"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An employee benefit plan or endowment fund in accordance with §240.13d-1(b)(1)(ii)(F);</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parent holding company or control person in accordance with §240.13d-1(b)(1)(ii)(G);</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savings associations as defined in Section 3(b) of the Federal Deposit Insurance Act (12 U.S.C. 1813);</w:t>
      </w:r>
    </w:p>
    <w:p>
      <w:pPr>
        <w:spacing w:after="0" w:line="130" w:lineRule="exact"/>
        <w:rPr>
          <w:rFonts w:ascii="Times New Roman" w:cs="Times New Roman" w:eastAsia="Times New Roman" w:hAnsi="Times New Roman"/>
          <w:sz w:val="18"/>
          <w:szCs w:val="18"/>
          <w:color w:val="auto"/>
        </w:rPr>
      </w:pPr>
    </w:p>
    <w:p>
      <w:pPr>
        <w:ind w:left="900" w:right="200" w:hanging="595"/>
        <w:spacing w:after="0" w:line="243" w:lineRule="exact"/>
        <w:tabs>
          <w:tab w:leader="none" w:pos="603"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 (15 U.S.C. 80a-3);</w:t>
      </w:r>
    </w:p>
    <w:p>
      <w:pPr>
        <w:spacing w:after="0" w:line="68"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non-U.S. institution in accordance with §240.13d-1(b)(1)(ii)(J);</w:t>
      </w:r>
    </w:p>
    <w:p>
      <w:pPr>
        <w:spacing w:after="0" w:line="130" w:lineRule="exact"/>
        <w:rPr>
          <w:rFonts w:ascii="Times New Roman" w:cs="Times New Roman" w:eastAsia="Times New Roman" w:hAnsi="Times New Roman"/>
          <w:sz w:val="18"/>
          <w:szCs w:val="18"/>
          <w:color w:val="auto"/>
        </w:rPr>
      </w:pPr>
    </w:p>
    <w:p>
      <w:pPr>
        <w:ind w:left="900" w:right="460" w:hanging="595"/>
        <w:spacing w:after="0" w:line="243" w:lineRule="exact"/>
        <w:tabs>
          <w:tab w:leader="none" w:pos="603"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group, in accordance with §240.13d-1(b)(1)(ii)(K). If filing as a non-U.S. institution in accordance with §240.13d-1(b)(1)(ii)(J),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1941830</wp:posOffset>
            </wp:positionH>
            <wp:positionV relativeFrom="paragraph">
              <wp:posOffset>-24765</wp:posOffset>
            </wp:positionV>
            <wp:extent cx="8001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00100" cy="8255"/>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G54157105</w:t>
            </w: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5 of 6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121" w:lineRule="exact"/>
        <w:rPr>
          <w:sz w:val="20"/>
          <w:szCs w:val="20"/>
          <w:color w:val="auto"/>
        </w:rPr>
      </w:pPr>
    </w:p>
    <w:p>
      <w:pPr>
        <w:jc w:val="both"/>
        <w:ind w:left="800"/>
        <w:spacing w:after="0" w:line="266" w:lineRule="auto"/>
        <w:rPr>
          <w:sz w:val="20"/>
          <w:szCs w:val="20"/>
          <w:color w:val="auto"/>
        </w:rPr>
      </w:pPr>
      <w:r>
        <w:rPr>
          <w:rFonts w:ascii="Times New Roman" w:cs="Times New Roman" w:eastAsia="Times New Roman" w:hAnsi="Times New Roman"/>
          <w:sz w:val="18"/>
          <w:szCs w:val="18"/>
          <w:color w:val="auto"/>
        </w:rPr>
        <w:t>Information with respect to the Reporting Person’s ownership of the Warrants included as part of the units, each whole warrant exercisable for one Class A ordinary share at an exercise price of $11.50 as of September 30, 2024, is incorporated by reference to items (5) - (9) and (11) of the cover page for the Reporting Person.</w:t>
      </w:r>
    </w:p>
    <w:p>
      <w:pPr>
        <w:spacing w:after="0" w:line="68" w:lineRule="exact"/>
        <w:rPr>
          <w:sz w:val="20"/>
          <w:szCs w:val="20"/>
          <w:color w:val="auto"/>
        </w:rPr>
      </w:pPr>
    </w:p>
    <w:p>
      <w:pPr>
        <w:jc w:val="both"/>
        <w:ind w:left="800" w:right="20"/>
        <w:spacing w:after="0" w:line="282" w:lineRule="auto"/>
        <w:rPr>
          <w:sz w:val="20"/>
          <w:szCs w:val="20"/>
          <w:color w:val="auto"/>
        </w:rPr>
      </w:pPr>
      <w:r>
        <w:rPr>
          <w:rFonts w:ascii="Times New Roman" w:cs="Times New Roman" w:eastAsia="Times New Roman" w:hAnsi="Times New Roman"/>
          <w:sz w:val="18"/>
          <w:szCs w:val="18"/>
          <w:color w:val="auto"/>
        </w:rPr>
        <w:t>The amount beneficially owned by the Reporting Person is determined based on 44,602,673 shares of common stock outstanding as of June 30, 2024.</w:t>
      </w:r>
    </w:p>
    <w:p>
      <w:pPr>
        <w:spacing w:after="0" w:line="5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*This 13G report reflects holdings data of warrants of the previous issuer (Learn CW), which merged with Innventure, Inc. on October 3, 2024.</w:t>
      </w:r>
    </w:p>
    <w:p>
      <w:pPr>
        <w:spacing w:after="0" w:line="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Said warrants have not been exercised as of the date of this filing, but are still held in ownership.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31" w:lineRule="exact"/>
        <w:rPr>
          <w:sz w:val="20"/>
          <w:szCs w:val="20"/>
          <w:color w:val="auto"/>
        </w:rPr>
      </w:pPr>
    </w:p>
    <w:p>
      <w:pPr>
        <w:ind w:left="400" w:firstLine="396"/>
        <w:spacing w:after="0" w:line="260"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240"/>
          </w:cols>
          <w:pgMar w:left="320" w:top="663" w:right="339" w:bottom="0" w:gutter="0" w:footer="0" w:header="0"/>
        </w:sectPr>
      </w:pPr>
    </w:p>
    <w:bookmarkStart w:id="3" w:name="page4"/>
    <w:bookmarkEnd w:id="3"/>
    <w:p>
      <w:pPr>
        <w:ind w:left="1300" w:hanging="1295"/>
        <w:spacing w:after="0" w:line="263" w:lineRule="auto"/>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 or Control Person</w:t>
      </w:r>
    </w:p>
    <w:p>
      <w:pPr>
        <w:spacing w:after="0" w:line="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Certification</w:t>
      </w:r>
    </w:p>
    <w:p>
      <w:pPr>
        <w:spacing w:after="0" w:line="121" w:lineRule="exact"/>
        <w:rPr>
          <w:sz w:val="20"/>
          <w:szCs w:val="20"/>
          <w:color w:val="auto"/>
        </w:rPr>
      </w:pPr>
    </w:p>
    <w:p>
      <w:pPr>
        <w:jc w:val="both"/>
        <w:ind w:left="800"/>
        <w:spacing w:after="0" w:line="28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117" w:right="339" w:bottom="1440" w:gutter="0" w:footer="0" w:header="0"/>
        </w:sectPr>
      </w:pPr>
    </w:p>
    <w:bookmarkStart w:id="4" w:name="page5"/>
    <w:bookmarkEnd w:id="4"/>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G54157105</w:t>
            </w:r>
          </w:p>
        </w:tc>
        <w:tc>
          <w:tcPr>
            <w:tcW w:w="4520" w:type="dxa"/>
            <w:vAlign w:val="bottom"/>
            <w:tcBorders>
              <w:right w:val="single" w:sz="8" w:color="auto"/>
            </w:tcBorders>
          </w:tcPr>
          <w:p>
            <w:pPr>
              <w:ind w:left="162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4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6 of 6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13, 2024</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Walleye Capital LLC</w:t>
      </w:r>
    </w:p>
    <w:p>
      <w:pPr>
        <w:spacing w:after="0" w:line="227"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 xml:space="preserve">/s/ </w:t>
      </w:r>
      <w:r>
        <w:rPr>
          <w:rFonts w:ascii="Times New Roman" w:cs="Times New Roman" w:eastAsia="Times New Roman" w:hAnsi="Times New Roman"/>
          <w:sz w:val="18"/>
          <w:szCs w:val="18"/>
          <w:color w:val="auto"/>
        </w:rPr>
        <w:t>Thomas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Thomas Wynn, Global Chief Compliance</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Officer</w:t>
      </w:r>
    </w:p>
    <w:sectPr>
      <w:pgSz w:w="11900" w:h="16838" w:orient="portrait"/>
      <w:cols w:equalWidth="0" w:num="1">
        <w:col w:w="11240"/>
      </w:cols>
      <w:pgMar w:left="320" w:top="4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2024-11-13T16:15:38Z</dcterms:created>
  <dcterms:modified xsi:type="dcterms:W3CDTF">2024-11-13T16:15:38Z</dcterms:modified>
</cp:coreProperties>
</file>