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333-286558</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8</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April 23, 2025)</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INNVENTURE, INC.</w:t>
      </w:r>
    </w:p>
    <w:p>
      <w:pPr>
        <w:spacing w:after="0" w:line="241"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supplement updates, amends and supplements the prospectus dated April 23, 2025 (the “Prospectus”), which forms a part of our Registration Statement on Form S-1 (Registration No. 333-286558) and is being filed to update, amend and supplement the information included in the Prospectus with information contained in our Current Report on Form 8-K which was filed with the Securities and Exchange Commission (the “SEC”) on October 6, 2025 (the “Current Report”). Accordingly, we have attached the Current Report to this prospectus supplement. Capitalized terms used in this prospectus supplement and not otherwise defined herein have the meanings specified in the Prospectus.</w:t>
      </w:r>
    </w:p>
    <w:p>
      <w:pPr>
        <w:spacing w:after="0" w:line="183"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180"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Shares of our common stock, par value $0.0001 per share (our “Common Stock”), are listed on The Nasdaq Stock Market, LLC under the symbol “INV.” On October 6, 2025, the closing price of our Common Stock was $4.95 per share.</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in our securities involves risks that are described in the “Risk Factors” section of the Prospectus.</w:t>
      </w:r>
    </w:p>
    <w:p>
      <w:pPr>
        <w:spacing w:after="0" w:line="225"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 securities to be issued under the Prospectus or this prospectus supplement or determined if the Prospectus or this prospectus supplement is truthful or complete. Any representation to the contrary is a criminal offense.</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October 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4"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149225</wp:posOffset>
            </wp:positionV>
            <wp:extent cx="71323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269240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193040</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79375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217170</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Innventure, Inc.</w:t>
      </w:r>
    </w:p>
    <w:p>
      <w:pPr>
        <w:spacing w:after="0" w:line="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201930</wp:posOffset>
            </wp:positionV>
            <wp:extent cx="17830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ectPr>
          <w:pgSz w:w="11900" w:h="16838" w:orient="portrait"/>
          <w:cols w:equalWidth="0" w:num="1">
            <w:col w:w="11240"/>
          </w:cols>
          <w:pgMar w:left="320" w:top="4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001-42303</w:t>
      </w:r>
    </w:p>
    <w:p>
      <w:pPr>
        <w:spacing w:after="0" w:line="31"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93-4440048</w:t>
      </w:r>
    </w:p>
    <w:p>
      <w:pPr>
        <w:spacing w:after="0" w:line="3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p>
      <w:pPr>
        <w:spacing w:after="0" w:line="200" w:lineRule="exact"/>
        <w:rPr>
          <w:sz w:val="20"/>
          <w:szCs w:val="20"/>
          <w:color w:val="auto"/>
        </w:rPr>
      </w:pPr>
    </w:p>
    <w:p>
      <w:pPr>
        <w:sectPr>
          <w:pgSz w:w="11900" w:h="16838" w:orient="portrait"/>
          <w:cols w:equalWidth="0" w:num="3">
            <w:col w:w="3900" w:space="720"/>
            <w:col w:w="2680" w:space="720"/>
            <w:col w:w="3220"/>
          </w:cols>
          <w:pgMar w:left="320" w:top="489" w:right="339" w:bottom="1440" w:gutter="0" w:footer="0" w:header="0"/>
          <w:type w:val="continuous"/>
        </w:sectPr>
      </w:pPr>
    </w:p>
    <w:p>
      <w:pPr>
        <w:spacing w:after="0" w:line="3" w:lineRule="exact"/>
        <w:rPr>
          <w:sz w:val="20"/>
          <w:szCs w:val="20"/>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6900 Tavistock Lakes Blvd, Suite 400</w:t>
      </w:r>
    </w:p>
    <w:p>
      <w:pPr>
        <w:spacing w:after="0" w:line="31" w:lineRule="exact"/>
        <w:rPr>
          <w:sz w:val="20"/>
          <w:szCs w:val="20"/>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Orlando, Florida</w:t>
      </w:r>
    </w:p>
    <w:p>
      <w:pPr>
        <w:spacing w:after="0" w:line="9" w:lineRule="exact"/>
        <w:rPr>
          <w:sz w:val="20"/>
          <w:szCs w:val="20"/>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0"/>
          <w:szCs w:val="20"/>
          <w:color w:val="auto"/>
        </w:rPr>
      </w:pPr>
      <w:r>
        <w:rPr>
          <w:sz w:val="20"/>
          <w:szCs w:val="20"/>
          <w:color w:val="auto"/>
        </w:rPr>
        <w:br w:type="column"/>
      </w: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32827</w:t>
      </w:r>
    </w:p>
    <w:p>
      <w:pPr>
        <w:spacing w:after="0" w:line="31" w:lineRule="exact"/>
        <w:rPr>
          <w:sz w:val="20"/>
          <w:szCs w:val="20"/>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404" w:lineRule="exact"/>
        <w:rPr>
          <w:sz w:val="20"/>
          <w:szCs w:val="20"/>
          <w:color w:val="auto"/>
        </w:rPr>
      </w:pPr>
    </w:p>
    <w:p>
      <w:pPr>
        <w:sectPr>
          <w:pgSz w:w="11900" w:h="16838" w:orient="portrait"/>
          <w:cols w:equalWidth="0" w:num="2">
            <w:col w:w="7360" w:space="720"/>
            <w:col w:w="3160"/>
          </w:cols>
          <w:pgMar w:left="320" w:top="489" w:right="339" w:bottom="1440" w:gutter="0" w:footer="0" w:header="0"/>
          <w:type w:val="continuous"/>
        </w:sectPr>
      </w:pP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(321) 209-6787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194310</wp:posOffset>
            </wp:positionV>
            <wp:extent cx="178308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8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0"/>
          <w:szCs w:val="20"/>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453"/>
        </w:trPr>
        <w:tc>
          <w:tcPr>
            <w:tcW w:w="4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8"/>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Pr>
          <w:p>
            <w:pPr>
              <w:spacing w:after="0"/>
              <w:rPr>
                <w:sz w:val="20"/>
                <w:szCs w:val="20"/>
                <w:color w:val="auto"/>
              </w:rPr>
            </w:pPr>
          </w:p>
        </w:tc>
        <w:tc>
          <w:tcPr>
            <w:tcW w:w="2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INV</w:t>
            </w:r>
          </w:p>
        </w:tc>
        <w:tc>
          <w:tcPr>
            <w:tcW w:w="120" w:type="dxa"/>
            <w:vAlign w:val="bottom"/>
          </w:tcPr>
          <w:p>
            <w:pPr>
              <w:spacing w:after="0"/>
              <w:rPr>
                <w:sz w:val="20"/>
                <w:szCs w:val="20"/>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7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0"/>
          <w:szCs w:val="20"/>
          <w:color w:val="auto"/>
        </w:rPr>
      </w:pPr>
    </w:p>
    <w:p>
      <w:pPr>
        <w:ind w:left="8660"/>
        <w:spacing w:after="0" w:line="207" w:lineRule="exact"/>
        <w:tabs>
          <w:tab w:leader="none" w:pos="110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6" w:lineRule="exact"/>
        <w:rPr>
          <w:sz w:val="20"/>
          <w:szCs w:val="20"/>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9" w:right="339" w:bottom="1440" w:gutter="0" w:footer="0" w:header="0"/>
          <w:type w:val="continuous"/>
        </w:sectPr>
      </w:pPr>
    </w:p>
    <w:bookmarkStart w:id="2" w:name="page3"/>
    <w:bookmarkEnd w:id="2"/>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Innventure Private Placement</w:t>
      </w:r>
    </w:p>
    <w:p>
      <w:pPr>
        <w:spacing w:after="0" w:line="2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October 3, 2025, Innventure,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entered into subscription agreements (the “</w:t>
      </w:r>
      <w:r>
        <w:rPr>
          <w:rFonts w:ascii="Times New Roman" w:cs="Times New Roman" w:eastAsia="Times New Roman" w:hAnsi="Times New Roman"/>
          <w:sz w:val="18"/>
          <w:szCs w:val="18"/>
          <w:b w:val="1"/>
          <w:bCs w:val="1"/>
          <w:i w:val="1"/>
          <w:iCs w:val="1"/>
          <w:color w:val="auto"/>
        </w:rPr>
        <w:t>Subscription Agreements</w:t>
      </w:r>
      <w:r>
        <w:rPr>
          <w:rFonts w:ascii="Times New Roman" w:cs="Times New Roman" w:eastAsia="Times New Roman" w:hAnsi="Times New Roman"/>
          <w:sz w:val="18"/>
          <w:szCs w:val="18"/>
          <w:color w:val="auto"/>
        </w:rPr>
        <w:t>”) with certain investors (the “</w:t>
      </w:r>
      <w:r>
        <w:rPr>
          <w:rFonts w:ascii="Times New Roman" w:cs="Times New Roman" w:eastAsia="Times New Roman" w:hAnsi="Times New Roman"/>
          <w:sz w:val="18"/>
          <w:szCs w:val="18"/>
          <w:b w:val="1"/>
          <w:bCs w:val="1"/>
          <w:i w:val="1"/>
          <w:iCs w:val="1"/>
          <w:color w:val="auto"/>
        </w:rPr>
        <w:t>Investors</w:t>
      </w:r>
      <w:r>
        <w:rPr>
          <w:rFonts w:ascii="Times New Roman" w:cs="Times New Roman" w:eastAsia="Times New Roman" w:hAnsi="Times New Roman"/>
          <w:sz w:val="18"/>
          <w:szCs w:val="18"/>
          <w:color w:val="auto"/>
        </w:rPr>
        <w:t>”), pursuant to which the Company agreed to sell to the Investors, in a private placement, an aggregate of 1,625,235 shares of the Company’s common stock, par value $0.0001 per share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and Series A warrants to purchase an aggregate of 1,625,235 shares of Common Stock (the “</w:t>
      </w:r>
      <w:r>
        <w:rPr>
          <w:rFonts w:ascii="Times New Roman" w:cs="Times New Roman" w:eastAsia="Times New Roman" w:hAnsi="Times New Roman"/>
          <w:sz w:val="18"/>
          <w:szCs w:val="18"/>
          <w:b w:val="1"/>
          <w:bCs w:val="1"/>
          <w:i w:val="1"/>
          <w:iCs w:val="1"/>
          <w:color w:val="auto"/>
        </w:rPr>
        <w:t>Series A Warrants,</w:t>
      </w:r>
      <w:r>
        <w:rPr>
          <w:rFonts w:ascii="Times New Roman" w:cs="Times New Roman" w:eastAsia="Times New Roman" w:hAnsi="Times New Roman"/>
          <w:sz w:val="18"/>
          <w:szCs w:val="18"/>
          <w:color w:val="auto"/>
        </w:rPr>
        <w:t>” and the shares of Common Stock issuable upon exercise of the Series A Warrants, the “</w:t>
      </w:r>
      <w:r>
        <w:rPr>
          <w:rFonts w:ascii="Times New Roman" w:cs="Times New Roman" w:eastAsia="Times New Roman" w:hAnsi="Times New Roman"/>
          <w:sz w:val="18"/>
          <w:szCs w:val="18"/>
          <w:b w:val="1"/>
          <w:bCs w:val="1"/>
          <w:i w:val="1"/>
          <w:iCs w:val="1"/>
          <w:color w:val="auto"/>
        </w:rPr>
        <w:t>Warrant Shares</w:t>
      </w:r>
      <w:r>
        <w:rPr>
          <w:rFonts w:ascii="Times New Roman" w:cs="Times New Roman" w:eastAsia="Times New Roman" w:hAnsi="Times New Roman"/>
          <w:sz w:val="18"/>
          <w:szCs w:val="18"/>
          <w:color w:val="auto"/>
        </w:rPr>
        <w:t>”) at a price of $6.00 per share of Common Stock and one Series A Warrant (the “</w:t>
      </w:r>
      <w:r>
        <w:rPr>
          <w:rFonts w:ascii="Times New Roman" w:cs="Times New Roman" w:eastAsia="Times New Roman" w:hAnsi="Times New Roman"/>
          <w:sz w:val="18"/>
          <w:szCs w:val="18"/>
          <w:b w:val="1"/>
          <w:bCs w:val="1"/>
          <w:i w:val="1"/>
          <w:iCs w:val="1"/>
          <w:color w:val="auto"/>
        </w:rPr>
        <w:t>Offering</w:t>
      </w:r>
      <w:r>
        <w:rPr>
          <w:rFonts w:ascii="Times New Roman" w:cs="Times New Roman" w:eastAsia="Times New Roman" w:hAnsi="Times New Roman"/>
          <w:sz w:val="18"/>
          <w:szCs w:val="18"/>
          <w:color w:val="auto"/>
        </w:rPr>
        <w:t>”). The Series A Warrants have an exercise price of $8.00 per share, will be exercisable any time on or after April 6, 2026 (the calendar day following the six month anniversary of the date of issuance), will expire on October 3, 2030 and are redeemable by the Company at a price of $0.01 per Series A Warrant if the last sales price of the Common Stock has been equal to or greater than $15.00 per share (subject to adjustment for splits, dividends, recapitalizations and other similar events) for any twenty (20) trading days within a thirty (30) trading day period commencing after the Series A Warrants become exercisable. The sales of the securities pursuant to the Subscription Agreements closed on October 3, 2025. The gross proceeds to the Company from the Offering are approximately $9.75 million before deducting fees and other estimated offering expenses.</w:t>
      </w:r>
    </w:p>
    <w:p>
      <w:pPr>
        <w:spacing w:after="0" w:line="182" w:lineRule="exact"/>
        <w:rPr>
          <w:sz w:val="20"/>
          <w:szCs w:val="20"/>
          <w:color w:val="auto"/>
        </w:rPr>
      </w:pPr>
    </w:p>
    <w:p>
      <w:pPr>
        <w:ind w:right="380"/>
        <w:spacing w:after="0" w:line="262" w:lineRule="auto"/>
        <w:rPr>
          <w:sz w:val="20"/>
          <w:szCs w:val="20"/>
          <w:color w:val="auto"/>
        </w:rPr>
      </w:pPr>
      <w:r>
        <w:rPr>
          <w:rFonts w:ascii="Times New Roman" w:cs="Times New Roman" w:eastAsia="Times New Roman" w:hAnsi="Times New Roman"/>
          <w:sz w:val="18"/>
          <w:szCs w:val="18"/>
          <w:color w:val="auto"/>
        </w:rPr>
        <w:t>As part of the Subscription Agreements, the Company is required to prepare and file a registration statement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under the Securities Act, covering the resale of the Shares and the Warrant Shares. The Company is required to have such Registration Statement declared effective by the Commission within 120 calendar days (or 150 calendar days in the event of a “full review” by the Commission) following the closing of the Offering.</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foregoing descriptions of the Subscription Agreements and the Series A Warrants and the transactions contemplated thereby are only a summary and do not purport to be complete and are qualified in their entirety by reference to the full text of the form of Series A Warrant and the form of Subscription Agreement, copies of which are attached to this Current Report on Form 8-K as Exhibit 4.1 and Exhibit 10.1, respectively,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 w:name="page4"/>
    <w:bookmarkEnd w:id="3"/>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JCI Investment in Accelsius</w:t>
      </w:r>
    </w:p>
    <w:p>
      <w:pPr>
        <w:spacing w:after="0" w:line="221"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color w:val="auto"/>
        </w:rPr>
        <w:t>On October 2, 2025 (the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Accelsius Holdings LLC (“</w:t>
      </w:r>
      <w:r>
        <w:rPr>
          <w:rFonts w:ascii="Times New Roman" w:cs="Times New Roman" w:eastAsia="Times New Roman" w:hAnsi="Times New Roman"/>
          <w:sz w:val="18"/>
          <w:szCs w:val="18"/>
          <w:b w:val="1"/>
          <w:bCs w:val="1"/>
          <w:i w:val="1"/>
          <w:iCs w:val="1"/>
          <w:color w:val="auto"/>
        </w:rPr>
        <w:t>Accelsius</w:t>
      </w:r>
      <w:r>
        <w:rPr>
          <w:rFonts w:ascii="Times New Roman" w:cs="Times New Roman" w:eastAsia="Times New Roman" w:hAnsi="Times New Roman"/>
          <w:sz w:val="18"/>
          <w:szCs w:val="18"/>
          <w:color w:val="auto"/>
        </w:rPr>
        <w:t>”), a subsidiary of the Company, issued and sold to Johnson Controls, Inc., a Wisconsin corporation (“</w:t>
      </w:r>
      <w:r>
        <w:rPr>
          <w:rFonts w:ascii="Times New Roman" w:cs="Times New Roman" w:eastAsia="Times New Roman" w:hAnsi="Times New Roman"/>
          <w:sz w:val="14"/>
          <w:szCs w:val="14"/>
          <w:b w:val="1"/>
          <w:bCs w:val="1"/>
          <w:i w:val="1"/>
          <w:iCs w:val="1"/>
          <w:color w:val="auto"/>
        </w:rPr>
        <w:t>JCI</w:t>
      </w:r>
      <w:r>
        <w:rPr>
          <w:rFonts w:ascii="Times New Roman" w:cs="Times New Roman" w:eastAsia="Times New Roman" w:hAnsi="Times New Roman"/>
          <w:sz w:val="18"/>
          <w:szCs w:val="18"/>
          <w:color w:val="auto"/>
        </w:rPr>
        <w:t>”), 685,163 units of Accelsius’s Series B-1 Units (the “</w:t>
      </w:r>
      <w:r>
        <w:rPr>
          <w:rFonts w:ascii="Times New Roman" w:cs="Times New Roman" w:eastAsia="Times New Roman" w:hAnsi="Times New Roman"/>
          <w:sz w:val="18"/>
          <w:szCs w:val="18"/>
          <w:b w:val="1"/>
          <w:bCs w:val="1"/>
          <w:i w:val="1"/>
          <w:iCs w:val="1"/>
          <w:color w:val="auto"/>
        </w:rPr>
        <w:t>Series B-1 Units</w:t>
      </w:r>
      <w:r>
        <w:rPr>
          <w:rFonts w:ascii="Times New Roman" w:cs="Times New Roman" w:eastAsia="Times New Roman" w:hAnsi="Times New Roman"/>
          <w:sz w:val="18"/>
          <w:szCs w:val="18"/>
          <w:color w:val="auto"/>
        </w:rPr>
        <w:t>”). The gross proceeds to the Company from the Closing were approximately $25,000,000 before deducting financial advisor fees and other estimated offering expenses.</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Accelsius will use the proceeds from the sale of the Series B-1 Units for general company purposes. Upon consummation of the Closing, certain outstanding convertible notes and other indebtedness of Accelsius that is automatically convertible into equity securities of Accelsius will automatically convert into equity securities of Accelsius in accordance with their terms. The Series B-1 Units are convertible at any time and from time to time into Accelsius’s Class A Common Units by dividing the Series B-1 Unit’s Issue Price (as defined below) by the Conversion Price (as defined below) in effect at the time of conversion. The “Issue Price” means $36.4877 per unit, subject to appropriate adjustment in the event of any unit dividend, unit split, combination or other similar recapitalization with respect to the applicable Series B-1 Units. The “Conversion Price” shall initially equal $36.4877 and will be subject to certain adjustments.</w:t>
      </w:r>
    </w:p>
    <w:p>
      <w:pPr>
        <w:spacing w:after="0" w:line="185"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color w:val="auto"/>
        </w:rPr>
        <w:t>The securities have not been registered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 may not be offered or sold absent registration or an applicable exemption from registration requirements.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Rights Provided to JCI</w:t>
      </w:r>
    </w:p>
    <w:p>
      <w:pPr>
        <w:spacing w:after="0" w:line="22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color w:val="auto"/>
        </w:rPr>
        <w:t>In connection with the Closing, Accelsius amended its limited liability company agreement (“</w:t>
      </w:r>
      <w:r>
        <w:rPr>
          <w:rFonts w:ascii="Times New Roman" w:cs="Times New Roman" w:eastAsia="Times New Roman" w:hAnsi="Times New Roman"/>
          <w:sz w:val="18"/>
          <w:szCs w:val="18"/>
          <w:b w:val="1"/>
          <w:bCs w:val="1"/>
          <w:i w:val="1"/>
          <w:iCs w:val="1"/>
          <w:color w:val="auto"/>
        </w:rPr>
        <w:t>Operating Agreement</w:t>
      </w:r>
      <w:r>
        <w:rPr>
          <w:rFonts w:ascii="Times New Roman" w:cs="Times New Roman" w:eastAsia="Times New Roman" w:hAnsi="Times New Roman"/>
          <w:sz w:val="18"/>
          <w:szCs w:val="18"/>
          <w:color w:val="auto"/>
        </w:rPr>
        <w:t>”) to provide for certain rights to JCI with respect to the Series B-1 Units.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 Rights</w:t>
      </w:r>
    </w:p>
    <w:p>
      <w:pPr>
        <w:spacing w:after="0" w:line="22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For so long as JCI and its affiliates continue to beneficially own an aggregate of at least 50% of the Series B-1 Units purchased by JCI (subject to appropriate adjustment for any unit splits, unit dividends, combinations, recapitalizations and the like or any conversion), JCI will be entitled to designate and remove one director (the “</w:t>
      </w:r>
      <w:r>
        <w:rPr>
          <w:rFonts w:ascii="Times New Roman" w:cs="Times New Roman" w:eastAsia="Times New Roman" w:hAnsi="Times New Roman"/>
          <w:sz w:val="18"/>
          <w:szCs w:val="18"/>
          <w:b w:val="1"/>
          <w:bCs w:val="1"/>
          <w:i w:val="1"/>
          <w:iCs w:val="1"/>
          <w:color w:val="auto"/>
        </w:rPr>
        <w:t>Preferred Director</w:t>
      </w:r>
      <w:r>
        <w:rPr>
          <w:rFonts w:ascii="Times New Roman" w:cs="Times New Roman" w:eastAsia="Times New Roman" w:hAnsi="Times New Roman"/>
          <w:sz w:val="18"/>
          <w:szCs w:val="18"/>
          <w:color w:val="auto"/>
        </w:rPr>
        <w:t>”). Each director will be entitled to one vote on all matters that come before the board of directors of Accelsius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The Preferred Director will be entitled in such person’s discretion to be a member of any committee of the Board or of the board of directors or managers of any subsidiary of Accelsius.</w:t>
      </w:r>
    </w:p>
    <w:p>
      <w:pPr>
        <w:spacing w:after="0" w:line="18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No action shall be taken by the Board or any officer on behalf of Accelsius with respect to any Preferred Decision (as defined in the Operating Agreement) without the approval of the Preferred Director. Such “Preferred Decisions” include, among others, (i) any amendment of any provision of the Operating Agreement that would adversely affect the special rights, powers, or preferences of the Series B-1 Units, (ii) the incurrence or guarantee of indebtedness by Accelsius in excess of $20,000,000 in a single transaction or series of related transactions, (iii) the creation of any new class or series of units that would rank senior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to the Series B-1 Units, and (iv) an increase in the authorized number of Accelsius’s Class A Common Units, Class C Units, or any series of preferred units.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Preemptive Rights; Right of First Refusal; Right of Co-Sale</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Subject to certain exceptions and conditions, (i) JCI has preemptive rights to purchase its proportional share of new equity issuances by Accelsius, with oversubscription rights for unsubscribed amounts; (ii) holders of Accelsius units seeking to transfer their units in response to an offer (the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 must first offer such units in writing to Accelsius and then to JCI on the same terms as the Transfer Notice (the “</w:t>
      </w:r>
      <w:r>
        <w:rPr>
          <w:rFonts w:ascii="Times New Roman" w:cs="Times New Roman" w:eastAsia="Times New Roman" w:hAnsi="Times New Roman"/>
          <w:sz w:val="18"/>
          <w:szCs w:val="18"/>
          <w:b w:val="1"/>
          <w:bCs w:val="1"/>
          <w:i w:val="1"/>
          <w:iCs w:val="1"/>
          <w:color w:val="auto"/>
        </w:rPr>
        <w:t>Right of First Refusal</w:t>
      </w:r>
      <w:r>
        <w:rPr>
          <w:rFonts w:ascii="Times New Roman" w:cs="Times New Roman" w:eastAsia="Times New Roman" w:hAnsi="Times New Roman"/>
          <w:sz w:val="18"/>
          <w:szCs w:val="18"/>
          <w:color w:val="auto"/>
        </w:rPr>
        <w:t>”); and (iii)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any such units are not purchased under the Right of First Refusal and are to be sold to a transferee named in such Transfer Notice, JCI may exercise a pro rata right of co-sale pursuant to the Operating Agreement on the same terms and conditions specified in the Transfer Notice.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Rights and Inspection</w:t>
      </w:r>
    </w:p>
    <w:p>
      <w:pPr>
        <w:spacing w:after="0" w:line="227"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JCI has the right, at JCI’s expense, to examine Accelsius’s books of account and records and discuss Accelsius’s affairs with its officers, subject to confidentiality or trade secret and privilege protection and competitive sensitivity limitations. Additionally, JCI has the right to receive annual audited financials, quarterly unaudited financials and quarterly capitalization information within specified periods of time.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Restrictions on Transfer</w:t>
      </w:r>
    </w:p>
    <w:p>
      <w:pPr>
        <w:spacing w:after="0" w:line="22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Accelsius’s preferred units, including its Series B-1 Units, and certain of Accelsius’s Class A Common Units (“</w:t>
      </w:r>
      <w:r>
        <w:rPr>
          <w:rFonts w:ascii="Times New Roman" w:cs="Times New Roman" w:eastAsia="Times New Roman" w:hAnsi="Times New Roman"/>
          <w:sz w:val="18"/>
          <w:szCs w:val="18"/>
          <w:b w:val="1"/>
          <w:bCs w:val="1"/>
          <w:i w:val="1"/>
          <w:iCs w:val="1"/>
          <w:color w:val="auto"/>
        </w:rPr>
        <w:t>Registrable Securities</w:t>
      </w:r>
      <w:r>
        <w:rPr>
          <w:rFonts w:ascii="Times New Roman" w:cs="Times New Roman" w:eastAsia="Times New Roman" w:hAnsi="Times New Roman"/>
          <w:sz w:val="18"/>
          <w:szCs w:val="18"/>
          <w:color w:val="auto"/>
        </w:rPr>
        <w:t>”) may not be sold, pledged, or otherwise transferred, and Accelsius may issue stop-transfer instructions, subject to certain conditions to ensure compliance with U.S. securities laws and regulations, and any proposed transferee of the Registrable Securities must agree to hold such securities subject to the provisions and conditions in the Operating Agreement.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w:t>
      </w:r>
    </w:p>
    <w:p>
      <w:pPr>
        <w:spacing w:after="0" w:line="227" w:lineRule="exact"/>
        <w:rPr>
          <w:sz w:val="20"/>
          <w:szCs w:val="20"/>
          <w:color w:val="auto"/>
        </w:rPr>
      </w:pPr>
    </w:p>
    <w:p>
      <w:pPr>
        <w:ind w:right="180"/>
        <w:spacing w:after="0" w:line="239" w:lineRule="exact"/>
        <w:rPr>
          <w:sz w:val="20"/>
          <w:szCs w:val="20"/>
          <w:color w:val="auto"/>
        </w:rPr>
      </w:pPr>
      <w:r>
        <w:rPr>
          <w:rFonts w:ascii="Times New Roman" w:cs="Times New Roman" w:eastAsia="Times New Roman" w:hAnsi="Times New Roman"/>
          <w:sz w:val="18"/>
          <w:szCs w:val="18"/>
          <w:color w:val="auto"/>
        </w:rPr>
        <w:t>Holders of a majority of Registrable Securities have received certain customary registration rights, subject to customary deferrals and frequency limits, as set forth in the Operating Agreement. Additionally, JCI has the right to participate in company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initiated registrations, subject to underwriter cutbacks.</w:t>
      </w:r>
    </w:p>
    <w:p>
      <w:pPr>
        <w:spacing w:after="0" w:line="16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7"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400" w:type="dxa"/>
            <w:vAlign w:val="bottom"/>
          </w:tcPr>
          <w:p>
            <w:pPr>
              <w:spacing w:after="0"/>
              <w:rPr>
                <w:sz w:val="18"/>
                <w:szCs w:val="18"/>
                <w:color w:val="auto"/>
              </w:rPr>
            </w:pPr>
          </w:p>
        </w:tc>
      </w:tr>
      <w:tr>
        <w:trPr>
          <w:trHeight w:val="245"/>
        </w:trPr>
        <w:tc>
          <w:tcPr>
            <w:tcW w:w="8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400" w:type="dxa"/>
            <w:vAlign w:val="bottom"/>
            <w:tcBorders>
              <w:bottom w:val="single" w:sz="8" w:color="auto"/>
            </w:tcBorders>
          </w:tcPr>
          <w:p>
            <w:pPr>
              <w:ind w:left="438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96"/>
        </w:trPr>
        <w:tc>
          <w:tcPr>
            <w:tcW w:w="660" w:type="dxa"/>
            <w:vAlign w:val="bottom"/>
            <w:gridSpan w:val="4"/>
            <w:shd w:val="clear" w:color="auto" w:fill="CCEEFF"/>
          </w:tcPr>
          <w:p>
            <w:pPr>
              <w:jc w:val="center"/>
              <w:ind w:left="170"/>
              <w:spacing w:after="0" w:line="17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hyperlink>
          </w:p>
        </w:tc>
        <w:tc>
          <w:tcPr>
            <w:tcW w:w="180" w:type="dxa"/>
            <w:vAlign w:val="bottom"/>
            <w:shd w:val="clear" w:color="auto" w:fill="CCEEFF"/>
          </w:tcPr>
          <w:p>
            <w:pPr>
              <w:spacing w:after="0"/>
              <w:rPr>
                <w:sz w:val="17"/>
                <w:szCs w:val="17"/>
                <w:color w:val="auto"/>
              </w:rPr>
            </w:pPr>
          </w:p>
        </w:tc>
        <w:tc>
          <w:tcPr>
            <w:tcW w:w="1040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Form of Series A Warrant</w:t>
            </w:r>
          </w:p>
        </w:tc>
      </w:tr>
      <w:tr>
        <w:trPr>
          <w:trHeight w:val="216"/>
        </w:trPr>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400" w:type="dxa"/>
            <w:vAlign w:val="bottom"/>
            <w:tcBorders>
              <w:top w:val="single" w:sz="8" w:color="CCEEFF"/>
            </w:tcBorders>
          </w:tcPr>
          <w:p>
            <w:pPr>
              <w:spacing w:after="0"/>
              <w:rPr>
                <w:sz w:val="18"/>
                <w:szCs w:val="18"/>
                <w:color w:val="auto"/>
              </w:rPr>
            </w:pPr>
          </w:p>
        </w:tc>
      </w:tr>
      <w:tr>
        <w:trPr>
          <w:trHeight w:val="196"/>
        </w:trPr>
        <w:tc>
          <w:tcPr>
            <w:tcW w:w="840" w:type="dxa"/>
            <w:vAlign w:val="bottom"/>
            <w:gridSpan w:val="5"/>
            <w:shd w:val="clear" w:color="auto" w:fill="CCEEFF"/>
          </w:tcPr>
          <w:p>
            <w:pPr>
              <w:jc w:val="center"/>
              <w:spacing w:after="0" w:line="17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1040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Form of Subscription Agreement</w:t>
            </w:r>
          </w:p>
        </w:tc>
      </w:tr>
      <w:tr>
        <w:trPr>
          <w:trHeight w:val="216"/>
        </w:trPr>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400" w:type="dxa"/>
            <w:vAlign w:val="bottom"/>
            <w:tcBorders>
              <w:top w:val="single" w:sz="8" w:color="CCEEFF"/>
            </w:tcBorders>
          </w:tcPr>
          <w:p>
            <w:pPr>
              <w:spacing w:after="0"/>
              <w:rPr>
                <w:sz w:val="18"/>
                <w:szCs w:val="18"/>
                <w:color w:val="auto"/>
              </w:rPr>
            </w:pPr>
          </w:p>
        </w:tc>
      </w:tr>
      <w:tr>
        <w:trPr>
          <w:trHeight w:val="216"/>
        </w:trPr>
        <w:tc>
          <w:tcPr>
            <w:tcW w:w="660" w:type="dxa"/>
            <w:vAlign w:val="bottom"/>
            <w:gridSpan w:val="4"/>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shd w:val="clear" w:color="auto" w:fill="CCEEFF"/>
          </w:tcPr>
          <w:p>
            <w:pPr>
              <w:spacing w:after="0"/>
              <w:rPr>
                <w:sz w:val="18"/>
                <w:szCs w:val="18"/>
                <w:color w:val="auto"/>
              </w:rPr>
            </w:pPr>
          </w:p>
        </w:tc>
        <w:tc>
          <w:tcPr>
            <w:tcW w:w="10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Cover Page Interactive Data File (in Inline XBRL format)</w:t>
            </w:r>
          </w:p>
        </w:tc>
      </w:tr>
    </w:tbl>
    <w:p>
      <w:pPr>
        <w:sectPr>
          <w:pgSz w:w="11900" w:h="16838" w:orient="portrait"/>
          <w:cols w:equalWidth="0" w:num="1">
            <w:col w:w="11240"/>
          </w:cols>
          <w:pgMar w:left="320" w:top="117" w:right="339" w:bottom="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color w:val="auto"/>
        </w:rPr>
        <w:t>^Certain schedules have been omitted pursuant to Item 601(a)(5) of Regulation S-K. Innventure, Inc. agrees to furnish a copy of any omitted schedule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5" w:name="page6"/>
    <w:bookmarkEnd w:id="5"/>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2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By: /s/ David Yablunosky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26035</wp:posOffset>
            </wp:positionV>
            <wp:extent cx="299148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30"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Name: David Yablunosky</w:t>
      </w:r>
    </w:p>
    <w:p>
      <w:pPr>
        <w:spacing w:after="0" w:line="2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920"/>
      </w:cols>
      <w:pgMar w:left="320" w:top="117"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1" Type="http://schemas.openxmlformats.org/officeDocument/2006/relationships/hyperlink" Target="https://www.sec.gov/Archives/edgar/data/2001557/000114036125037342/ef20056646_ex4-1.htm" TargetMode="External"/><Relationship Id="rId22" Type="http://schemas.openxmlformats.org/officeDocument/2006/relationships/hyperlink" Target="https://www.sec.gov/Archives/edgar/data/2001557/000114036125037342/ef20056646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2025-10-07T05:13:20Z</dcterms:created>
  <dcterms:modified xsi:type="dcterms:W3CDTF">2025-10-07T05:13:20Z</dcterms:modified>
</cp:coreProperties>
</file>