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5995.xml.htm"/>
      <w:bookmarkStart w:id="1" w:name="kswkform4_17909759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Donnally James 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Innventure, Inc.</w:t>
              </w:r>
            </w:hyperlink>
            <w:r>
              <w:rPr/>
              <w:t xml:space="preserve"> [ </w:t>
            </w:r>
            <w:r>
              <w:rPr>
                <w:rFonts w:ascii="Times;serif" w:hAnsi="Times;serif"/>
                <w:color w:val="0000FF"/>
                <w:sz w:val="24"/>
                <w:shd w:fill="FFFFFF" w:val="clear"/>
              </w:rPr>
              <w:t>INV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63"/>
        <w:gridCol w:w="443"/>
        <w:gridCol w:w="605"/>
        <w:gridCol w:w="1308"/>
        <w:gridCol w:w="983"/>
        <w:gridCol w:w="10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45,862</w:t>
            </w:r>
            <w:r>
              <w:rPr>
                <w:rFonts w:ascii="Times;serif" w:hAnsi="Times;serif"/>
                <w:color w:val="008000"/>
                <w:position w:val="7"/>
                <w:sz w:val="16"/>
                <w:sz w:val="20"/>
                <w:shd w:fill="FFFFFF" w:val="clear"/>
              </w:rPr>
              <w:t>(1)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64,099</w:t>
            </w:r>
            <w:r>
              <w:rPr>
                <w:rFonts w:ascii="Times;serif" w:hAnsi="Times;serif"/>
                <w:color w:val="008000"/>
                <w:position w:val="7"/>
                <w:sz w:val="16"/>
                <w:sz w:val="20"/>
                <w:shd w:fill="FFFFFF" w:val="clear"/>
              </w:rPr>
              <w:t>(2)</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45,862</w:t>
            </w:r>
            <w:r>
              <w:rPr>
                <w:rFonts w:ascii="Times;serif" w:hAnsi="Times;serif"/>
                <w:color w:val="008000"/>
                <w:position w:val="7"/>
                <w:sz w:val="16"/>
                <w:sz w:val="20"/>
                <w:shd w:fill="FFFFFF" w:val="clear"/>
              </w:rPr>
              <w:t>(3)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18,237</w:t>
            </w:r>
            <w:r>
              <w:rPr>
                <w:rFonts w:ascii="Times;serif" w:hAnsi="Times;serif"/>
                <w:color w:val="008000"/>
                <w:position w:val="7"/>
                <w:sz w:val="16"/>
                <w:sz w:val="20"/>
                <w:shd w:fill="FFFFFF" w:val="clear"/>
              </w:rPr>
              <w:t>(2)</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45,862</w:t>
            </w:r>
            <w:r>
              <w:rPr>
                <w:rFonts w:ascii="Times;serif" w:hAnsi="Times;serif"/>
                <w:color w:val="008000"/>
                <w:position w:val="7"/>
                <w:sz w:val="16"/>
                <w:sz w:val="20"/>
                <w:shd w:fill="FFFFFF" w:val="clear"/>
              </w:rPr>
              <w:t>(3)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1,600,363</w:t>
            </w:r>
            <w:r>
              <w:rPr>
                <w:rFonts w:ascii="Times;serif" w:hAnsi="Times;serif"/>
                <w:color w:val="008000"/>
                <w:position w:val="7"/>
                <w:sz w:val="16"/>
                <w:sz w:val="20"/>
                <w:shd w:fill="FFFFFF" w:val="clear"/>
              </w:rPr>
              <w:t>(2)</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252,886</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4,708,121</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Fully vested common stock, par value $0.0001 per share (the "Common Stock"), of Innventure, Inc. (the "Issuer") received by the Reporting Person under the Second Amended and Restated Innventure, Inc. Non-Management Director Compensation Plan (the "Plan") resulting from the Reporting Person's election under the Plan, in lieu of the cash retainers that would have otherwise been paid to the Reporting Person pursuant to the Plan during the third calendar quarter of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September 10, 2026, the Reporting Person filed a Form 4 reporting the forfeiture and cancellation of 2,227 shares of Common Stock held directly by the Reporting Person. Due to an administrative error, that Form 4 misstated the number of shares forfeited and the form of ownership. The forfeited shares consisted of 80,848 shares of Common Stock held by the James O. Donnally Revocable Trust (the "Donnally Trust"). The amounts of Common Stock reported herein as held directly by the Reporting Person and by the Donnally Trust reflect the correction of this error.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September 30, 2026, the Reporting Person transferred 45,862 directly owned shares of Common Stock to the Donnally Trust. The Reporting Person has voting and investment power over the shares of Common Stock held by the Donnally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of Common Stock held by Our-No Family Holdings LP ("Our-No Family Holdings"). The Reporting Person has voting and investment power over the Common Stock held by Our-No Family Holdings.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of Common Stock held directly by the Glockner Family Venture Fund (the "Glockner Fund"). The Reporting Person is a 25% owner of the Glockner Fund and is a 25% owner and the Managing Member of Bellringer Consulting Group, LLC ("Bellringer"), the general partner of the Glockner Fund. The Reporting Person has no authority over the Glockner Fund's decision-making with respect to equity or debt investments in the Issuer and disclaims beneficial ownership of the shares reported herein except to the extent of his pecuniary interest therein, if any. The inclusion of these shares in this report shall not be deemed an admission that the Reporting Person is a beneficial owner of the securities reported in this filing for purposes of Section 16 of the Exchange Act of 1934.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2141" TargetMode="External"/><Relationship Id="rId5" Type="http://schemas.openxmlformats.org/officeDocument/2006/relationships/hyperlink" Target="http://www.sec.gov/cgi-bin/browse-edgar?action=getcompany&amp;CIK=0002001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963</Words>
  <Characters>5159</Characters>
  <CharactersWithSpaces>6026</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